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172,090,866.57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34D33" w:rsidRDefault="00B213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bookmarkStart w:id="0" w:name="_GoBack"/>
            <w:bookmarkEnd w:id="0"/>
          </w:p>
          <w:p w:rsidR="00434D33" w:rsidRDefault="00B213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434D33" w:rsidRDefault="00B213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34D33" w:rsidRDefault="00B213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434D33" w:rsidRDefault="00B213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434D33" w:rsidRDefault="00B213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434D33" w:rsidRDefault="00B213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165,915,137.20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6,175,729.37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-21,038,976.12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-789,727.47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-12,360,200.14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-458,310.76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178,708,200.34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6,558,207.85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1.0619</w:t>
            </w:r>
          </w:p>
        </w:tc>
      </w:tr>
    </w:tbl>
    <w:p w:rsidR="00434D33" w:rsidRDefault="00B213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4D33">
        <w:tc>
          <w:tcPr>
            <w:tcW w:w="1290" w:type="dxa"/>
            <w:vAlign w:val="center"/>
          </w:tcPr>
          <w:p w:rsidR="00434D33" w:rsidRDefault="00B21395">
            <w:pPr>
              <w:jc w:val="left"/>
            </w:pPr>
            <w:r>
              <w:rPr>
                <w:rFonts w:eastAsiaTheme="minorEastAsia"/>
                <w:color w:val="000000" w:themeColor="text1"/>
                <w:szCs w:val="21"/>
              </w:rPr>
              <w:t>过去三个月</w:t>
            </w:r>
          </w:p>
        </w:tc>
        <w:tc>
          <w:tcPr>
            <w:tcW w:w="1291" w:type="dxa"/>
            <w:vAlign w:val="center"/>
          </w:tcPr>
          <w:p w:rsidR="00434D33" w:rsidRDefault="00B21395">
            <w:pPr>
              <w:jc w:val="right"/>
            </w:pPr>
            <w:r>
              <w:rPr>
                <w:rFonts w:eastAsiaTheme="minorEastAsia"/>
                <w:color w:val="000000" w:themeColor="text1"/>
                <w:szCs w:val="21"/>
              </w:rPr>
              <w:t>-6.42%</w:t>
            </w:r>
          </w:p>
        </w:tc>
        <w:tc>
          <w:tcPr>
            <w:tcW w:w="1291" w:type="dxa"/>
            <w:vAlign w:val="center"/>
          </w:tcPr>
          <w:p w:rsidR="00434D33" w:rsidRDefault="00B21395">
            <w:pPr>
              <w:jc w:val="right"/>
            </w:pPr>
            <w:r>
              <w:rPr>
                <w:rFonts w:eastAsiaTheme="minorEastAsia"/>
                <w:color w:val="000000" w:themeColor="text1"/>
                <w:szCs w:val="21"/>
              </w:rPr>
              <w:t>1.05%</w:t>
            </w:r>
          </w:p>
        </w:tc>
        <w:tc>
          <w:tcPr>
            <w:tcW w:w="1291" w:type="dxa"/>
            <w:vAlign w:val="center"/>
          </w:tcPr>
          <w:p w:rsidR="00434D33" w:rsidRDefault="00B21395">
            <w:pPr>
              <w:jc w:val="right"/>
            </w:pPr>
            <w:r>
              <w:rPr>
                <w:rFonts w:eastAsiaTheme="minorEastAsia"/>
                <w:color w:val="000000" w:themeColor="text1"/>
                <w:szCs w:val="21"/>
              </w:rPr>
              <w:t>-2.63%</w:t>
            </w:r>
          </w:p>
        </w:tc>
        <w:tc>
          <w:tcPr>
            <w:tcW w:w="1291" w:type="dxa"/>
            <w:vAlign w:val="center"/>
          </w:tcPr>
          <w:p w:rsidR="00434D33" w:rsidRDefault="00B21395">
            <w:pPr>
              <w:jc w:val="right"/>
            </w:pPr>
            <w:r>
              <w:rPr>
                <w:rFonts w:eastAsiaTheme="minorEastAsia"/>
                <w:color w:val="000000" w:themeColor="text1"/>
                <w:szCs w:val="21"/>
              </w:rPr>
              <w:t>0.70%</w:t>
            </w:r>
          </w:p>
        </w:tc>
        <w:tc>
          <w:tcPr>
            <w:tcW w:w="1291" w:type="dxa"/>
            <w:vAlign w:val="center"/>
          </w:tcPr>
          <w:p w:rsidR="00434D33" w:rsidRDefault="00B21395">
            <w:pPr>
              <w:jc w:val="right"/>
            </w:pPr>
            <w:r>
              <w:rPr>
                <w:rFonts w:eastAsiaTheme="minorEastAsia"/>
                <w:color w:val="000000" w:themeColor="text1"/>
                <w:szCs w:val="21"/>
              </w:rPr>
              <w:t>-3.79%</w:t>
            </w:r>
          </w:p>
        </w:tc>
        <w:tc>
          <w:tcPr>
            <w:tcW w:w="1291" w:type="dxa"/>
            <w:vAlign w:val="center"/>
          </w:tcPr>
          <w:p w:rsidR="00434D33" w:rsidRDefault="00B21395">
            <w:pPr>
              <w:jc w:val="right"/>
            </w:pPr>
            <w:r>
              <w:rPr>
                <w:rFonts w:eastAsiaTheme="minorEastAsia"/>
                <w:color w:val="000000" w:themeColor="text1"/>
                <w:szCs w:val="21"/>
              </w:rPr>
              <w:t>0.35%</w:t>
            </w:r>
          </w:p>
        </w:tc>
      </w:tr>
      <w:tr w:rsidR="00434D33">
        <w:tc>
          <w:tcPr>
            <w:tcW w:w="1290" w:type="dxa"/>
            <w:vAlign w:val="center"/>
          </w:tcPr>
          <w:p w:rsidR="00434D33" w:rsidRDefault="00B21395">
            <w:pPr>
              <w:jc w:val="left"/>
            </w:pPr>
            <w:r>
              <w:rPr>
                <w:rFonts w:eastAsiaTheme="minorEastAsia"/>
                <w:color w:val="000000" w:themeColor="text1"/>
                <w:szCs w:val="21"/>
              </w:rPr>
              <w:t>过去六个月</w:t>
            </w:r>
          </w:p>
        </w:tc>
        <w:tc>
          <w:tcPr>
            <w:tcW w:w="1291" w:type="dxa"/>
            <w:vAlign w:val="center"/>
          </w:tcPr>
          <w:p w:rsidR="00434D33" w:rsidRDefault="00B21395">
            <w:pPr>
              <w:jc w:val="right"/>
            </w:pPr>
            <w:r>
              <w:rPr>
                <w:rFonts w:eastAsiaTheme="minorEastAsia"/>
                <w:color w:val="000000" w:themeColor="text1"/>
                <w:szCs w:val="21"/>
              </w:rPr>
              <w:t>-3.96%</w:t>
            </w:r>
          </w:p>
        </w:tc>
        <w:tc>
          <w:tcPr>
            <w:tcW w:w="1291" w:type="dxa"/>
            <w:vAlign w:val="center"/>
          </w:tcPr>
          <w:p w:rsidR="00434D33" w:rsidRDefault="00B21395">
            <w:pPr>
              <w:jc w:val="right"/>
            </w:pPr>
            <w:r>
              <w:rPr>
                <w:rFonts w:eastAsiaTheme="minorEastAsia"/>
                <w:color w:val="000000" w:themeColor="text1"/>
                <w:szCs w:val="21"/>
              </w:rPr>
              <w:t>1.39%</w:t>
            </w:r>
          </w:p>
        </w:tc>
        <w:tc>
          <w:tcPr>
            <w:tcW w:w="1291" w:type="dxa"/>
            <w:vAlign w:val="center"/>
          </w:tcPr>
          <w:p w:rsidR="00434D33" w:rsidRDefault="00B21395">
            <w:pPr>
              <w:jc w:val="right"/>
            </w:pPr>
            <w:r>
              <w:rPr>
                <w:rFonts w:eastAsiaTheme="minorEastAsia"/>
                <w:color w:val="000000" w:themeColor="text1"/>
                <w:szCs w:val="21"/>
              </w:rPr>
              <w:t>-1.16%</w:t>
            </w:r>
          </w:p>
        </w:tc>
        <w:tc>
          <w:tcPr>
            <w:tcW w:w="1291" w:type="dxa"/>
            <w:vAlign w:val="center"/>
          </w:tcPr>
          <w:p w:rsidR="00434D33" w:rsidRDefault="00B21395">
            <w:pPr>
              <w:jc w:val="right"/>
            </w:pPr>
            <w:r>
              <w:rPr>
                <w:rFonts w:eastAsiaTheme="minorEastAsia"/>
                <w:color w:val="000000" w:themeColor="text1"/>
                <w:szCs w:val="21"/>
              </w:rPr>
              <w:t>0.87%</w:t>
            </w:r>
          </w:p>
        </w:tc>
        <w:tc>
          <w:tcPr>
            <w:tcW w:w="1291" w:type="dxa"/>
            <w:vAlign w:val="center"/>
          </w:tcPr>
          <w:p w:rsidR="00434D33" w:rsidRDefault="00B21395">
            <w:pPr>
              <w:jc w:val="right"/>
            </w:pPr>
            <w:r>
              <w:rPr>
                <w:rFonts w:eastAsiaTheme="minorEastAsia"/>
                <w:color w:val="000000" w:themeColor="text1"/>
                <w:szCs w:val="21"/>
              </w:rPr>
              <w:t>-2.80%</w:t>
            </w:r>
          </w:p>
        </w:tc>
        <w:tc>
          <w:tcPr>
            <w:tcW w:w="1291" w:type="dxa"/>
            <w:vAlign w:val="center"/>
          </w:tcPr>
          <w:p w:rsidR="00434D33" w:rsidRDefault="00B21395">
            <w:pPr>
              <w:jc w:val="right"/>
            </w:pPr>
            <w:r>
              <w:rPr>
                <w:rFonts w:eastAsiaTheme="minorEastAsia"/>
                <w:color w:val="000000" w:themeColor="text1"/>
                <w:szCs w:val="21"/>
              </w:rPr>
              <w:t>0.52%</w:t>
            </w:r>
          </w:p>
        </w:tc>
      </w:tr>
      <w:tr w:rsidR="00434D33">
        <w:tc>
          <w:tcPr>
            <w:tcW w:w="1290" w:type="dxa"/>
            <w:vAlign w:val="center"/>
          </w:tcPr>
          <w:p w:rsidR="00434D33" w:rsidRDefault="00B21395">
            <w:pPr>
              <w:jc w:val="left"/>
            </w:pPr>
            <w:r>
              <w:rPr>
                <w:rFonts w:eastAsiaTheme="minorEastAsia"/>
                <w:color w:val="000000" w:themeColor="text1"/>
                <w:szCs w:val="21"/>
              </w:rPr>
              <w:t>过去一年</w:t>
            </w:r>
          </w:p>
        </w:tc>
        <w:tc>
          <w:tcPr>
            <w:tcW w:w="1291" w:type="dxa"/>
            <w:vAlign w:val="center"/>
          </w:tcPr>
          <w:p w:rsidR="00434D33" w:rsidRDefault="00B21395">
            <w:pPr>
              <w:jc w:val="right"/>
            </w:pPr>
            <w:r>
              <w:rPr>
                <w:rFonts w:eastAsiaTheme="minorEastAsia"/>
                <w:color w:val="000000" w:themeColor="text1"/>
                <w:szCs w:val="21"/>
              </w:rPr>
              <w:t>-34.45%</w:t>
            </w:r>
          </w:p>
        </w:tc>
        <w:tc>
          <w:tcPr>
            <w:tcW w:w="1291" w:type="dxa"/>
            <w:vAlign w:val="center"/>
          </w:tcPr>
          <w:p w:rsidR="00434D33" w:rsidRDefault="00B21395">
            <w:pPr>
              <w:jc w:val="right"/>
            </w:pPr>
            <w:r>
              <w:rPr>
                <w:rFonts w:eastAsiaTheme="minorEastAsia"/>
                <w:color w:val="000000" w:themeColor="text1"/>
                <w:szCs w:val="21"/>
              </w:rPr>
              <w:t>1.38%</w:t>
            </w:r>
          </w:p>
        </w:tc>
        <w:tc>
          <w:tcPr>
            <w:tcW w:w="1291" w:type="dxa"/>
            <w:vAlign w:val="center"/>
          </w:tcPr>
          <w:p w:rsidR="00434D33" w:rsidRDefault="00B21395">
            <w:pPr>
              <w:jc w:val="right"/>
            </w:pPr>
            <w:r>
              <w:rPr>
                <w:rFonts w:eastAsiaTheme="minorEastAsia"/>
                <w:color w:val="000000" w:themeColor="text1"/>
                <w:szCs w:val="21"/>
              </w:rPr>
              <w:t>-9.72%</w:t>
            </w:r>
          </w:p>
        </w:tc>
        <w:tc>
          <w:tcPr>
            <w:tcW w:w="1291" w:type="dxa"/>
            <w:vAlign w:val="center"/>
          </w:tcPr>
          <w:p w:rsidR="00434D33" w:rsidRDefault="00B21395">
            <w:pPr>
              <w:jc w:val="right"/>
            </w:pPr>
            <w:r>
              <w:rPr>
                <w:rFonts w:eastAsiaTheme="minorEastAsia"/>
                <w:color w:val="000000" w:themeColor="text1"/>
                <w:szCs w:val="21"/>
              </w:rPr>
              <w:t>0.79%</w:t>
            </w:r>
          </w:p>
        </w:tc>
        <w:tc>
          <w:tcPr>
            <w:tcW w:w="1291" w:type="dxa"/>
            <w:vAlign w:val="center"/>
          </w:tcPr>
          <w:p w:rsidR="00434D33" w:rsidRDefault="00B21395">
            <w:pPr>
              <w:jc w:val="right"/>
            </w:pPr>
            <w:r>
              <w:rPr>
                <w:rFonts w:eastAsiaTheme="minorEastAsia"/>
                <w:color w:val="000000" w:themeColor="text1"/>
                <w:szCs w:val="21"/>
              </w:rPr>
              <w:t>-24.73%</w:t>
            </w:r>
          </w:p>
        </w:tc>
        <w:tc>
          <w:tcPr>
            <w:tcW w:w="1291" w:type="dxa"/>
            <w:vAlign w:val="center"/>
          </w:tcPr>
          <w:p w:rsidR="00434D33" w:rsidRDefault="00B21395">
            <w:pPr>
              <w:jc w:val="right"/>
            </w:pPr>
            <w:r>
              <w:rPr>
                <w:rFonts w:eastAsiaTheme="minorEastAsia"/>
                <w:color w:val="000000" w:themeColor="text1"/>
                <w:szCs w:val="21"/>
              </w:rPr>
              <w:t>0.59%</w:t>
            </w:r>
          </w:p>
        </w:tc>
      </w:tr>
      <w:tr w:rsidR="00434D33">
        <w:tc>
          <w:tcPr>
            <w:tcW w:w="1290" w:type="dxa"/>
            <w:vAlign w:val="center"/>
          </w:tcPr>
          <w:p w:rsidR="00434D33" w:rsidRDefault="00B21395">
            <w:pPr>
              <w:jc w:val="left"/>
            </w:pPr>
            <w:r>
              <w:rPr>
                <w:rFonts w:eastAsiaTheme="minorEastAsia"/>
                <w:color w:val="000000" w:themeColor="text1"/>
                <w:szCs w:val="21"/>
              </w:rPr>
              <w:t>过去三年</w:t>
            </w:r>
          </w:p>
        </w:tc>
        <w:tc>
          <w:tcPr>
            <w:tcW w:w="1291" w:type="dxa"/>
            <w:vAlign w:val="center"/>
          </w:tcPr>
          <w:p w:rsidR="00434D33" w:rsidRDefault="00B21395">
            <w:pPr>
              <w:jc w:val="right"/>
            </w:pPr>
            <w:r>
              <w:rPr>
                <w:rFonts w:eastAsiaTheme="minorEastAsia"/>
                <w:color w:val="000000" w:themeColor="text1"/>
                <w:szCs w:val="21"/>
              </w:rPr>
              <w:t>-60.64%</w:t>
            </w:r>
          </w:p>
        </w:tc>
        <w:tc>
          <w:tcPr>
            <w:tcW w:w="1291" w:type="dxa"/>
            <w:vAlign w:val="center"/>
          </w:tcPr>
          <w:p w:rsidR="00434D33" w:rsidRDefault="00B21395">
            <w:pPr>
              <w:jc w:val="right"/>
            </w:pPr>
            <w:r>
              <w:rPr>
                <w:rFonts w:eastAsiaTheme="minorEastAsia"/>
                <w:color w:val="000000" w:themeColor="text1"/>
                <w:szCs w:val="21"/>
              </w:rPr>
              <w:t>1.88%</w:t>
            </w:r>
          </w:p>
        </w:tc>
        <w:tc>
          <w:tcPr>
            <w:tcW w:w="1291" w:type="dxa"/>
            <w:vAlign w:val="center"/>
          </w:tcPr>
          <w:p w:rsidR="00434D33" w:rsidRDefault="00B21395">
            <w:pPr>
              <w:jc w:val="right"/>
            </w:pPr>
            <w:r>
              <w:rPr>
                <w:rFonts w:eastAsiaTheme="minorEastAsia"/>
                <w:color w:val="000000" w:themeColor="text1"/>
                <w:szCs w:val="21"/>
              </w:rPr>
              <w:t>-26.61%</w:t>
            </w:r>
          </w:p>
        </w:tc>
        <w:tc>
          <w:tcPr>
            <w:tcW w:w="1291" w:type="dxa"/>
            <w:vAlign w:val="center"/>
          </w:tcPr>
          <w:p w:rsidR="00434D33" w:rsidRDefault="00B21395">
            <w:pPr>
              <w:jc w:val="right"/>
            </w:pPr>
            <w:r>
              <w:rPr>
                <w:rFonts w:eastAsiaTheme="minorEastAsia"/>
                <w:color w:val="000000" w:themeColor="text1"/>
                <w:szCs w:val="21"/>
              </w:rPr>
              <w:t>0.88%</w:t>
            </w:r>
          </w:p>
        </w:tc>
        <w:tc>
          <w:tcPr>
            <w:tcW w:w="1291" w:type="dxa"/>
            <w:vAlign w:val="center"/>
          </w:tcPr>
          <w:p w:rsidR="00434D33" w:rsidRDefault="00B21395">
            <w:pPr>
              <w:jc w:val="right"/>
            </w:pPr>
            <w:r>
              <w:rPr>
                <w:rFonts w:eastAsiaTheme="minorEastAsia"/>
                <w:color w:val="000000" w:themeColor="text1"/>
                <w:szCs w:val="21"/>
              </w:rPr>
              <w:t>-34.03%</w:t>
            </w:r>
          </w:p>
        </w:tc>
        <w:tc>
          <w:tcPr>
            <w:tcW w:w="1291" w:type="dxa"/>
            <w:vAlign w:val="center"/>
          </w:tcPr>
          <w:p w:rsidR="00434D33" w:rsidRDefault="00B21395">
            <w:pPr>
              <w:jc w:val="right"/>
            </w:pPr>
            <w:r>
              <w:rPr>
                <w:rFonts w:eastAsiaTheme="minorEastAsia"/>
                <w:color w:val="000000" w:themeColor="text1"/>
                <w:szCs w:val="21"/>
              </w:rPr>
              <w:t>1.00%</w:t>
            </w:r>
          </w:p>
        </w:tc>
      </w:tr>
      <w:tr w:rsidR="00434D33">
        <w:tc>
          <w:tcPr>
            <w:tcW w:w="1290" w:type="dxa"/>
            <w:vAlign w:val="center"/>
          </w:tcPr>
          <w:p w:rsidR="00434D33" w:rsidRDefault="00B21395">
            <w:pPr>
              <w:jc w:val="left"/>
            </w:pPr>
            <w:r>
              <w:rPr>
                <w:rFonts w:eastAsiaTheme="minorEastAsia"/>
                <w:color w:val="000000" w:themeColor="text1"/>
                <w:szCs w:val="21"/>
              </w:rPr>
              <w:lastRenderedPageBreak/>
              <w:t>过去五年</w:t>
            </w:r>
          </w:p>
        </w:tc>
        <w:tc>
          <w:tcPr>
            <w:tcW w:w="1291" w:type="dxa"/>
            <w:vAlign w:val="center"/>
          </w:tcPr>
          <w:p w:rsidR="00434D33" w:rsidRDefault="00B21395">
            <w:pPr>
              <w:jc w:val="right"/>
            </w:pPr>
            <w:r>
              <w:rPr>
                <w:rFonts w:eastAsiaTheme="minorEastAsia"/>
                <w:color w:val="000000" w:themeColor="text1"/>
                <w:szCs w:val="21"/>
              </w:rPr>
              <w:t>-0.68%</w:t>
            </w:r>
          </w:p>
        </w:tc>
        <w:tc>
          <w:tcPr>
            <w:tcW w:w="1291" w:type="dxa"/>
            <w:vAlign w:val="center"/>
          </w:tcPr>
          <w:p w:rsidR="00434D33" w:rsidRDefault="00B21395">
            <w:pPr>
              <w:jc w:val="right"/>
            </w:pPr>
            <w:r>
              <w:rPr>
                <w:rFonts w:eastAsiaTheme="minorEastAsia"/>
                <w:color w:val="000000" w:themeColor="text1"/>
                <w:szCs w:val="21"/>
              </w:rPr>
              <w:t>1.69%</w:t>
            </w:r>
          </w:p>
        </w:tc>
        <w:tc>
          <w:tcPr>
            <w:tcW w:w="1291" w:type="dxa"/>
            <w:vAlign w:val="center"/>
          </w:tcPr>
          <w:p w:rsidR="00434D33" w:rsidRDefault="00B21395">
            <w:pPr>
              <w:jc w:val="right"/>
            </w:pPr>
            <w:r>
              <w:rPr>
                <w:rFonts w:eastAsiaTheme="minorEastAsia"/>
                <w:color w:val="000000" w:themeColor="text1"/>
                <w:szCs w:val="21"/>
              </w:rPr>
              <w:t>-5.21%</w:t>
            </w:r>
          </w:p>
        </w:tc>
        <w:tc>
          <w:tcPr>
            <w:tcW w:w="1291" w:type="dxa"/>
            <w:vAlign w:val="center"/>
          </w:tcPr>
          <w:p w:rsidR="00434D33" w:rsidRDefault="00B21395">
            <w:pPr>
              <w:jc w:val="right"/>
            </w:pPr>
            <w:r>
              <w:rPr>
                <w:rFonts w:eastAsiaTheme="minorEastAsia"/>
                <w:color w:val="000000" w:themeColor="text1"/>
                <w:szCs w:val="21"/>
              </w:rPr>
              <w:t>0.96%</w:t>
            </w:r>
          </w:p>
        </w:tc>
        <w:tc>
          <w:tcPr>
            <w:tcW w:w="1291" w:type="dxa"/>
            <w:vAlign w:val="center"/>
          </w:tcPr>
          <w:p w:rsidR="00434D33" w:rsidRDefault="00B21395">
            <w:pPr>
              <w:jc w:val="right"/>
            </w:pPr>
            <w:r>
              <w:rPr>
                <w:rFonts w:eastAsiaTheme="minorEastAsia"/>
                <w:color w:val="000000" w:themeColor="text1"/>
                <w:szCs w:val="21"/>
              </w:rPr>
              <w:t>4.53%</w:t>
            </w:r>
          </w:p>
        </w:tc>
        <w:tc>
          <w:tcPr>
            <w:tcW w:w="1291" w:type="dxa"/>
            <w:vAlign w:val="center"/>
          </w:tcPr>
          <w:p w:rsidR="00434D33" w:rsidRDefault="00B21395">
            <w:pPr>
              <w:jc w:val="right"/>
            </w:pPr>
            <w:r>
              <w:rPr>
                <w:rFonts w:eastAsiaTheme="minorEastAsia"/>
                <w:color w:val="000000" w:themeColor="text1"/>
                <w:szCs w:val="21"/>
              </w:rPr>
              <w:t>0.73%</w:t>
            </w:r>
          </w:p>
        </w:tc>
      </w:tr>
      <w:tr w:rsidR="00434D33">
        <w:tc>
          <w:tcPr>
            <w:tcW w:w="1290" w:type="dxa"/>
            <w:vAlign w:val="center"/>
          </w:tcPr>
          <w:p w:rsidR="00434D33" w:rsidRDefault="00B21395">
            <w:pPr>
              <w:jc w:val="left"/>
            </w:pPr>
            <w:r>
              <w:rPr>
                <w:rFonts w:eastAsiaTheme="minorEastAsia"/>
                <w:color w:val="000000" w:themeColor="text1"/>
                <w:szCs w:val="21"/>
              </w:rPr>
              <w:t>自基金合同生效起至今</w:t>
            </w:r>
          </w:p>
        </w:tc>
        <w:tc>
          <w:tcPr>
            <w:tcW w:w="1291" w:type="dxa"/>
            <w:vAlign w:val="center"/>
          </w:tcPr>
          <w:p w:rsidR="00434D33" w:rsidRDefault="00B21395">
            <w:pPr>
              <w:jc w:val="right"/>
            </w:pPr>
            <w:r>
              <w:rPr>
                <w:rFonts w:eastAsiaTheme="minorEastAsia"/>
                <w:color w:val="000000" w:themeColor="text1"/>
                <w:szCs w:val="21"/>
              </w:rPr>
              <w:t>7.71%</w:t>
            </w:r>
          </w:p>
        </w:tc>
        <w:tc>
          <w:tcPr>
            <w:tcW w:w="1291" w:type="dxa"/>
            <w:vAlign w:val="center"/>
          </w:tcPr>
          <w:p w:rsidR="00434D33" w:rsidRDefault="00B21395">
            <w:pPr>
              <w:jc w:val="right"/>
            </w:pPr>
            <w:r>
              <w:rPr>
                <w:rFonts w:eastAsiaTheme="minorEastAsia"/>
                <w:color w:val="000000" w:themeColor="text1"/>
                <w:szCs w:val="21"/>
              </w:rPr>
              <w:t>1.61%</w:t>
            </w:r>
          </w:p>
        </w:tc>
        <w:tc>
          <w:tcPr>
            <w:tcW w:w="1291" w:type="dxa"/>
            <w:vAlign w:val="center"/>
          </w:tcPr>
          <w:p w:rsidR="00434D33" w:rsidRDefault="00B21395">
            <w:pPr>
              <w:jc w:val="right"/>
            </w:pPr>
            <w:r>
              <w:rPr>
                <w:rFonts w:eastAsiaTheme="minorEastAsia"/>
                <w:color w:val="000000" w:themeColor="text1"/>
                <w:szCs w:val="21"/>
              </w:rPr>
              <w:t>9.21%</w:t>
            </w:r>
          </w:p>
        </w:tc>
        <w:tc>
          <w:tcPr>
            <w:tcW w:w="1291" w:type="dxa"/>
            <w:vAlign w:val="center"/>
          </w:tcPr>
          <w:p w:rsidR="00434D33" w:rsidRDefault="00B21395">
            <w:pPr>
              <w:jc w:val="right"/>
            </w:pPr>
            <w:r>
              <w:rPr>
                <w:rFonts w:eastAsiaTheme="minorEastAsia"/>
                <w:color w:val="000000" w:themeColor="text1"/>
                <w:szCs w:val="21"/>
              </w:rPr>
              <w:t>1.00%</w:t>
            </w:r>
          </w:p>
        </w:tc>
        <w:tc>
          <w:tcPr>
            <w:tcW w:w="1291" w:type="dxa"/>
            <w:vAlign w:val="center"/>
          </w:tcPr>
          <w:p w:rsidR="00434D33" w:rsidRDefault="00B21395">
            <w:pPr>
              <w:jc w:val="right"/>
            </w:pPr>
            <w:r>
              <w:rPr>
                <w:rFonts w:eastAsiaTheme="minorEastAsia"/>
                <w:color w:val="000000" w:themeColor="text1"/>
                <w:szCs w:val="21"/>
              </w:rPr>
              <w:t>-1.50%</w:t>
            </w:r>
          </w:p>
        </w:tc>
        <w:tc>
          <w:tcPr>
            <w:tcW w:w="1291" w:type="dxa"/>
            <w:vAlign w:val="center"/>
          </w:tcPr>
          <w:p w:rsidR="00434D33" w:rsidRDefault="00B21395">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4D33">
        <w:tc>
          <w:tcPr>
            <w:tcW w:w="1290" w:type="dxa"/>
            <w:vAlign w:val="center"/>
          </w:tcPr>
          <w:p w:rsidR="00434D33" w:rsidRDefault="00B21395">
            <w:pPr>
              <w:jc w:val="left"/>
            </w:pPr>
            <w:r>
              <w:rPr>
                <w:rFonts w:eastAsiaTheme="minorEastAsia"/>
                <w:color w:val="000000" w:themeColor="text1"/>
                <w:szCs w:val="21"/>
              </w:rPr>
              <w:t>过去三个月</w:t>
            </w:r>
          </w:p>
        </w:tc>
        <w:tc>
          <w:tcPr>
            <w:tcW w:w="1291" w:type="dxa"/>
            <w:vAlign w:val="center"/>
          </w:tcPr>
          <w:p w:rsidR="00434D33" w:rsidRDefault="00B21395">
            <w:pPr>
              <w:jc w:val="right"/>
            </w:pPr>
            <w:r>
              <w:rPr>
                <w:rFonts w:eastAsiaTheme="minorEastAsia"/>
                <w:color w:val="000000" w:themeColor="text1"/>
                <w:szCs w:val="21"/>
              </w:rPr>
              <w:t>-6.56%</w:t>
            </w:r>
          </w:p>
        </w:tc>
        <w:tc>
          <w:tcPr>
            <w:tcW w:w="1291" w:type="dxa"/>
            <w:vAlign w:val="center"/>
          </w:tcPr>
          <w:p w:rsidR="00434D33" w:rsidRDefault="00B21395">
            <w:pPr>
              <w:jc w:val="right"/>
            </w:pPr>
            <w:r>
              <w:rPr>
                <w:rFonts w:eastAsiaTheme="minorEastAsia"/>
                <w:color w:val="000000" w:themeColor="text1"/>
                <w:szCs w:val="21"/>
              </w:rPr>
              <w:t>1.05%</w:t>
            </w:r>
          </w:p>
        </w:tc>
        <w:tc>
          <w:tcPr>
            <w:tcW w:w="1291" w:type="dxa"/>
            <w:vAlign w:val="center"/>
          </w:tcPr>
          <w:p w:rsidR="00434D33" w:rsidRDefault="00B21395">
            <w:pPr>
              <w:jc w:val="right"/>
            </w:pPr>
            <w:r>
              <w:rPr>
                <w:rFonts w:eastAsiaTheme="minorEastAsia"/>
                <w:color w:val="000000" w:themeColor="text1"/>
                <w:szCs w:val="21"/>
              </w:rPr>
              <w:t>-2.63%</w:t>
            </w:r>
          </w:p>
        </w:tc>
        <w:tc>
          <w:tcPr>
            <w:tcW w:w="1291" w:type="dxa"/>
            <w:vAlign w:val="center"/>
          </w:tcPr>
          <w:p w:rsidR="00434D33" w:rsidRDefault="00B21395">
            <w:pPr>
              <w:jc w:val="right"/>
            </w:pPr>
            <w:r>
              <w:rPr>
                <w:rFonts w:eastAsiaTheme="minorEastAsia"/>
                <w:color w:val="000000" w:themeColor="text1"/>
                <w:szCs w:val="21"/>
              </w:rPr>
              <w:t>0.70%</w:t>
            </w:r>
          </w:p>
        </w:tc>
        <w:tc>
          <w:tcPr>
            <w:tcW w:w="1291" w:type="dxa"/>
            <w:vAlign w:val="center"/>
          </w:tcPr>
          <w:p w:rsidR="00434D33" w:rsidRDefault="00B21395">
            <w:pPr>
              <w:jc w:val="right"/>
            </w:pPr>
            <w:r>
              <w:rPr>
                <w:rFonts w:eastAsiaTheme="minorEastAsia"/>
                <w:color w:val="000000" w:themeColor="text1"/>
                <w:szCs w:val="21"/>
              </w:rPr>
              <w:t>-3.93%</w:t>
            </w:r>
          </w:p>
        </w:tc>
        <w:tc>
          <w:tcPr>
            <w:tcW w:w="1291" w:type="dxa"/>
            <w:vAlign w:val="center"/>
          </w:tcPr>
          <w:p w:rsidR="00434D33" w:rsidRDefault="00B21395">
            <w:pPr>
              <w:jc w:val="right"/>
            </w:pPr>
            <w:r>
              <w:rPr>
                <w:rFonts w:eastAsiaTheme="minorEastAsia"/>
                <w:color w:val="000000" w:themeColor="text1"/>
                <w:szCs w:val="21"/>
              </w:rPr>
              <w:t>0.35%</w:t>
            </w:r>
          </w:p>
        </w:tc>
      </w:tr>
      <w:tr w:rsidR="00434D33">
        <w:tc>
          <w:tcPr>
            <w:tcW w:w="1290" w:type="dxa"/>
            <w:vAlign w:val="center"/>
          </w:tcPr>
          <w:p w:rsidR="00434D33" w:rsidRDefault="00B21395">
            <w:pPr>
              <w:jc w:val="left"/>
            </w:pPr>
            <w:r>
              <w:rPr>
                <w:rFonts w:eastAsiaTheme="minorEastAsia"/>
                <w:color w:val="000000" w:themeColor="text1"/>
                <w:szCs w:val="21"/>
              </w:rPr>
              <w:t>过去六个月</w:t>
            </w:r>
          </w:p>
        </w:tc>
        <w:tc>
          <w:tcPr>
            <w:tcW w:w="1291" w:type="dxa"/>
            <w:vAlign w:val="center"/>
          </w:tcPr>
          <w:p w:rsidR="00434D33" w:rsidRDefault="00B21395">
            <w:pPr>
              <w:jc w:val="right"/>
            </w:pPr>
            <w:r>
              <w:rPr>
                <w:rFonts w:eastAsiaTheme="minorEastAsia"/>
                <w:color w:val="000000" w:themeColor="text1"/>
                <w:szCs w:val="21"/>
              </w:rPr>
              <w:t>-4.25%</w:t>
            </w:r>
          </w:p>
        </w:tc>
        <w:tc>
          <w:tcPr>
            <w:tcW w:w="1291" w:type="dxa"/>
            <w:vAlign w:val="center"/>
          </w:tcPr>
          <w:p w:rsidR="00434D33" w:rsidRDefault="00B21395">
            <w:pPr>
              <w:jc w:val="right"/>
            </w:pPr>
            <w:r>
              <w:rPr>
                <w:rFonts w:eastAsiaTheme="minorEastAsia"/>
                <w:color w:val="000000" w:themeColor="text1"/>
                <w:szCs w:val="21"/>
              </w:rPr>
              <w:t>1.39%</w:t>
            </w:r>
          </w:p>
        </w:tc>
        <w:tc>
          <w:tcPr>
            <w:tcW w:w="1291" w:type="dxa"/>
            <w:vAlign w:val="center"/>
          </w:tcPr>
          <w:p w:rsidR="00434D33" w:rsidRDefault="00B21395">
            <w:pPr>
              <w:jc w:val="right"/>
            </w:pPr>
            <w:r>
              <w:rPr>
                <w:rFonts w:eastAsiaTheme="minorEastAsia"/>
                <w:color w:val="000000" w:themeColor="text1"/>
                <w:szCs w:val="21"/>
              </w:rPr>
              <w:t>-1.16%</w:t>
            </w:r>
          </w:p>
        </w:tc>
        <w:tc>
          <w:tcPr>
            <w:tcW w:w="1291" w:type="dxa"/>
            <w:vAlign w:val="center"/>
          </w:tcPr>
          <w:p w:rsidR="00434D33" w:rsidRDefault="00B21395">
            <w:pPr>
              <w:jc w:val="right"/>
            </w:pPr>
            <w:r>
              <w:rPr>
                <w:rFonts w:eastAsiaTheme="minorEastAsia"/>
                <w:color w:val="000000" w:themeColor="text1"/>
                <w:szCs w:val="21"/>
              </w:rPr>
              <w:t>0.87%</w:t>
            </w:r>
          </w:p>
        </w:tc>
        <w:tc>
          <w:tcPr>
            <w:tcW w:w="1291" w:type="dxa"/>
            <w:vAlign w:val="center"/>
          </w:tcPr>
          <w:p w:rsidR="00434D33" w:rsidRDefault="00B21395">
            <w:pPr>
              <w:jc w:val="right"/>
            </w:pPr>
            <w:r>
              <w:rPr>
                <w:rFonts w:eastAsiaTheme="minorEastAsia"/>
                <w:color w:val="000000" w:themeColor="text1"/>
                <w:szCs w:val="21"/>
              </w:rPr>
              <w:t>-3.09%</w:t>
            </w:r>
          </w:p>
        </w:tc>
        <w:tc>
          <w:tcPr>
            <w:tcW w:w="1291" w:type="dxa"/>
            <w:vAlign w:val="center"/>
          </w:tcPr>
          <w:p w:rsidR="00434D33" w:rsidRDefault="00B21395">
            <w:pPr>
              <w:jc w:val="right"/>
            </w:pPr>
            <w:r>
              <w:rPr>
                <w:rFonts w:eastAsiaTheme="minorEastAsia"/>
                <w:color w:val="000000" w:themeColor="text1"/>
                <w:szCs w:val="21"/>
              </w:rPr>
              <w:t>0.52%</w:t>
            </w:r>
          </w:p>
        </w:tc>
      </w:tr>
      <w:tr w:rsidR="00434D33">
        <w:tc>
          <w:tcPr>
            <w:tcW w:w="1290" w:type="dxa"/>
            <w:vAlign w:val="center"/>
          </w:tcPr>
          <w:p w:rsidR="00434D33" w:rsidRDefault="00B21395">
            <w:pPr>
              <w:jc w:val="left"/>
            </w:pPr>
            <w:r>
              <w:rPr>
                <w:rFonts w:eastAsiaTheme="minorEastAsia"/>
                <w:color w:val="000000" w:themeColor="text1"/>
                <w:szCs w:val="21"/>
              </w:rPr>
              <w:t>过去一年</w:t>
            </w:r>
          </w:p>
        </w:tc>
        <w:tc>
          <w:tcPr>
            <w:tcW w:w="1291" w:type="dxa"/>
            <w:vAlign w:val="center"/>
          </w:tcPr>
          <w:p w:rsidR="00434D33" w:rsidRDefault="00B21395">
            <w:pPr>
              <w:jc w:val="right"/>
            </w:pPr>
            <w:r>
              <w:rPr>
                <w:rFonts w:eastAsiaTheme="minorEastAsia"/>
                <w:color w:val="000000" w:themeColor="text1"/>
                <w:szCs w:val="21"/>
              </w:rPr>
              <w:t>-34.84%</w:t>
            </w:r>
          </w:p>
        </w:tc>
        <w:tc>
          <w:tcPr>
            <w:tcW w:w="1291" w:type="dxa"/>
            <w:vAlign w:val="center"/>
          </w:tcPr>
          <w:p w:rsidR="00434D33" w:rsidRDefault="00B21395">
            <w:pPr>
              <w:jc w:val="right"/>
            </w:pPr>
            <w:r>
              <w:rPr>
                <w:rFonts w:eastAsiaTheme="minorEastAsia"/>
                <w:color w:val="000000" w:themeColor="text1"/>
                <w:szCs w:val="21"/>
              </w:rPr>
              <w:t>1.38%</w:t>
            </w:r>
          </w:p>
        </w:tc>
        <w:tc>
          <w:tcPr>
            <w:tcW w:w="1291" w:type="dxa"/>
            <w:vAlign w:val="center"/>
          </w:tcPr>
          <w:p w:rsidR="00434D33" w:rsidRDefault="00B21395">
            <w:pPr>
              <w:jc w:val="right"/>
            </w:pPr>
            <w:r>
              <w:rPr>
                <w:rFonts w:eastAsiaTheme="minorEastAsia"/>
                <w:color w:val="000000" w:themeColor="text1"/>
                <w:szCs w:val="21"/>
              </w:rPr>
              <w:t>-9.72%</w:t>
            </w:r>
          </w:p>
        </w:tc>
        <w:tc>
          <w:tcPr>
            <w:tcW w:w="1291" w:type="dxa"/>
            <w:vAlign w:val="center"/>
          </w:tcPr>
          <w:p w:rsidR="00434D33" w:rsidRDefault="00B21395">
            <w:pPr>
              <w:jc w:val="right"/>
            </w:pPr>
            <w:r>
              <w:rPr>
                <w:rFonts w:eastAsiaTheme="minorEastAsia"/>
                <w:color w:val="000000" w:themeColor="text1"/>
                <w:szCs w:val="21"/>
              </w:rPr>
              <w:t>0.79%</w:t>
            </w:r>
          </w:p>
        </w:tc>
        <w:tc>
          <w:tcPr>
            <w:tcW w:w="1291" w:type="dxa"/>
            <w:vAlign w:val="center"/>
          </w:tcPr>
          <w:p w:rsidR="00434D33" w:rsidRDefault="00B21395">
            <w:pPr>
              <w:jc w:val="right"/>
            </w:pPr>
            <w:r>
              <w:rPr>
                <w:rFonts w:eastAsiaTheme="minorEastAsia"/>
                <w:color w:val="000000" w:themeColor="text1"/>
                <w:szCs w:val="21"/>
              </w:rPr>
              <w:t>-25.12%</w:t>
            </w:r>
          </w:p>
        </w:tc>
        <w:tc>
          <w:tcPr>
            <w:tcW w:w="1291" w:type="dxa"/>
            <w:vAlign w:val="center"/>
          </w:tcPr>
          <w:p w:rsidR="00434D33" w:rsidRDefault="00B21395">
            <w:pPr>
              <w:jc w:val="right"/>
            </w:pPr>
            <w:r>
              <w:rPr>
                <w:rFonts w:eastAsiaTheme="minorEastAsia"/>
                <w:color w:val="000000" w:themeColor="text1"/>
                <w:szCs w:val="21"/>
              </w:rPr>
              <w:t>0.59%</w:t>
            </w:r>
          </w:p>
        </w:tc>
      </w:tr>
      <w:tr w:rsidR="00434D33">
        <w:tc>
          <w:tcPr>
            <w:tcW w:w="1290" w:type="dxa"/>
            <w:vAlign w:val="center"/>
          </w:tcPr>
          <w:p w:rsidR="00434D33" w:rsidRDefault="00B21395">
            <w:pPr>
              <w:jc w:val="left"/>
            </w:pPr>
            <w:r>
              <w:rPr>
                <w:rFonts w:eastAsiaTheme="minorEastAsia"/>
                <w:color w:val="000000" w:themeColor="text1"/>
                <w:szCs w:val="21"/>
              </w:rPr>
              <w:t>过去三年</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r>
      <w:tr w:rsidR="00434D33">
        <w:tc>
          <w:tcPr>
            <w:tcW w:w="1290" w:type="dxa"/>
            <w:vAlign w:val="center"/>
          </w:tcPr>
          <w:p w:rsidR="00434D33" w:rsidRDefault="00B21395">
            <w:pPr>
              <w:jc w:val="left"/>
            </w:pPr>
            <w:r>
              <w:rPr>
                <w:rFonts w:eastAsiaTheme="minorEastAsia"/>
                <w:color w:val="000000" w:themeColor="text1"/>
                <w:szCs w:val="21"/>
              </w:rPr>
              <w:t>过去五年</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c>
          <w:tcPr>
            <w:tcW w:w="1291" w:type="dxa"/>
            <w:vAlign w:val="center"/>
          </w:tcPr>
          <w:p w:rsidR="00434D33" w:rsidRDefault="00B21395">
            <w:pPr>
              <w:jc w:val="right"/>
            </w:pPr>
            <w:r>
              <w:rPr>
                <w:rFonts w:eastAsiaTheme="minorEastAsia"/>
                <w:color w:val="000000" w:themeColor="text1"/>
                <w:szCs w:val="21"/>
              </w:rPr>
              <w:t>-</w:t>
            </w:r>
          </w:p>
        </w:tc>
      </w:tr>
      <w:tr w:rsidR="00434D33">
        <w:tc>
          <w:tcPr>
            <w:tcW w:w="1290" w:type="dxa"/>
            <w:vAlign w:val="center"/>
          </w:tcPr>
          <w:p w:rsidR="00434D33" w:rsidRDefault="00B21395">
            <w:pPr>
              <w:jc w:val="left"/>
            </w:pPr>
            <w:r>
              <w:rPr>
                <w:rFonts w:eastAsiaTheme="minorEastAsia"/>
                <w:color w:val="000000" w:themeColor="text1"/>
                <w:szCs w:val="21"/>
              </w:rPr>
              <w:t>自基金合同生效起至今</w:t>
            </w:r>
          </w:p>
        </w:tc>
        <w:tc>
          <w:tcPr>
            <w:tcW w:w="1291" w:type="dxa"/>
            <w:vAlign w:val="center"/>
          </w:tcPr>
          <w:p w:rsidR="00434D33" w:rsidRDefault="00B21395">
            <w:pPr>
              <w:jc w:val="right"/>
            </w:pPr>
            <w:r>
              <w:rPr>
                <w:rFonts w:eastAsiaTheme="minorEastAsia"/>
                <w:color w:val="000000" w:themeColor="text1"/>
                <w:szCs w:val="21"/>
              </w:rPr>
              <w:t>-56.95%</w:t>
            </w:r>
          </w:p>
        </w:tc>
        <w:tc>
          <w:tcPr>
            <w:tcW w:w="1291" w:type="dxa"/>
            <w:vAlign w:val="center"/>
          </w:tcPr>
          <w:p w:rsidR="00434D33" w:rsidRDefault="00B21395">
            <w:pPr>
              <w:jc w:val="right"/>
            </w:pPr>
            <w:r>
              <w:rPr>
                <w:rFonts w:eastAsiaTheme="minorEastAsia"/>
                <w:color w:val="000000" w:themeColor="text1"/>
                <w:szCs w:val="21"/>
              </w:rPr>
              <w:t>1.75%</w:t>
            </w:r>
          </w:p>
        </w:tc>
        <w:tc>
          <w:tcPr>
            <w:tcW w:w="1291" w:type="dxa"/>
            <w:vAlign w:val="center"/>
          </w:tcPr>
          <w:p w:rsidR="00434D33" w:rsidRDefault="00B21395">
            <w:pPr>
              <w:jc w:val="right"/>
            </w:pPr>
            <w:r>
              <w:rPr>
                <w:rFonts w:eastAsiaTheme="minorEastAsia"/>
                <w:color w:val="000000" w:themeColor="text1"/>
                <w:szCs w:val="21"/>
              </w:rPr>
              <w:t>-20.86%</w:t>
            </w:r>
          </w:p>
        </w:tc>
        <w:tc>
          <w:tcPr>
            <w:tcW w:w="1291" w:type="dxa"/>
            <w:vAlign w:val="center"/>
          </w:tcPr>
          <w:p w:rsidR="00434D33" w:rsidRDefault="00B21395">
            <w:pPr>
              <w:jc w:val="right"/>
            </w:pPr>
            <w:r>
              <w:rPr>
                <w:rFonts w:eastAsiaTheme="minorEastAsia"/>
                <w:color w:val="000000" w:themeColor="text1"/>
                <w:szCs w:val="21"/>
              </w:rPr>
              <w:t>0.90%</w:t>
            </w:r>
          </w:p>
        </w:tc>
        <w:tc>
          <w:tcPr>
            <w:tcW w:w="1291" w:type="dxa"/>
            <w:vAlign w:val="center"/>
          </w:tcPr>
          <w:p w:rsidR="00434D33" w:rsidRDefault="00B21395">
            <w:pPr>
              <w:jc w:val="right"/>
            </w:pPr>
            <w:r>
              <w:rPr>
                <w:rFonts w:eastAsiaTheme="minorEastAsia"/>
                <w:color w:val="000000" w:themeColor="text1"/>
                <w:szCs w:val="21"/>
              </w:rPr>
              <w:t>-36.09%</w:t>
            </w:r>
          </w:p>
        </w:tc>
        <w:tc>
          <w:tcPr>
            <w:tcW w:w="1291" w:type="dxa"/>
            <w:vAlign w:val="center"/>
          </w:tcPr>
          <w:p w:rsidR="00434D33" w:rsidRDefault="00B21395">
            <w:pPr>
              <w:jc w:val="right"/>
            </w:pPr>
            <w:r>
              <w:rPr>
                <w:rFonts w:eastAsiaTheme="minorEastAsia"/>
                <w:color w:val="000000" w:themeColor="text1"/>
                <w:szCs w:val="21"/>
              </w:rPr>
              <w:t>0.85%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34D33">
        <w:tc>
          <w:tcPr>
            <w:tcW w:w="952" w:type="dxa"/>
            <w:vAlign w:val="center"/>
          </w:tcPr>
          <w:p w:rsidR="00434D33" w:rsidRDefault="00B21395">
            <w:pPr>
              <w:jc w:val="center"/>
            </w:pPr>
            <w:r>
              <w:rPr>
                <w:rFonts w:eastAsiaTheme="minorEastAsia"/>
                <w:color w:val="000000" w:themeColor="text1"/>
                <w:szCs w:val="21"/>
              </w:rPr>
              <w:t>李博</w:t>
            </w:r>
          </w:p>
        </w:tc>
        <w:tc>
          <w:tcPr>
            <w:tcW w:w="930" w:type="dxa"/>
            <w:vAlign w:val="center"/>
          </w:tcPr>
          <w:p w:rsidR="00434D33" w:rsidRDefault="00B21395">
            <w:pPr>
              <w:jc w:val="center"/>
            </w:pPr>
            <w:r>
              <w:rPr>
                <w:rFonts w:eastAsiaTheme="minorEastAsia"/>
                <w:color w:val="000000" w:themeColor="text1"/>
                <w:szCs w:val="21"/>
              </w:rPr>
              <w:t>本基金基金经理</w:t>
            </w:r>
          </w:p>
        </w:tc>
        <w:tc>
          <w:tcPr>
            <w:tcW w:w="1210" w:type="dxa"/>
            <w:vAlign w:val="center"/>
          </w:tcPr>
          <w:p w:rsidR="00434D33" w:rsidRDefault="00B21395">
            <w:pPr>
              <w:jc w:val="center"/>
            </w:pPr>
            <w:r>
              <w:rPr>
                <w:rFonts w:eastAsiaTheme="minorEastAsia"/>
                <w:color w:val="000000" w:themeColor="text1"/>
                <w:szCs w:val="21"/>
              </w:rPr>
              <w:t>2018-11-29</w:t>
            </w:r>
          </w:p>
        </w:tc>
        <w:tc>
          <w:tcPr>
            <w:tcW w:w="1309" w:type="dxa"/>
            <w:vAlign w:val="center"/>
          </w:tcPr>
          <w:p w:rsidR="00434D33" w:rsidRDefault="00B21395">
            <w:pPr>
              <w:jc w:val="center"/>
            </w:pPr>
            <w:r>
              <w:rPr>
                <w:rFonts w:eastAsiaTheme="minorEastAsia"/>
                <w:color w:val="000000" w:themeColor="text1"/>
                <w:szCs w:val="21"/>
              </w:rPr>
              <w:t>-</w:t>
            </w:r>
          </w:p>
        </w:tc>
        <w:tc>
          <w:tcPr>
            <w:tcW w:w="1254" w:type="dxa"/>
            <w:vAlign w:val="center"/>
          </w:tcPr>
          <w:p w:rsidR="00434D33" w:rsidRDefault="00B2139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434D33" w:rsidRDefault="00B21395">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434D33">
        <w:tc>
          <w:tcPr>
            <w:tcW w:w="952" w:type="dxa"/>
            <w:vAlign w:val="center"/>
          </w:tcPr>
          <w:p w:rsidR="00434D33" w:rsidRDefault="00B21395">
            <w:pPr>
              <w:jc w:val="center"/>
            </w:pPr>
            <w:r>
              <w:rPr>
                <w:rFonts w:eastAsiaTheme="minorEastAsia"/>
                <w:color w:val="000000" w:themeColor="text1"/>
                <w:szCs w:val="21"/>
              </w:rPr>
              <w:lastRenderedPageBreak/>
              <w:t>赵隆隆</w:t>
            </w:r>
          </w:p>
        </w:tc>
        <w:tc>
          <w:tcPr>
            <w:tcW w:w="930" w:type="dxa"/>
            <w:vAlign w:val="center"/>
          </w:tcPr>
          <w:p w:rsidR="00434D33" w:rsidRDefault="00B21395">
            <w:pPr>
              <w:jc w:val="center"/>
            </w:pPr>
            <w:r>
              <w:rPr>
                <w:rFonts w:eastAsiaTheme="minorEastAsia"/>
                <w:color w:val="000000" w:themeColor="text1"/>
                <w:szCs w:val="21"/>
              </w:rPr>
              <w:t>本基金基金经理</w:t>
            </w:r>
          </w:p>
        </w:tc>
        <w:tc>
          <w:tcPr>
            <w:tcW w:w="1210" w:type="dxa"/>
            <w:vAlign w:val="center"/>
          </w:tcPr>
          <w:p w:rsidR="00434D33" w:rsidRDefault="00B21395">
            <w:pPr>
              <w:jc w:val="center"/>
            </w:pPr>
            <w:r>
              <w:rPr>
                <w:rFonts w:eastAsiaTheme="minorEastAsia"/>
                <w:color w:val="000000" w:themeColor="text1"/>
                <w:szCs w:val="21"/>
              </w:rPr>
              <w:t>2021-04-23</w:t>
            </w:r>
          </w:p>
        </w:tc>
        <w:tc>
          <w:tcPr>
            <w:tcW w:w="1309" w:type="dxa"/>
            <w:vAlign w:val="center"/>
          </w:tcPr>
          <w:p w:rsidR="00434D33" w:rsidRDefault="00B21395">
            <w:pPr>
              <w:jc w:val="center"/>
            </w:pPr>
            <w:r>
              <w:rPr>
                <w:rFonts w:eastAsiaTheme="minorEastAsia"/>
                <w:color w:val="000000" w:themeColor="text1"/>
                <w:szCs w:val="21"/>
              </w:rPr>
              <w:t>-</w:t>
            </w:r>
          </w:p>
        </w:tc>
        <w:tc>
          <w:tcPr>
            <w:tcW w:w="1254" w:type="dxa"/>
            <w:vAlign w:val="center"/>
          </w:tcPr>
          <w:p w:rsidR="00434D33" w:rsidRDefault="00B2139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434D33" w:rsidRDefault="00B21395">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434D33" w:rsidRDefault="00B213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434D33" w:rsidRDefault="00B213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年二季度，市场</w:t>
      </w:r>
      <w:r>
        <w:rPr>
          <w:rFonts w:eastAsiaTheme="minorEastAsia"/>
          <w:color w:val="000000" w:themeColor="text1"/>
          <w:szCs w:val="21"/>
        </w:rPr>
        <w:t>在经历一季度先抑后扬后，四五月整体平稳，六月下跌较多，最终上证指数下跌</w:t>
      </w:r>
      <w:r>
        <w:rPr>
          <w:rFonts w:eastAsiaTheme="minorEastAsia"/>
          <w:color w:val="000000" w:themeColor="text1"/>
          <w:szCs w:val="21"/>
        </w:rPr>
        <w:t>2.43%</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，创业板指下跌</w:t>
      </w:r>
      <w:r>
        <w:rPr>
          <w:rFonts w:eastAsiaTheme="minorEastAsia"/>
          <w:color w:val="000000" w:themeColor="text1"/>
          <w:szCs w:val="21"/>
        </w:rPr>
        <w:t>7.41%</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下跌</w:t>
      </w:r>
      <w:r>
        <w:rPr>
          <w:rFonts w:eastAsiaTheme="minorEastAsia"/>
          <w:color w:val="000000" w:themeColor="text1"/>
          <w:szCs w:val="21"/>
        </w:rPr>
        <w:t>6.64%</w:t>
      </w:r>
      <w:r>
        <w:rPr>
          <w:rFonts w:eastAsiaTheme="minorEastAsia"/>
          <w:color w:val="000000" w:themeColor="text1"/>
          <w:szCs w:val="21"/>
        </w:rPr>
        <w:t>，北证</w:t>
      </w:r>
      <w:r>
        <w:rPr>
          <w:rFonts w:eastAsiaTheme="minorEastAsia"/>
          <w:color w:val="000000" w:themeColor="text1"/>
          <w:szCs w:val="21"/>
        </w:rPr>
        <w:t>50</w:t>
      </w:r>
      <w:r>
        <w:rPr>
          <w:rFonts w:eastAsiaTheme="minorEastAsia"/>
          <w:color w:val="000000" w:themeColor="text1"/>
          <w:szCs w:val="21"/>
        </w:rPr>
        <w:t>下跌</w:t>
      </w:r>
      <w:r>
        <w:rPr>
          <w:rFonts w:eastAsiaTheme="minorEastAsia"/>
          <w:color w:val="000000" w:themeColor="text1"/>
          <w:szCs w:val="21"/>
        </w:rPr>
        <w:t>16.18%</w:t>
      </w:r>
      <w:r>
        <w:rPr>
          <w:rFonts w:eastAsiaTheme="minorEastAsia"/>
          <w:color w:val="000000" w:themeColor="text1"/>
          <w:szCs w:val="21"/>
        </w:rPr>
        <w:t>。风格上，二季度延续一季度明显大票占优，红利指数继续一路领先。行业板块跌多涨少，主线仍集中在红利及资源板块，具体分行业来看（申万一级行业分类），一季度正收益行业</w:t>
      </w:r>
      <w:r>
        <w:rPr>
          <w:rFonts w:eastAsiaTheme="minorEastAsia"/>
          <w:color w:val="000000" w:themeColor="text1"/>
          <w:szCs w:val="21"/>
        </w:rPr>
        <w:t>10/31</w:t>
      </w:r>
      <w:r>
        <w:rPr>
          <w:rFonts w:eastAsiaTheme="minorEastAsia"/>
          <w:color w:val="000000" w:themeColor="text1"/>
          <w:szCs w:val="21"/>
        </w:rPr>
        <w:t>，涨幅前五的行业为公用事业（</w:t>
      </w:r>
      <w:r>
        <w:rPr>
          <w:rFonts w:eastAsiaTheme="minorEastAsia"/>
          <w:color w:val="000000" w:themeColor="text1"/>
          <w:szCs w:val="21"/>
        </w:rPr>
        <w:t>9.75%</w:t>
      </w:r>
      <w:r>
        <w:rPr>
          <w:rFonts w:eastAsiaTheme="minorEastAsia"/>
          <w:color w:val="000000" w:themeColor="text1"/>
          <w:szCs w:val="21"/>
        </w:rPr>
        <w:t>）、电子（</w:t>
      </w:r>
      <w:r>
        <w:rPr>
          <w:rFonts w:eastAsiaTheme="minorEastAsia"/>
          <w:color w:val="000000" w:themeColor="text1"/>
          <w:szCs w:val="21"/>
        </w:rPr>
        <w:t>7.89%</w:t>
      </w:r>
      <w:r>
        <w:rPr>
          <w:rFonts w:eastAsiaTheme="minorEastAsia"/>
          <w:color w:val="000000" w:themeColor="text1"/>
          <w:szCs w:val="21"/>
        </w:rPr>
        <w:t>）、煤炭（</w:t>
      </w:r>
      <w:r>
        <w:rPr>
          <w:rFonts w:eastAsiaTheme="minorEastAsia"/>
          <w:color w:val="000000" w:themeColor="text1"/>
          <w:szCs w:val="21"/>
        </w:rPr>
        <w:t>7.84%</w:t>
      </w:r>
      <w:r>
        <w:rPr>
          <w:rFonts w:eastAsiaTheme="minorEastAsia"/>
          <w:color w:val="000000" w:themeColor="text1"/>
          <w:szCs w:val="21"/>
        </w:rPr>
        <w:t>），银行（</w:t>
      </w:r>
      <w:r>
        <w:rPr>
          <w:rFonts w:eastAsiaTheme="minorEastAsia"/>
          <w:color w:val="000000" w:themeColor="text1"/>
          <w:szCs w:val="21"/>
        </w:rPr>
        <w:t>7.79%</w:t>
      </w:r>
      <w:r>
        <w:rPr>
          <w:rFonts w:eastAsiaTheme="minorEastAsia"/>
          <w:color w:val="000000" w:themeColor="text1"/>
          <w:szCs w:val="21"/>
        </w:rPr>
        <w:t>），交通运输（</w:t>
      </w:r>
      <w:r>
        <w:rPr>
          <w:rFonts w:eastAsiaTheme="minorEastAsia"/>
          <w:color w:val="000000" w:themeColor="text1"/>
          <w:szCs w:val="21"/>
        </w:rPr>
        <w:t>5.91%</w:t>
      </w:r>
      <w:r>
        <w:rPr>
          <w:rFonts w:eastAsiaTheme="minorEastAsia"/>
          <w:color w:val="000000" w:themeColor="text1"/>
          <w:szCs w:val="21"/>
        </w:rPr>
        <w:t>），跌幅前五的行业为综合</w:t>
      </w:r>
      <w:r>
        <w:rPr>
          <w:rFonts w:eastAsiaTheme="minorEastAsia"/>
          <w:color w:val="000000" w:themeColor="text1"/>
          <w:szCs w:val="21"/>
        </w:rPr>
        <w:t>(-19.5</w:t>
      </w:r>
      <w:r>
        <w:rPr>
          <w:rFonts w:eastAsiaTheme="minorEastAsia"/>
          <w:color w:val="000000" w:themeColor="text1"/>
          <w:szCs w:val="21"/>
        </w:rPr>
        <w:t>4%)</w:t>
      </w:r>
      <w:r>
        <w:rPr>
          <w:rFonts w:eastAsiaTheme="minorEastAsia"/>
          <w:color w:val="000000" w:themeColor="text1"/>
          <w:szCs w:val="21"/>
        </w:rPr>
        <w:t>、传媒（</w:t>
      </w:r>
      <w:r>
        <w:rPr>
          <w:rFonts w:eastAsiaTheme="minorEastAsia"/>
          <w:color w:val="000000" w:themeColor="text1"/>
          <w:szCs w:val="21"/>
        </w:rPr>
        <w:t>-16.31%</w:t>
      </w:r>
      <w:r>
        <w:rPr>
          <w:rFonts w:eastAsiaTheme="minorEastAsia"/>
          <w:color w:val="000000" w:themeColor="text1"/>
          <w:szCs w:val="21"/>
        </w:rPr>
        <w:t>）、商贸零售（</w:t>
      </w:r>
      <w:r>
        <w:rPr>
          <w:rFonts w:eastAsiaTheme="minorEastAsia"/>
          <w:color w:val="000000" w:themeColor="text1"/>
          <w:szCs w:val="21"/>
        </w:rPr>
        <w:t>-15.28%</w:t>
      </w:r>
      <w:r>
        <w:rPr>
          <w:rFonts w:eastAsiaTheme="minorEastAsia"/>
          <w:color w:val="000000" w:themeColor="text1"/>
          <w:szCs w:val="21"/>
        </w:rPr>
        <w:t>）、社会服务（</w:t>
      </w:r>
      <w:r>
        <w:rPr>
          <w:rFonts w:eastAsiaTheme="minorEastAsia"/>
          <w:color w:val="000000" w:themeColor="text1"/>
          <w:szCs w:val="21"/>
        </w:rPr>
        <w:t>-14.19%</w:t>
      </w:r>
      <w:r>
        <w:rPr>
          <w:rFonts w:eastAsiaTheme="minorEastAsia"/>
          <w:color w:val="000000" w:themeColor="text1"/>
          <w:szCs w:val="21"/>
        </w:rPr>
        <w:t>）和食品饮料（</w:t>
      </w:r>
      <w:r>
        <w:rPr>
          <w:rFonts w:eastAsiaTheme="minorEastAsia"/>
          <w:color w:val="000000" w:themeColor="text1"/>
          <w:szCs w:val="21"/>
        </w:rPr>
        <w:t>-12.29%</w:t>
      </w:r>
      <w:r>
        <w:rPr>
          <w:rFonts w:eastAsiaTheme="minorEastAsia"/>
          <w:color w:val="000000" w:themeColor="text1"/>
          <w:szCs w:val="21"/>
        </w:rPr>
        <w:t>）。电力设备板块跌幅</w:t>
      </w:r>
      <w:r>
        <w:rPr>
          <w:rFonts w:eastAsiaTheme="minorEastAsia"/>
          <w:color w:val="000000" w:themeColor="text1"/>
          <w:szCs w:val="21"/>
        </w:rPr>
        <w:t>6.47%</w:t>
      </w:r>
      <w:r>
        <w:rPr>
          <w:rFonts w:eastAsiaTheme="minorEastAsia"/>
          <w:color w:val="000000" w:themeColor="text1"/>
          <w:szCs w:val="21"/>
        </w:rPr>
        <w:t>，位列</w:t>
      </w:r>
      <w:r>
        <w:rPr>
          <w:rFonts w:eastAsiaTheme="minorEastAsia"/>
          <w:color w:val="000000" w:themeColor="text1"/>
          <w:szCs w:val="21"/>
        </w:rPr>
        <w:t>21/31</w:t>
      </w:r>
      <w:r>
        <w:rPr>
          <w:rFonts w:eastAsiaTheme="minorEastAsia"/>
          <w:color w:val="000000" w:themeColor="text1"/>
          <w:szCs w:val="21"/>
        </w:rPr>
        <w:t>。中证光伏产业指数二季度下跌</w:t>
      </w:r>
      <w:r>
        <w:rPr>
          <w:rFonts w:eastAsiaTheme="minorEastAsia"/>
          <w:color w:val="000000" w:themeColor="text1"/>
          <w:szCs w:val="21"/>
        </w:rPr>
        <w:t>19.77%</w:t>
      </w:r>
      <w:r>
        <w:rPr>
          <w:rFonts w:eastAsiaTheme="minorEastAsia"/>
          <w:color w:val="000000" w:themeColor="text1"/>
          <w:szCs w:val="21"/>
        </w:rPr>
        <w:t>，中证新能指数二季度下跌</w:t>
      </w:r>
      <w:r>
        <w:rPr>
          <w:rFonts w:eastAsiaTheme="minorEastAsia"/>
          <w:color w:val="000000" w:themeColor="text1"/>
          <w:szCs w:val="21"/>
        </w:rPr>
        <w:t>15.08%</w:t>
      </w:r>
      <w:r>
        <w:rPr>
          <w:rFonts w:eastAsiaTheme="minorEastAsia"/>
          <w:color w:val="000000" w:themeColor="text1"/>
          <w:szCs w:val="21"/>
        </w:rPr>
        <w:t>，本基金二季度净值下跌</w:t>
      </w:r>
      <w:r>
        <w:rPr>
          <w:rFonts w:eastAsiaTheme="minorEastAsia"/>
          <w:color w:val="000000" w:themeColor="text1"/>
          <w:szCs w:val="21"/>
        </w:rPr>
        <w:t>6.42%</w:t>
      </w:r>
      <w:r>
        <w:rPr>
          <w:rFonts w:eastAsiaTheme="minorEastAsia"/>
          <w:color w:val="000000" w:themeColor="text1"/>
          <w:szCs w:val="21"/>
        </w:rPr>
        <w:t>，取得了一定超额收益。</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在经历了过去两年多新能源板块单边下跌之后，部分光储公司</w:t>
      </w:r>
      <w:r>
        <w:rPr>
          <w:rFonts w:eastAsiaTheme="minorEastAsia"/>
          <w:color w:val="000000" w:themeColor="text1"/>
          <w:szCs w:val="21"/>
        </w:rPr>
        <w:t>23</w:t>
      </w:r>
      <w:r>
        <w:rPr>
          <w:rFonts w:eastAsiaTheme="minorEastAsia"/>
          <w:color w:val="000000" w:themeColor="text1"/>
          <w:szCs w:val="21"/>
        </w:rPr>
        <w:t>年三四季度基本面开始出现了边际减弱，尤其进入</w:t>
      </w:r>
      <w:r>
        <w:rPr>
          <w:rFonts w:eastAsiaTheme="minorEastAsia"/>
          <w:color w:val="000000" w:themeColor="text1"/>
          <w:szCs w:val="21"/>
        </w:rPr>
        <w:t>24</w:t>
      </w:r>
      <w:r>
        <w:rPr>
          <w:rFonts w:eastAsiaTheme="minorEastAsia"/>
          <w:color w:val="000000" w:themeColor="text1"/>
          <w:szCs w:val="21"/>
        </w:rPr>
        <w:t>年二季度，光伏主产业链几乎都进入亏损状态，行业已初步进入艰难的去产能阶段，从股价跌幅来看，市场已提前深度反映供需失衡</w:t>
      </w:r>
      <w:r>
        <w:rPr>
          <w:rFonts w:eastAsiaTheme="minorEastAsia"/>
          <w:color w:val="000000" w:themeColor="text1"/>
          <w:szCs w:val="21"/>
        </w:rPr>
        <w:t>及竞争格局恶化担忧，部分龙头公司目前已出现亏现金成本状态或会成为阶段性行业触底的信号，但反转仍需要时间。新能源汽车产业链先于光伏</w:t>
      </w:r>
      <w:r>
        <w:rPr>
          <w:rFonts w:eastAsiaTheme="minorEastAsia"/>
          <w:color w:val="000000" w:themeColor="text1"/>
          <w:szCs w:val="21"/>
        </w:rPr>
        <w:t>1-2</w:t>
      </w:r>
      <w:r>
        <w:rPr>
          <w:rFonts w:eastAsiaTheme="minorEastAsia"/>
          <w:color w:val="000000" w:themeColor="text1"/>
          <w:szCs w:val="21"/>
        </w:rPr>
        <w:t>年进入落后产能出清阶段，目前电池及部分材料环节已逐步走出出清阶段，单位盈利已温和修复中。新型电力系统的建设过程中，为保障新能源消纳以及电网稳定运行，加大电网投资迫在眉睫，一二次电力设备需求加速并在全球形成共振。</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投资策略上，本基金始终基于产业视角，坚持成长为主的投资策略，在新能源（风、光、电、储、氢）、先进制造等板块里寻找优质标的行业配置上，二季度整体做了一些调整，继续维持并</w:t>
      </w:r>
      <w:r>
        <w:rPr>
          <w:rFonts w:eastAsiaTheme="minorEastAsia"/>
          <w:color w:val="000000" w:themeColor="text1"/>
          <w:szCs w:val="21"/>
        </w:rPr>
        <w:t>加大配置了经营相对稳健的电力运营资产，降低光伏资产并加大了电网及新能源车配置比例，继续维持高仓位运行。</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国内外复杂多变的宏观环境仍然对成长股投资提出了极高的挑战。我们始终坚持在符合社会发展趋势的新能源、半导体等高端制造、自主可控等领域寻找机会。我们相信双碳目标的方向非常明确，企稳的超低终端光伏组件价格必然会激发出全球更多的装机需求，</w:t>
      </w:r>
      <w:r>
        <w:rPr>
          <w:rFonts w:eastAsiaTheme="minorEastAsia"/>
          <w:color w:val="000000" w:themeColor="text1"/>
          <w:szCs w:val="21"/>
        </w:rPr>
        <w:lastRenderedPageBreak/>
        <w:t>锂电碳酸锂价格的下行也极大增强了储能项目的经济性，阶段性过剩的产能可以通过需求增长和技术迭代解决，我们所需要的是再多一点点信心和耐心。一定程度上，目前光</w:t>
      </w:r>
      <w:r>
        <w:rPr>
          <w:rFonts w:eastAsiaTheme="minorEastAsia"/>
          <w:color w:val="000000" w:themeColor="text1"/>
          <w:szCs w:val="21"/>
        </w:rPr>
        <w:t>+</w:t>
      </w:r>
      <w:r>
        <w:rPr>
          <w:rFonts w:eastAsiaTheme="minorEastAsia"/>
          <w:color w:val="000000" w:themeColor="text1"/>
          <w:szCs w:val="21"/>
        </w:rPr>
        <w:t>储的经</w:t>
      </w:r>
      <w:r>
        <w:rPr>
          <w:rFonts w:eastAsiaTheme="minorEastAsia"/>
          <w:color w:val="000000" w:themeColor="text1"/>
          <w:szCs w:val="21"/>
        </w:rPr>
        <w:t>济性已经超过煤炭等传统能源，继续看好有技术优势、成本优势、渠道优势的龙头公司，并寻找并优先配置率先走出供需困境的细分领域。</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在有力的稳增长预期以及资本市场改革预期下，我们仍对市场后市持乐观态度，尤其是符合新的社会发展趋势的行业将具备较大投资机会，我们也会加大对新质生产力投资机会的研究和挖掘，路虽远行则将至。</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始终相信真正有成长性的行业和公司可以穿越周期，目前新能源主流标的估值已回归到历史低位，广阔的成长空间预计将带来较大投资机会，我们需要再耐心一些。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:-6.42%</w:t>
      </w:r>
      <w:r>
        <w:rPr>
          <w:rFonts w:eastAsiaTheme="minorEastAsia"/>
          <w:color w:val="000000" w:themeColor="text1"/>
          <w:szCs w:val="21"/>
        </w:rPr>
        <w:t>，同期业绩比较基准收益率为</w:t>
      </w:r>
      <w:r>
        <w:rPr>
          <w:rFonts w:eastAsiaTheme="minorEastAsia"/>
          <w:color w:val="000000" w:themeColor="text1"/>
          <w:szCs w:val="21"/>
        </w:rPr>
        <w:t>:-2.63%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:-2.63%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167,434,707.50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167,434,707.50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20,662,455.45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2,360,516.70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190,457,679.65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16,359,971.12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104,885,228.74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44,313,804.61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27,295.56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1,844,082.31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4,325.16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167,434,707.50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90.38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34D33">
        <w:tc>
          <w:tcPr>
            <w:tcW w:w="817" w:type="dxa"/>
            <w:vAlign w:val="center"/>
          </w:tcPr>
          <w:p w:rsidR="00434D33" w:rsidRDefault="00B21395">
            <w:pPr>
              <w:jc w:val="center"/>
            </w:pPr>
            <w:r>
              <w:rPr>
                <w:rFonts w:eastAsiaTheme="minorEastAsia"/>
                <w:kern w:val="0"/>
                <w:szCs w:val="21"/>
              </w:rPr>
              <w:t>1</w:t>
            </w:r>
          </w:p>
        </w:tc>
        <w:tc>
          <w:tcPr>
            <w:tcW w:w="1276" w:type="dxa"/>
            <w:vAlign w:val="center"/>
          </w:tcPr>
          <w:p w:rsidR="00434D33" w:rsidRDefault="00B21395">
            <w:pPr>
              <w:jc w:val="center"/>
            </w:pPr>
            <w:r>
              <w:rPr>
                <w:rFonts w:eastAsiaTheme="minorEastAsia"/>
                <w:kern w:val="0"/>
                <w:szCs w:val="21"/>
              </w:rPr>
              <w:t>300750</w:t>
            </w:r>
          </w:p>
        </w:tc>
        <w:tc>
          <w:tcPr>
            <w:tcW w:w="1701" w:type="dxa"/>
            <w:vAlign w:val="center"/>
          </w:tcPr>
          <w:p w:rsidR="00434D33" w:rsidRDefault="00B21395">
            <w:pPr>
              <w:jc w:val="center"/>
            </w:pPr>
            <w:r>
              <w:rPr>
                <w:rFonts w:eastAsiaTheme="minorEastAsia"/>
                <w:kern w:val="0"/>
                <w:szCs w:val="21"/>
              </w:rPr>
              <w:t>宁德时代</w:t>
            </w:r>
          </w:p>
        </w:tc>
        <w:tc>
          <w:tcPr>
            <w:tcW w:w="1276" w:type="dxa"/>
            <w:vAlign w:val="center"/>
          </w:tcPr>
          <w:p w:rsidR="00434D33" w:rsidRDefault="00B21395">
            <w:pPr>
              <w:jc w:val="right"/>
            </w:pPr>
            <w:r>
              <w:rPr>
                <w:rFonts w:eastAsiaTheme="minorEastAsia"/>
                <w:kern w:val="0"/>
                <w:szCs w:val="21"/>
              </w:rPr>
              <w:t>59,800.00</w:t>
            </w:r>
          </w:p>
        </w:tc>
        <w:tc>
          <w:tcPr>
            <w:tcW w:w="1842" w:type="dxa"/>
            <w:vAlign w:val="center"/>
          </w:tcPr>
          <w:p w:rsidR="00434D33" w:rsidRDefault="00B21395">
            <w:pPr>
              <w:jc w:val="right"/>
            </w:pPr>
            <w:r>
              <w:rPr>
                <w:rFonts w:eastAsiaTheme="minorEastAsia"/>
                <w:kern w:val="0"/>
                <w:szCs w:val="21"/>
              </w:rPr>
              <w:t>10,765,794.00</w:t>
            </w:r>
          </w:p>
        </w:tc>
        <w:tc>
          <w:tcPr>
            <w:tcW w:w="1616" w:type="dxa"/>
            <w:vAlign w:val="center"/>
          </w:tcPr>
          <w:p w:rsidR="00434D33" w:rsidRDefault="00B21395">
            <w:pPr>
              <w:jc w:val="right"/>
            </w:pPr>
            <w:r>
              <w:rPr>
                <w:rFonts w:eastAsiaTheme="minorEastAsia"/>
                <w:kern w:val="0"/>
                <w:szCs w:val="21"/>
              </w:rPr>
              <w:t>5.81</w:t>
            </w:r>
          </w:p>
        </w:tc>
      </w:tr>
      <w:tr w:rsidR="00434D33">
        <w:tc>
          <w:tcPr>
            <w:tcW w:w="817" w:type="dxa"/>
            <w:vAlign w:val="center"/>
          </w:tcPr>
          <w:p w:rsidR="00434D33" w:rsidRDefault="00B21395">
            <w:pPr>
              <w:jc w:val="center"/>
            </w:pPr>
            <w:r>
              <w:rPr>
                <w:rFonts w:eastAsiaTheme="minorEastAsia"/>
                <w:kern w:val="0"/>
                <w:szCs w:val="21"/>
              </w:rPr>
              <w:t>2</w:t>
            </w:r>
          </w:p>
        </w:tc>
        <w:tc>
          <w:tcPr>
            <w:tcW w:w="1276" w:type="dxa"/>
            <w:vAlign w:val="center"/>
          </w:tcPr>
          <w:p w:rsidR="00434D33" w:rsidRDefault="00B21395">
            <w:pPr>
              <w:jc w:val="center"/>
            </w:pPr>
            <w:r>
              <w:rPr>
                <w:rFonts w:eastAsiaTheme="minorEastAsia"/>
                <w:kern w:val="0"/>
                <w:szCs w:val="21"/>
              </w:rPr>
              <w:t>300274</w:t>
            </w:r>
          </w:p>
        </w:tc>
        <w:tc>
          <w:tcPr>
            <w:tcW w:w="1701" w:type="dxa"/>
            <w:vAlign w:val="center"/>
          </w:tcPr>
          <w:p w:rsidR="00434D33" w:rsidRDefault="00B21395">
            <w:pPr>
              <w:jc w:val="center"/>
            </w:pPr>
            <w:r>
              <w:rPr>
                <w:rFonts w:eastAsiaTheme="minorEastAsia"/>
                <w:kern w:val="0"/>
                <w:szCs w:val="21"/>
              </w:rPr>
              <w:t>阳光电源</w:t>
            </w:r>
          </w:p>
        </w:tc>
        <w:tc>
          <w:tcPr>
            <w:tcW w:w="1276" w:type="dxa"/>
            <w:vAlign w:val="center"/>
          </w:tcPr>
          <w:p w:rsidR="00434D33" w:rsidRDefault="00B21395">
            <w:pPr>
              <w:jc w:val="right"/>
            </w:pPr>
            <w:r>
              <w:rPr>
                <w:rFonts w:eastAsiaTheme="minorEastAsia"/>
                <w:kern w:val="0"/>
                <w:szCs w:val="21"/>
              </w:rPr>
              <w:t>154,108.00</w:t>
            </w:r>
          </w:p>
        </w:tc>
        <w:tc>
          <w:tcPr>
            <w:tcW w:w="1842" w:type="dxa"/>
            <w:vAlign w:val="center"/>
          </w:tcPr>
          <w:p w:rsidR="00434D33" w:rsidRDefault="00B21395">
            <w:pPr>
              <w:jc w:val="right"/>
            </w:pPr>
            <w:r>
              <w:rPr>
                <w:rFonts w:eastAsiaTheme="minorEastAsia"/>
                <w:kern w:val="0"/>
                <w:szCs w:val="21"/>
              </w:rPr>
              <w:t>9,559,319.24</w:t>
            </w:r>
          </w:p>
        </w:tc>
        <w:tc>
          <w:tcPr>
            <w:tcW w:w="1616" w:type="dxa"/>
            <w:vAlign w:val="center"/>
          </w:tcPr>
          <w:p w:rsidR="00434D33" w:rsidRDefault="00B21395">
            <w:pPr>
              <w:jc w:val="right"/>
            </w:pPr>
            <w:r>
              <w:rPr>
                <w:rFonts w:eastAsiaTheme="minorEastAsia"/>
                <w:kern w:val="0"/>
                <w:szCs w:val="21"/>
              </w:rPr>
              <w:t>5.16</w:t>
            </w:r>
          </w:p>
        </w:tc>
      </w:tr>
      <w:tr w:rsidR="00434D33">
        <w:tc>
          <w:tcPr>
            <w:tcW w:w="817" w:type="dxa"/>
            <w:vAlign w:val="center"/>
          </w:tcPr>
          <w:p w:rsidR="00434D33" w:rsidRDefault="00B21395">
            <w:pPr>
              <w:jc w:val="center"/>
            </w:pPr>
            <w:r>
              <w:rPr>
                <w:rFonts w:eastAsiaTheme="minorEastAsia"/>
                <w:kern w:val="0"/>
                <w:szCs w:val="21"/>
              </w:rPr>
              <w:t>3</w:t>
            </w:r>
          </w:p>
        </w:tc>
        <w:tc>
          <w:tcPr>
            <w:tcW w:w="1276" w:type="dxa"/>
            <w:vAlign w:val="center"/>
          </w:tcPr>
          <w:p w:rsidR="00434D33" w:rsidRDefault="00B21395">
            <w:pPr>
              <w:jc w:val="center"/>
            </w:pPr>
            <w:r>
              <w:rPr>
                <w:rFonts w:eastAsiaTheme="minorEastAsia"/>
                <w:kern w:val="0"/>
                <w:szCs w:val="21"/>
              </w:rPr>
              <w:t>300014</w:t>
            </w:r>
          </w:p>
        </w:tc>
        <w:tc>
          <w:tcPr>
            <w:tcW w:w="1701" w:type="dxa"/>
            <w:vAlign w:val="center"/>
          </w:tcPr>
          <w:p w:rsidR="00434D33" w:rsidRDefault="00B21395">
            <w:pPr>
              <w:jc w:val="center"/>
            </w:pPr>
            <w:r>
              <w:rPr>
                <w:rFonts w:eastAsiaTheme="minorEastAsia"/>
                <w:kern w:val="0"/>
                <w:szCs w:val="21"/>
              </w:rPr>
              <w:t>亿纬锂能</w:t>
            </w:r>
          </w:p>
        </w:tc>
        <w:tc>
          <w:tcPr>
            <w:tcW w:w="1276" w:type="dxa"/>
            <w:vAlign w:val="center"/>
          </w:tcPr>
          <w:p w:rsidR="00434D33" w:rsidRDefault="00B21395">
            <w:pPr>
              <w:jc w:val="right"/>
            </w:pPr>
            <w:r>
              <w:rPr>
                <w:rFonts w:eastAsiaTheme="minorEastAsia"/>
                <w:kern w:val="0"/>
                <w:szCs w:val="21"/>
              </w:rPr>
              <w:t>183,300.00</w:t>
            </w:r>
          </w:p>
        </w:tc>
        <w:tc>
          <w:tcPr>
            <w:tcW w:w="1842" w:type="dxa"/>
            <w:vAlign w:val="center"/>
          </w:tcPr>
          <w:p w:rsidR="00434D33" w:rsidRDefault="00B21395">
            <w:pPr>
              <w:jc w:val="right"/>
            </w:pPr>
            <w:r>
              <w:rPr>
                <w:rFonts w:eastAsiaTheme="minorEastAsia"/>
                <w:kern w:val="0"/>
                <w:szCs w:val="21"/>
              </w:rPr>
              <w:t>7,317,336.00</w:t>
            </w:r>
          </w:p>
        </w:tc>
        <w:tc>
          <w:tcPr>
            <w:tcW w:w="1616" w:type="dxa"/>
            <w:vAlign w:val="center"/>
          </w:tcPr>
          <w:p w:rsidR="00434D33" w:rsidRDefault="00B21395">
            <w:pPr>
              <w:jc w:val="right"/>
            </w:pPr>
            <w:r>
              <w:rPr>
                <w:rFonts w:eastAsiaTheme="minorEastAsia"/>
                <w:kern w:val="0"/>
                <w:szCs w:val="21"/>
              </w:rPr>
              <w:t>3.95</w:t>
            </w:r>
          </w:p>
        </w:tc>
      </w:tr>
      <w:tr w:rsidR="00434D33">
        <w:tc>
          <w:tcPr>
            <w:tcW w:w="817" w:type="dxa"/>
            <w:vAlign w:val="center"/>
          </w:tcPr>
          <w:p w:rsidR="00434D33" w:rsidRDefault="00B21395">
            <w:pPr>
              <w:jc w:val="center"/>
            </w:pPr>
            <w:r>
              <w:rPr>
                <w:rFonts w:eastAsiaTheme="minorEastAsia"/>
                <w:kern w:val="0"/>
                <w:szCs w:val="21"/>
              </w:rPr>
              <w:t>4</w:t>
            </w:r>
          </w:p>
        </w:tc>
        <w:tc>
          <w:tcPr>
            <w:tcW w:w="1276" w:type="dxa"/>
            <w:vAlign w:val="center"/>
          </w:tcPr>
          <w:p w:rsidR="00434D33" w:rsidRDefault="00B21395">
            <w:pPr>
              <w:jc w:val="center"/>
            </w:pPr>
            <w:r>
              <w:rPr>
                <w:rFonts w:eastAsiaTheme="minorEastAsia"/>
                <w:kern w:val="0"/>
                <w:szCs w:val="21"/>
              </w:rPr>
              <w:t>600023</w:t>
            </w:r>
          </w:p>
        </w:tc>
        <w:tc>
          <w:tcPr>
            <w:tcW w:w="1701" w:type="dxa"/>
            <w:vAlign w:val="center"/>
          </w:tcPr>
          <w:p w:rsidR="00434D33" w:rsidRDefault="00B21395">
            <w:pPr>
              <w:jc w:val="center"/>
            </w:pPr>
            <w:r>
              <w:rPr>
                <w:rFonts w:eastAsiaTheme="minorEastAsia"/>
                <w:kern w:val="0"/>
                <w:szCs w:val="21"/>
              </w:rPr>
              <w:t>浙能电力</w:t>
            </w:r>
          </w:p>
        </w:tc>
        <w:tc>
          <w:tcPr>
            <w:tcW w:w="1276" w:type="dxa"/>
            <w:vAlign w:val="center"/>
          </w:tcPr>
          <w:p w:rsidR="00434D33" w:rsidRDefault="00B21395">
            <w:pPr>
              <w:jc w:val="right"/>
            </w:pPr>
            <w:r>
              <w:rPr>
                <w:rFonts w:eastAsiaTheme="minorEastAsia"/>
                <w:kern w:val="0"/>
                <w:szCs w:val="21"/>
              </w:rPr>
              <w:t>937,600.00</w:t>
            </w:r>
          </w:p>
        </w:tc>
        <w:tc>
          <w:tcPr>
            <w:tcW w:w="1842" w:type="dxa"/>
            <w:vAlign w:val="center"/>
          </w:tcPr>
          <w:p w:rsidR="00434D33" w:rsidRDefault="00B21395">
            <w:pPr>
              <w:jc w:val="right"/>
            </w:pPr>
            <w:r>
              <w:rPr>
                <w:rFonts w:eastAsiaTheme="minorEastAsia"/>
                <w:kern w:val="0"/>
                <w:szCs w:val="21"/>
              </w:rPr>
              <w:t>6,666,336.00</w:t>
            </w:r>
          </w:p>
        </w:tc>
        <w:tc>
          <w:tcPr>
            <w:tcW w:w="1616" w:type="dxa"/>
            <w:vAlign w:val="center"/>
          </w:tcPr>
          <w:p w:rsidR="00434D33" w:rsidRDefault="00B21395">
            <w:pPr>
              <w:jc w:val="right"/>
            </w:pPr>
            <w:r>
              <w:rPr>
                <w:rFonts w:eastAsiaTheme="minorEastAsia"/>
                <w:kern w:val="0"/>
                <w:szCs w:val="21"/>
              </w:rPr>
              <w:t>3.60</w:t>
            </w:r>
          </w:p>
        </w:tc>
      </w:tr>
      <w:tr w:rsidR="00434D33">
        <w:tc>
          <w:tcPr>
            <w:tcW w:w="817" w:type="dxa"/>
            <w:vAlign w:val="center"/>
          </w:tcPr>
          <w:p w:rsidR="00434D33" w:rsidRDefault="00B21395">
            <w:pPr>
              <w:jc w:val="center"/>
            </w:pPr>
            <w:r>
              <w:rPr>
                <w:rFonts w:eastAsiaTheme="minorEastAsia"/>
                <w:kern w:val="0"/>
                <w:szCs w:val="21"/>
              </w:rPr>
              <w:t>5</w:t>
            </w:r>
          </w:p>
        </w:tc>
        <w:tc>
          <w:tcPr>
            <w:tcW w:w="1276" w:type="dxa"/>
            <w:vAlign w:val="center"/>
          </w:tcPr>
          <w:p w:rsidR="00434D33" w:rsidRDefault="00B21395">
            <w:pPr>
              <w:jc w:val="center"/>
            </w:pPr>
            <w:r>
              <w:rPr>
                <w:rFonts w:eastAsiaTheme="minorEastAsia"/>
                <w:kern w:val="0"/>
                <w:szCs w:val="21"/>
              </w:rPr>
              <w:t>605117</w:t>
            </w:r>
          </w:p>
        </w:tc>
        <w:tc>
          <w:tcPr>
            <w:tcW w:w="1701" w:type="dxa"/>
            <w:vAlign w:val="center"/>
          </w:tcPr>
          <w:p w:rsidR="00434D33" w:rsidRDefault="00B21395">
            <w:pPr>
              <w:jc w:val="center"/>
            </w:pPr>
            <w:r>
              <w:rPr>
                <w:rFonts w:eastAsiaTheme="minorEastAsia"/>
                <w:kern w:val="0"/>
                <w:szCs w:val="21"/>
              </w:rPr>
              <w:t>德业股份</w:t>
            </w:r>
          </w:p>
        </w:tc>
        <w:tc>
          <w:tcPr>
            <w:tcW w:w="1276" w:type="dxa"/>
            <w:vAlign w:val="center"/>
          </w:tcPr>
          <w:p w:rsidR="00434D33" w:rsidRDefault="00B21395">
            <w:pPr>
              <w:jc w:val="right"/>
            </w:pPr>
            <w:r>
              <w:rPr>
                <w:rFonts w:eastAsiaTheme="minorEastAsia"/>
                <w:kern w:val="0"/>
                <w:szCs w:val="21"/>
              </w:rPr>
              <w:t>84,532.00</w:t>
            </w:r>
          </w:p>
        </w:tc>
        <w:tc>
          <w:tcPr>
            <w:tcW w:w="1842" w:type="dxa"/>
            <w:vAlign w:val="center"/>
          </w:tcPr>
          <w:p w:rsidR="00434D33" w:rsidRDefault="00B21395">
            <w:pPr>
              <w:jc w:val="right"/>
            </w:pPr>
            <w:r>
              <w:rPr>
                <w:rFonts w:eastAsiaTheme="minorEastAsia"/>
                <w:kern w:val="0"/>
                <w:szCs w:val="21"/>
              </w:rPr>
              <w:t>6,284,108.88</w:t>
            </w:r>
          </w:p>
        </w:tc>
        <w:tc>
          <w:tcPr>
            <w:tcW w:w="1616" w:type="dxa"/>
            <w:vAlign w:val="center"/>
          </w:tcPr>
          <w:p w:rsidR="00434D33" w:rsidRDefault="00B21395">
            <w:pPr>
              <w:jc w:val="right"/>
            </w:pPr>
            <w:r>
              <w:rPr>
                <w:rFonts w:eastAsiaTheme="minorEastAsia"/>
                <w:kern w:val="0"/>
                <w:szCs w:val="21"/>
              </w:rPr>
              <w:t>3.39</w:t>
            </w:r>
          </w:p>
        </w:tc>
      </w:tr>
      <w:tr w:rsidR="00434D33">
        <w:tc>
          <w:tcPr>
            <w:tcW w:w="817" w:type="dxa"/>
            <w:vAlign w:val="center"/>
          </w:tcPr>
          <w:p w:rsidR="00434D33" w:rsidRDefault="00B21395">
            <w:pPr>
              <w:jc w:val="center"/>
            </w:pPr>
            <w:r>
              <w:rPr>
                <w:rFonts w:eastAsiaTheme="minorEastAsia"/>
                <w:kern w:val="0"/>
                <w:szCs w:val="21"/>
              </w:rPr>
              <w:t>6</w:t>
            </w:r>
          </w:p>
        </w:tc>
        <w:tc>
          <w:tcPr>
            <w:tcW w:w="1276" w:type="dxa"/>
            <w:vAlign w:val="center"/>
          </w:tcPr>
          <w:p w:rsidR="00434D33" w:rsidRDefault="00B21395">
            <w:pPr>
              <w:jc w:val="center"/>
            </w:pPr>
            <w:r>
              <w:rPr>
                <w:rFonts w:eastAsiaTheme="minorEastAsia"/>
                <w:kern w:val="0"/>
                <w:szCs w:val="21"/>
              </w:rPr>
              <w:t>000400</w:t>
            </w:r>
          </w:p>
        </w:tc>
        <w:tc>
          <w:tcPr>
            <w:tcW w:w="1701" w:type="dxa"/>
            <w:vAlign w:val="center"/>
          </w:tcPr>
          <w:p w:rsidR="00434D33" w:rsidRDefault="00B21395">
            <w:pPr>
              <w:jc w:val="center"/>
            </w:pPr>
            <w:r>
              <w:rPr>
                <w:rFonts w:eastAsiaTheme="minorEastAsia"/>
                <w:kern w:val="0"/>
                <w:szCs w:val="21"/>
              </w:rPr>
              <w:t>许继电气</w:t>
            </w:r>
          </w:p>
        </w:tc>
        <w:tc>
          <w:tcPr>
            <w:tcW w:w="1276" w:type="dxa"/>
            <w:vAlign w:val="center"/>
          </w:tcPr>
          <w:p w:rsidR="00434D33" w:rsidRDefault="00B21395">
            <w:pPr>
              <w:jc w:val="right"/>
            </w:pPr>
            <w:r>
              <w:rPr>
                <w:rFonts w:eastAsiaTheme="minorEastAsia"/>
                <w:kern w:val="0"/>
                <w:szCs w:val="21"/>
              </w:rPr>
              <w:t>180,700.00</w:t>
            </w:r>
          </w:p>
        </w:tc>
        <w:tc>
          <w:tcPr>
            <w:tcW w:w="1842" w:type="dxa"/>
            <w:vAlign w:val="center"/>
          </w:tcPr>
          <w:p w:rsidR="00434D33" w:rsidRDefault="00B21395">
            <w:pPr>
              <w:jc w:val="right"/>
            </w:pPr>
            <w:r>
              <w:rPr>
                <w:rFonts w:eastAsiaTheme="minorEastAsia"/>
                <w:kern w:val="0"/>
                <w:szCs w:val="21"/>
              </w:rPr>
              <w:t>6,217,887.00</w:t>
            </w:r>
          </w:p>
        </w:tc>
        <w:tc>
          <w:tcPr>
            <w:tcW w:w="1616" w:type="dxa"/>
            <w:vAlign w:val="center"/>
          </w:tcPr>
          <w:p w:rsidR="00434D33" w:rsidRDefault="00B21395">
            <w:pPr>
              <w:jc w:val="right"/>
            </w:pPr>
            <w:r>
              <w:rPr>
                <w:rFonts w:eastAsiaTheme="minorEastAsia"/>
                <w:kern w:val="0"/>
                <w:szCs w:val="21"/>
              </w:rPr>
              <w:t>3.36</w:t>
            </w:r>
          </w:p>
        </w:tc>
      </w:tr>
      <w:tr w:rsidR="00434D33">
        <w:tc>
          <w:tcPr>
            <w:tcW w:w="817" w:type="dxa"/>
            <w:vAlign w:val="center"/>
          </w:tcPr>
          <w:p w:rsidR="00434D33" w:rsidRDefault="00B21395">
            <w:pPr>
              <w:jc w:val="center"/>
            </w:pPr>
            <w:r>
              <w:rPr>
                <w:rFonts w:eastAsiaTheme="minorEastAsia"/>
                <w:kern w:val="0"/>
                <w:szCs w:val="21"/>
              </w:rPr>
              <w:t>7</w:t>
            </w:r>
          </w:p>
        </w:tc>
        <w:tc>
          <w:tcPr>
            <w:tcW w:w="1276" w:type="dxa"/>
            <w:vAlign w:val="center"/>
          </w:tcPr>
          <w:p w:rsidR="00434D33" w:rsidRDefault="00B21395">
            <w:pPr>
              <w:jc w:val="center"/>
            </w:pPr>
            <w:r>
              <w:rPr>
                <w:rFonts w:eastAsiaTheme="minorEastAsia"/>
                <w:kern w:val="0"/>
                <w:szCs w:val="21"/>
              </w:rPr>
              <w:t>600900</w:t>
            </w:r>
          </w:p>
        </w:tc>
        <w:tc>
          <w:tcPr>
            <w:tcW w:w="1701" w:type="dxa"/>
            <w:vAlign w:val="center"/>
          </w:tcPr>
          <w:p w:rsidR="00434D33" w:rsidRDefault="00B21395">
            <w:pPr>
              <w:jc w:val="center"/>
            </w:pPr>
            <w:r>
              <w:rPr>
                <w:rFonts w:eastAsiaTheme="minorEastAsia"/>
                <w:kern w:val="0"/>
                <w:szCs w:val="21"/>
              </w:rPr>
              <w:t>长江电力</w:t>
            </w:r>
          </w:p>
        </w:tc>
        <w:tc>
          <w:tcPr>
            <w:tcW w:w="1276" w:type="dxa"/>
            <w:vAlign w:val="center"/>
          </w:tcPr>
          <w:p w:rsidR="00434D33" w:rsidRDefault="00B21395">
            <w:pPr>
              <w:jc w:val="right"/>
            </w:pPr>
            <w:r>
              <w:rPr>
                <w:rFonts w:eastAsiaTheme="minorEastAsia"/>
                <w:kern w:val="0"/>
                <w:szCs w:val="21"/>
              </w:rPr>
              <w:t>207,100.00</w:t>
            </w:r>
          </w:p>
        </w:tc>
        <w:tc>
          <w:tcPr>
            <w:tcW w:w="1842" w:type="dxa"/>
            <w:vAlign w:val="center"/>
          </w:tcPr>
          <w:p w:rsidR="00434D33" w:rsidRDefault="00B21395">
            <w:pPr>
              <w:jc w:val="right"/>
            </w:pPr>
            <w:r>
              <w:rPr>
                <w:rFonts w:eastAsiaTheme="minorEastAsia"/>
                <w:kern w:val="0"/>
                <w:szCs w:val="21"/>
              </w:rPr>
              <w:t>5,989,332.00</w:t>
            </w:r>
          </w:p>
        </w:tc>
        <w:tc>
          <w:tcPr>
            <w:tcW w:w="1616" w:type="dxa"/>
            <w:vAlign w:val="center"/>
          </w:tcPr>
          <w:p w:rsidR="00434D33" w:rsidRDefault="00B21395">
            <w:pPr>
              <w:jc w:val="right"/>
            </w:pPr>
            <w:r>
              <w:rPr>
                <w:rFonts w:eastAsiaTheme="minorEastAsia"/>
                <w:kern w:val="0"/>
                <w:szCs w:val="21"/>
              </w:rPr>
              <w:t>3.23</w:t>
            </w:r>
          </w:p>
        </w:tc>
      </w:tr>
      <w:tr w:rsidR="00434D33">
        <w:tc>
          <w:tcPr>
            <w:tcW w:w="817" w:type="dxa"/>
            <w:vAlign w:val="center"/>
          </w:tcPr>
          <w:p w:rsidR="00434D33" w:rsidRDefault="00B21395">
            <w:pPr>
              <w:jc w:val="center"/>
            </w:pPr>
            <w:r>
              <w:rPr>
                <w:rFonts w:eastAsiaTheme="minorEastAsia"/>
                <w:kern w:val="0"/>
                <w:szCs w:val="21"/>
              </w:rPr>
              <w:t>8</w:t>
            </w:r>
          </w:p>
        </w:tc>
        <w:tc>
          <w:tcPr>
            <w:tcW w:w="1276" w:type="dxa"/>
            <w:vAlign w:val="center"/>
          </w:tcPr>
          <w:p w:rsidR="00434D33" w:rsidRDefault="00B21395">
            <w:pPr>
              <w:jc w:val="center"/>
            </w:pPr>
            <w:r>
              <w:rPr>
                <w:rFonts w:eastAsiaTheme="minorEastAsia"/>
                <w:kern w:val="0"/>
                <w:szCs w:val="21"/>
              </w:rPr>
              <w:t>600642</w:t>
            </w:r>
          </w:p>
        </w:tc>
        <w:tc>
          <w:tcPr>
            <w:tcW w:w="1701" w:type="dxa"/>
            <w:vAlign w:val="center"/>
          </w:tcPr>
          <w:p w:rsidR="00434D33" w:rsidRDefault="00B21395">
            <w:pPr>
              <w:jc w:val="center"/>
            </w:pPr>
            <w:r>
              <w:rPr>
                <w:rFonts w:eastAsiaTheme="minorEastAsia"/>
                <w:kern w:val="0"/>
                <w:szCs w:val="21"/>
              </w:rPr>
              <w:t>申能股份</w:t>
            </w:r>
          </w:p>
        </w:tc>
        <w:tc>
          <w:tcPr>
            <w:tcW w:w="1276" w:type="dxa"/>
            <w:vAlign w:val="center"/>
          </w:tcPr>
          <w:p w:rsidR="00434D33" w:rsidRDefault="00B21395">
            <w:pPr>
              <w:jc w:val="right"/>
            </w:pPr>
            <w:r>
              <w:rPr>
                <w:rFonts w:eastAsiaTheme="minorEastAsia"/>
                <w:kern w:val="0"/>
                <w:szCs w:val="21"/>
              </w:rPr>
              <w:t>667,400.00</w:t>
            </w:r>
          </w:p>
        </w:tc>
        <w:tc>
          <w:tcPr>
            <w:tcW w:w="1842" w:type="dxa"/>
            <w:vAlign w:val="center"/>
          </w:tcPr>
          <w:p w:rsidR="00434D33" w:rsidRDefault="00B21395">
            <w:pPr>
              <w:jc w:val="right"/>
            </w:pPr>
            <w:r>
              <w:rPr>
                <w:rFonts w:eastAsiaTheme="minorEastAsia"/>
                <w:kern w:val="0"/>
                <w:szCs w:val="21"/>
              </w:rPr>
              <w:t>5,893,142.00</w:t>
            </w:r>
          </w:p>
        </w:tc>
        <w:tc>
          <w:tcPr>
            <w:tcW w:w="1616" w:type="dxa"/>
            <w:vAlign w:val="center"/>
          </w:tcPr>
          <w:p w:rsidR="00434D33" w:rsidRDefault="00B21395">
            <w:pPr>
              <w:jc w:val="right"/>
            </w:pPr>
            <w:r>
              <w:rPr>
                <w:rFonts w:eastAsiaTheme="minorEastAsia"/>
                <w:kern w:val="0"/>
                <w:szCs w:val="21"/>
              </w:rPr>
              <w:t>3.18</w:t>
            </w:r>
          </w:p>
        </w:tc>
      </w:tr>
      <w:tr w:rsidR="00434D33">
        <w:tc>
          <w:tcPr>
            <w:tcW w:w="817" w:type="dxa"/>
            <w:vAlign w:val="center"/>
          </w:tcPr>
          <w:p w:rsidR="00434D33" w:rsidRDefault="00B21395">
            <w:pPr>
              <w:jc w:val="center"/>
            </w:pPr>
            <w:r>
              <w:rPr>
                <w:rFonts w:eastAsiaTheme="minorEastAsia"/>
                <w:kern w:val="0"/>
                <w:szCs w:val="21"/>
              </w:rPr>
              <w:t>9</w:t>
            </w:r>
          </w:p>
        </w:tc>
        <w:tc>
          <w:tcPr>
            <w:tcW w:w="1276" w:type="dxa"/>
            <w:vAlign w:val="center"/>
          </w:tcPr>
          <w:p w:rsidR="00434D33" w:rsidRDefault="00B21395">
            <w:pPr>
              <w:jc w:val="center"/>
            </w:pPr>
            <w:r>
              <w:rPr>
                <w:rFonts w:eastAsiaTheme="minorEastAsia"/>
                <w:kern w:val="0"/>
                <w:szCs w:val="21"/>
              </w:rPr>
              <w:t>002028</w:t>
            </w:r>
          </w:p>
        </w:tc>
        <w:tc>
          <w:tcPr>
            <w:tcW w:w="1701" w:type="dxa"/>
            <w:vAlign w:val="center"/>
          </w:tcPr>
          <w:p w:rsidR="00434D33" w:rsidRDefault="00B21395">
            <w:pPr>
              <w:jc w:val="center"/>
            </w:pPr>
            <w:r>
              <w:rPr>
                <w:rFonts w:eastAsiaTheme="minorEastAsia"/>
                <w:kern w:val="0"/>
                <w:szCs w:val="21"/>
              </w:rPr>
              <w:t>思源电气</w:t>
            </w:r>
          </w:p>
        </w:tc>
        <w:tc>
          <w:tcPr>
            <w:tcW w:w="1276" w:type="dxa"/>
            <w:vAlign w:val="center"/>
          </w:tcPr>
          <w:p w:rsidR="00434D33" w:rsidRDefault="00B21395">
            <w:pPr>
              <w:jc w:val="right"/>
            </w:pPr>
            <w:r>
              <w:rPr>
                <w:rFonts w:eastAsiaTheme="minorEastAsia"/>
                <w:kern w:val="0"/>
                <w:szCs w:val="21"/>
              </w:rPr>
              <w:t>86,017.00</w:t>
            </w:r>
          </w:p>
        </w:tc>
        <w:tc>
          <w:tcPr>
            <w:tcW w:w="1842" w:type="dxa"/>
            <w:vAlign w:val="center"/>
          </w:tcPr>
          <w:p w:rsidR="00434D33" w:rsidRDefault="00B21395">
            <w:pPr>
              <w:jc w:val="right"/>
            </w:pPr>
            <w:r>
              <w:rPr>
                <w:rFonts w:eastAsiaTheme="minorEastAsia"/>
                <w:kern w:val="0"/>
                <w:szCs w:val="21"/>
              </w:rPr>
              <w:t>5,754,537.30</w:t>
            </w:r>
          </w:p>
        </w:tc>
        <w:tc>
          <w:tcPr>
            <w:tcW w:w="1616" w:type="dxa"/>
            <w:vAlign w:val="center"/>
          </w:tcPr>
          <w:p w:rsidR="00434D33" w:rsidRDefault="00B21395">
            <w:pPr>
              <w:jc w:val="right"/>
            </w:pPr>
            <w:r>
              <w:rPr>
                <w:rFonts w:eastAsiaTheme="minorEastAsia"/>
                <w:kern w:val="0"/>
                <w:szCs w:val="21"/>
              </w:rPr>
              <w:t>3.11</w:t>
            </w:r>
          </w:p>
        </w:tc>
      </w:tr>
      <w:tr w:rsidR="00434D33">
        <w:tc>
          <w:tcPr>
            <w:tcW w:w="817" w:type="dxa"/>
            <w:vAlign w:val="center"/>
          </w:tcPr>
          <w:p w:rsidR="00434D33" w:rsidRDefault="00B21395">
            <w:pPr>
              <w:jc w:val="center"/>
            </w:pPr>
            <w:r>
              <w:rPr>
                <w:rFonts w:eastAsiaTheme="minorEastAsia"/>
                <w:kern w:val="0"/>
                <w:szCs w:val="21"/>
              </w:rPr>
              <w:t>10</w:t>
            </w:r>
          </w:p>
        </w:tc>
        <w:tc>
          <w:tcPr>
            <w:tcW w:w="1276" w:type="dxa"/>
            <w:vAlign w:val="center"/>
          </w:tcPr>
          <w:p w:rsidR="00434D33" w:rsidRDefault="00B21395">
            <w:pPr>
              <w:jc w:val="center"/>
            </w:pPr>
            <w:r>
              <w:rPr>
                <w:rFonts w:eastAsiaTheme="minorEastAsia"/>
                <w:kern w:val="0"/>
                <w:szCs w:val="21"/>
              </w:rPr>
              <w:t>600795</w:t>
            </w:r>
          </w:p>
        </w:tc>
        <w:tc>
          <w:tcPr>
            <w:tcW w:w="1701" w:type="dxa"/>
            <w:vAlign w:val="center"/>
          </w:tcPr>
          <w:p w:rsidR="00434D33" w:rsidRDefault="00B21395">
            <w:pPr>
              <w:jc w:val="center"/>
            </w:pPr>
            <w:r>
              <w:rPr>
                <w:rFonts w:eastAsiaTheme="minorEastAsia"/>
                <w:kern w:val="0"/>
                <w:szCs w:val="21"/>
              </w:rPr>
              <w:t>国电电力</w:t>
            </w:r>
          </w:p>
        </w:tc>
        <w:tc>
          <w:tcPr>
            <w:tcW w:w="1276" w:type="dxa"/>
            <w:vAlign w:val="center"/>
          </w:tcPr>
          <w:p w:rsidR="00434D33" w:rsidRDefault="00B21395">
            <w:pPr>
              <w:jc w:val="right"/>
            </w:pPr>
            <w:r>
              <w:rPr>
                <w:rFonts w:eastAsiaTheme="minorEastAsia"/>
                <w:kern w:val="0"/>
                <w:szCs w:val="21"/>
              </w:rPr>
              <w:t>958,029.00</w:t>
            </w:r>
          </w:p>
        </w:tc>
        <w:tc>
          <w:tcPr>
            <w:tcW w:w="1842" w:type="dxa"/>
            <w:vAlign w:val="center"/>
          </w:tcPr>
          <w:p w:rsidR="00434D33" w:rsidRDefault="00B21395">
            <w:pPr>
              <w:jc w:val="right"/>
            </w:pPr>
            <w:r>
              <w:rPr>
                <w:rFonts w:eastAsiaTheme="minorEastAsia"/>
                <w:kern w:val="0"/>
                <w:szCs w:val="21"/>
              </w:rPr>
              <w:t>5,738,593.71</w:t>
            </w:r>
          </w:p>
        </w:tc>
        <w:tc>
          <w:tcPr>
            <w:tcW w:w="1616" w:type="dxa"/>
            <w:vAlign w:val="center"/>
          </w:tcPr>
          <w:p w:rsidR="00434D33" w:rsidRDefault="00B21395">
            <w:pPr>
              <w:jc w:val="right"/>
            </w:pPr>
            <w:r>
              <w:rPr>
                <w:rFonts w:eastAsiaTheme="minorEastAsia"/>
                <w:kern w:val="0"/>
                <w:szCs w:val="21"/>
              </w:rPr>
              <w:t>3.10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81,278.50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2,204,259.32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74,978.88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2,360,516.70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178,162,847.93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6,908,726.06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3,187,442.00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950,334.81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15,435,152.73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1,683,331.50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165,915,137.20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6,175,729.37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371,724.18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194,300.52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122,668.98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443,355.72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434D33">
        <w:tc>
          <w:tcPr>
            <w:tcW w:w="1070" w:type="dxa"/>
            <w:vAlign w:val="center"/>
          </w:tcPr>
          <w:p w:rsidR="00434D33" w:rsidRDefault="00B21395">
            <w:pPr>
              <w:jc w:val="center"/>
            </w:pPr>
            <w:r>
              <w:rPr>
                <w:rFonts w:eastAsiaTheme="minorEastAsia"/>
                <w:color w:val="000000" w:themeColor="text1"/>
                <w:szCs w:val="21"/>
              </w:rPr>
              <w:t>1</w:t>
            </w:r>
          </w:p>
        </w:tc>
        <w:tc>
          <w:tcPr>
            <w:tcW w:w="1851" w:type="dxa"/>
            <w:vAlign w:val="center"/>
          </w:tcPr>
          <w:p w:rsidR="00434D33" w:rsidRDefault="00B21395">
            <w:pPr>
              <w:jc w:val="center"/>
            </w:pPr>
            <w:r>
              <w:rPr>
                <w:rFonts w:eastAsiaTheme="minorEastAsia"/>
                <w:color w:val="000000" w:themeColor="text1"/>
                <w:szCs w:val="21"/>
              </w:rPr>
              <w:t>赎回</w:t>
            </w:r>
          </w:p>
        </w:tc>
        <w:tc>
          <w:tcPr>
            <w:tcW w:w="1370" w:type="dxa"/>
            <w:vAlign w:val="center"/>
          </w:tcPr>
          <w:p w:rsidR="00434D33" w:rsidRDefault="00B21395">
            <w:pPr>
              <w:jc w:val="center"/>
            </w:pPr>
            <w:r>
              <w:rPr>
                <w:rFonts w:eastAsiaTheme="minorEastAsia"/>
                <w:color w:val="000000" w:themeColor="text1"/>
                <w:szCs w:val="21"/>
              </w:rPr>
              <w:t>2024-04-23</w:t>
            </w:r>
          </w:p>
        </w:tc>
        <w:tc>
          <w:tcPr>
            <w:tcW w:w="1701" w:type="dxa"/>
            <w:vAlign w:val="center"/>
          </w:tcPr>
          <w:p w:rsidR="00434D33" w:rsidRDefault="00B21395">
            <w:pPr>
              <w:jc w:val="right"/>
            </w:pPr>
            <w:r>
              <w:rPr>
                <w:rFonts w:eastAsiaTheme="minorEastAsia"/>
                <w:color w:val="000000" w:themeColor="text1"/>
                <w:szCs w:val="21"/>
              </w:rPr>
              <w:t>122,668.98</w:t>
            </w:r>
          </w:p>
        </w:tc>
        <w:tc>
          <w:tcPr>
            <w:tcW w:w="1842" w:type="dxa"/>
            <w:vAlign w:val="center"/>
          </w:tcPr>
          <w:p w:rsidR="00434D33" w:rsidRDefault="00B21395">
            <w:pPr>
              <w:jc w:val="right"/>
            </w:pPr>
            <w:r>
              <w:rPr>
                <w:rFonts w:eastAsiaTheme="minorEastAsia"/>
                <w:color w:val="000000" w:themeColor="text1"/>
                <w:szCs w:val="21"/>
              </w:rPr>
              <w:t>-137,764.07</w:t>
            </w:r>
          </w:p>
        </w:tc>
        <w:tc>
          <w:tcPr>
            <w:tcW w:w="1397" w:type="dxa"/>
            <w:vAlign w:val="center"/>
          </w:tcPr>
          <w:p w:rsidR="00434D33" w:rsidRDefault="00B21395">
            <w:pPr>
              <w:jc w:val="right"/>
            </w:pPr>
            <w:r>
              <w:rPr>
                <w:rFonts w:eastAsiaTheme="minorEastAsia"/>
                <w:color w:val="000000" w:themeColor="text1"/>
                <w:szCs w:val="21"/>
              </w:rPr>
              <w:t>0.35%</w:t>
            </w:r>
          </w:p>
        </w:tc>
      </w:tr>
      <w:tr w:rsidR="00434D33">
        <w:tc>
          <w:tcPr>
            <w:tcW w:w="1070" w:type="dxa"/>
            <w:vAlign w:val="center"/>
          </w:tcPr>
          <w:p w:rsidR="00434D33" w:rsidRDefault="00B21395">
            <w:pPr>
              <w:jc w:val="center"/>
            </w:pPr>
            <w:r>
              <w:rPr>
                <w:rFonts w:eastAsiaTheme="minorEastAsia"/>
                <w:color w:val="000000" w:themeColor="text1"/>
                <w:szCs w:val="21"/>
              </w:rPr>
              <w:t>2</w:t>
            </w:r>
          </w:p>
        </w:tc>
        <w:tc>
          <w:tcPr>
            <w:tcW w:w="1851" w:type="dxa"/>
            <w:vAlign w:val="center"/>
          </w:tcPr>
          <w:p w:rsidR="00434D33" w:rsidRDefault="00B21395">
            <w:pPr>
              <w:jc w:val="center"/>
            </w:pPr>
            <w:r>
              <w:rPr>
                <w:rFonts w:eastAsiaTheme="minorEastAsia"/>
                <w:color w:val="000000" w:themeColor="text1"/>
                <w:szCs w:val="21"/>
              </w:rPr>
              <w:t>申购</w:t>
            </w:r>
          </w:p>
        </w:tc>
        <w:tc>
          <w:tcPr>
            <w:tcW w:w="1370" w:type="dxa"/>
            <w:vAlign w:val="center"/>
          </w:tcPr>
          <w:p w:rsidR="00434D33" w:rsidRDefault="00B21395">
            <w:pPr>
              <w:jc w:val="center"/>
            </w:pPr>
            <w:r>
              <w:rPr>
                <w:rFonts w:eastAsiaTheme="minorEastAsia"/>
                <w:color w:val="000000" w:themeColor="text1"/>
                <w:szCs w:val="21"/>
              </w:rPr>
              <w:t>2024-05-15</w:t>
            </w:r>
          </w:p>
        </w:tc>
        <w:tc>
          <w:tcPr>
            <w:tcW w:w="1701" w:type="dxa"/>
            <w:vAlign w:val="center"/>
          </w:tcPr>
          <w:p w:rsidR="00434D33" w:rsidRDefault="00B21395">
            <w:pPr>
              <w:jc w:val="right"/>
            </w:pPr>
            <w:r>
              <w:rPr>
                <w:rFonts w:eastAsiaTheme="minorEastAsia"/>
                <w:color w:val="000000" w:themeColor="text1"/>
                <w:szCs w:val="21"/>
              </w:rPr>
              <w:t>194,300.52</w:t>
            </w:r>
          </w:p>
        </w:tc>
        <w:tc>
          <w:tcPr>
            <w:tcW w:w="1842" w:type="dxa"/>
            <w:vAlign w:val="center"/>
          </w:tcPr>
          <w:p w:rsidR="00434D33" w:rsidRDefault="00B21395">
            <w:pPr>
              <w:jc w:val="right"/>
            </w:pPr>
            <w:r>
              <w:rPr>
                <w:rFonts w:eastAsiaTheme="minorEastAsia"/>
                <w:color w:val="000000" w:themeColor="text1"/>
                <w:szCs w:val="21"/>
              </w:rPr>
              <w:t>225,000.00</w:t>
            </w:r>
          </w:p>
        </w:tc>
        <w:tc>
          <w:tcPr>
            <w:tcW w:w="1397" w:type="dxa"/>
            <w:vAlign w:val="center"/>
          </w:tcPr>
          <w:p w:rsidR="00434D33" w:rsidRDefault="00B21395">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316,969.50</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87,235.93</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34D33" w:rsidRDefault="00B2139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2139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21395">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2139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D33"/>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1395"/>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CBD7E-3F26-4ABE-8EB5-EFFA3625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1288</Words>
  <Characters>7345</Characters>
  <Application>Microsoft Office Word</Application>
  <DocSecurity>0</DocSecurity>
  <Lines>61</Lines>
  <Paragraphs>17</Paragraphs>
  <ScaleCrop>false</ScaleCrop>
  <Company>TRT. Ltd. Co.</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2024-07-18T01:56:00Z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