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摩根尚睿混合型基金中基金</w:t>
      </w:r>
      <w:r w:rsidRPr="00B27A29">
        <w:rPr>
          <w:rFonts w:eastAsiaTheme="minorEastAsia"/>
          <w:b/>
          <w:color w:val="000000" w:themeColor="text1"/>
          <w:sz w:val="36"/>
          <w:szCs w:val="36"/>
        </w:rPr>
        <w:t>(FOF)</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bookmarkStart w:id="0" w:name="_GoBack"/>
      <w:bookmarkEnd w:id="0"/>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报告送出日期：二〇二三年十月二十五日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E77327" w:rsidRDefault="002615A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E77327" w:rsidRDefault="002615A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E77327" w:rsidRDefault="002615A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E77327" w:rsidRDefault="002615A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E77327" w:rsidRDefault="002615A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摩根尚睿混合</w:t>
            </w:r>
            <w:r w:rsidRPr="00B27A29">
              <w:rPr>
                <w:rFonts w:eastAsiaTheme="minorEastAsia"/>
                <w:color w:val="000000" w:themeColor="text1"/>
                <w:kern w:val="0"/>
                <w:szCs w:val="21"/>
              </w:rPr>
              <w:t>(FOF)</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006042</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2018</w:t>
            </w:r>
            <w:r w:rsidRPr="00B27A29">
              <w:rPr>
                <w:rFonts w:eastAsiaTheme="minorEastAsia"/>
                <w:color w:val="000000" w:themeColor="text1"/>
                <w:kern w:val="0"/>
                <w:szCs w:val="21"/>
              </w:rPr>
              <w:t>年</w:t>
            </w:r>
            <w:r w:rsidRPr="00B27A29">
              <w:rPr>
                <w:rFonts w:eastAsiaTheme="minorEastAsia"/>
                <w:color w:val="000000" w:themeColor="text1"/>
                <w:kern w:val="0"/>
                <w:szCs w:val="21"/>
              </w:rPr>
              <w:t>8</w:t>
            </w:r>
            <w:r w:rsidRPr="00B27A29">
              <w:rPr>
                <w:rFonts w:eastAsiaTheme="minorEastAsia"/>
                <w:color w:val="000000" w:themeColor="text1"/>
                <w:kern w:val="0"/>
                <w:szCs w:val="21"/>
              </w:rPr>
              <w:t>月</w:t>
            </w:r>
            <w:r w:rsidRPr="00B27A29">
              <w:rPr>
                <w:rFonts w:eastAsiaTheme="minorEastAsia"/>
                <w:color w:val="000000" w:themeColor="text1"/>
                <w:kern w:val="0"/>
                <w:szCs w:val="21"/>
              </w:rPr>
              <w:t>15</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37,420,782.40</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通过优选基金，并结合严格的风险控制，实现基金资产的长期稳健增值。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E77327" w:rsidRDefault="002615A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E77327" w:rsidRDefault="002615A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在大类资产配置上，结合产品定位、风险收益特征以及管理人的长期资本市场观点确定基金的资产配置方案。</w:t>
            </w:r>
          </w:p>
          <w:p w:rsidR="00E77327" w:rsidRDefault="002615A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首先，管理人将根据基金业绩基准确定产品的风险收益特征。其次，根据投研团队的长期资本市场观点对各类型资产的风险收益特征进行判断。最后，结合本基金以及各资产类别的风险收益特征、现代投资组合理论，模拟得出各</w:t>
            </w:r>
            <w:r>
              <w:rPr>
                <w:rFonts w:eastAsiaTheme="minorEastAsia"/>
                <w:color w:val="000000" w:themeColor="text1"/>
                <w:kern w:val="0"/>
                <w:szCs w:val="21"/>
              </w:rPr>
              <w:lastRenderedPageBreak/>
              <w:t>大类资产的长期战略配置比例。</w:t>
            </w:r>
          </w:p>
          <w:p w:rsidR="00E77327" w:rsidRDefault="002615A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密切关注市场风险的变化以及各资产类别的风险收益的相对变化趋势，适度调整中长期战略配置比例。当资本市场发生重大变化且管理人认为将影响各类资产的预期时，根据实际情况调整资产配置比例。</w:t>
            </w:r>
          </w:p>
          <w:p w:rsidR="00E77327" w:rsidRDefault="002615A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、主动管理型基金投资策略</w:t>
            </w:r>
          </w:p>
          <w:p w:rsidR="00E77327" w:rsidRDefault="002615A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综合运用定量分析和定性分析的方式，通过层层筛选，优选能持续创造超额收益的基金构建投资组合。</w:t>
            </w:r>
          </w:p>
          <w:p w:rsidR="00E77327" w:rsidRDefault="002615A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首先，通过初步的定量指标筛选出历史业绩表现良好、规模适中、流动性较好的基金。在初步筛选的基础上，进一步通过尽职调查在基金管理公司层面进行考察，形成基金筛选基础池。</w:t>
            </w:r>
          </w:p>
          <w:p w:rsidR="00E77327" w:rsidRDefault="002615A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其次，结合尽职调查结果以及公开数据，对基金经理进行深度访谈，筛选后将不同投资风格</w:t>
            </w:r>
            <w:r>
              <w:rPr>
                <w:rFonts w:eastAsiaTheme="minorEastAsia"/>
                <w:color w:val="000000" w:themeColor="text1"/>
                <w:kern w:val="0"/>
                <w:szCs w:val="21"/>
              </w:rPr>
              <w:t>/</w:t>
            </w:r>
            <w:r>
              <w:rPr>
                <w:rFonts w:eastAsiaTheme="minorEastAsia"/>
                <w:color w:val="000000" w:themeColor="text1"/>
                <w:kern w:val="0"/>
                <w:szCs w:val="21"/>
              </w:rPr>
              <w:t>策略的代表性基金列入未来基金构建投资组合的核心池。</w:t>
            </w:r>
          </w:p>
          <w:p w:rsidR="00E77327" w:rsidRDefault="002615A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本基金目前将主要投资于本基金管理人旗下的公募基金，并根据定量及定性分析策略优选标的基金。未来本基金管理人本着审慎尽职的原则，可将投资范围逐步扩展至其他管理人旗下的公募基金。</w:t>
            </w:r>
          </w:p>
          <w:p w:rsidR="00E77327" w:rsidRDefault="002615A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、指数基金投资策略</w:t>
            </w:r>
          </w:p>
          <w:p w:rsidR="00E77327" w:rsidRDefault="002615A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通过对国内外宏观经济、经济结构转型的方向、国家经济政策、产业政策导向的深入研究，优选中长期景气向好的指数基金进行配置。此外，基于对市场未来运行趋势和风格的预判，积极参与包括行业主题、风格或策略指数等在内的各类指数基金的投资，把握市场阶段性投资机会。</w:t>
            </w:r>
          </w:p>
          <w:p w:rsidR="00E77327" w:rsidRDefault="002615A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、债券投资策略</w:t>
            </w:r>
          </w:p>
          <w:p w:rsidR="00E77327" w:rsidRDefault="002615A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结合不同债券品种的到期收益率、流动性、市场规模等情况，并根据对债券收益率曲线形态、息差变化的预测，对债券组合进行动态调整。</w:t>
            </w:r>
          </w:p>
          <w:p w:rsidR="00E77327" w:rsidRDefault="002615A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5</w:t>
            </w:r>
            <w:r>
              <w:rPr>
                <w:rFonts w:eastAsiaTheme="minorEastAsia"/>
                <w:color w:val="000000" w:themeColor="text1"/>
                <w:kern w:val="0"/>
                <w:szCs w:val="21"/>
              </w:rPr>
              <w:t>、中小企业私募债投资策略</w:t>
            </w:r>
          </w:p>
          <w:p w:rsidR="00E77327" w:rsidRDefault="002615A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本基金对中小企业私募债的投资主要从自上而下判断景气周期和自下而上精选标的两个角度出发，结合信用分析和信用评估进行。</w:t>
            </w:r>
          </w:p>
          <w:p w:rsidR="00E77327" w:rsidRDefault="002615A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6</w:t>
            </w:r>
            <w:r>
              <w:rPr>
                <w:rFonts w:eastAsiaTheme="minorEastAsia"/>
                <w:color w:val="000000" w:themeColor="text1"/>
                <w:kern w:val="0"/>
                <w:szCs w:val="21"/>
              </w:rPr>
              <w:t>、证券公司短期公司债投资策略</w:t>
            </w:r>
          </w:p>
          <w:p w:rsidR="00E77327" w:rsidRDefault="002615A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主要从分析证券行业整体情况、证券公司基本面情况入手，分析证券公司短期公司债券的违约风险及合理的利差水平，对其进行独立、客观的价值评估。</w:t>
            </w:r>
          </w:p>
          <w:p w:rsidR="00E77327" w:rsidRDefault="002615A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7</w:t>
            </w:r>
            <w:r>
              <w:rPr>
                <w:rFonts w:eastAsiaTheme="minorEastAsia"/>
                <w:color w:val="000000" w:themeColor="text1"/>
                <w:kern w:val="0"/>
                <w:szCs w:val="21"/>
              </w:rPr>
              <w:t>、资产支持证券投资策略</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综合考虑市场利率、发行条款、支持资产的构成及质量等因素，对资产支持证券的风险与收益状况进行评估，确定资产合理配置比例。</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本基金的业绩比较基准为：中证偏股型基金指数收益率</w:t>
            </w:r>
            <w:r w:rsidRPr="00B27A29">
              <w:rPr>
                <w:rFonts w:eastAsiaTheme="minorEastAsia"/>
                <w:color w:val="000000" w:themeColor="text1"/>
                <w:kern w:val="0"/>
                <w:szCs w:val="21"/>
              </w:rPr>
              <w:t>*80%+</w:t>
            </w:r>
            <w:r w:rsidRPr="00B27A29">
              <w:rPr>
                <w:rFonts w:eastAsiaTheme="minorEastAsia"/>
                <w:color w:val="000000" w:themeColor="text1"/>
                <w:kern w:val="0"/>
                <w:szCs w:val="21"/>
              </w:rPr>
              <w:t>中证债券型基金指数收益率</w:t>
            </w:r>
            <w:r w:rsidRPr="00B27A29">
              <w:rPr>
                <w:rFonts w:eastAsiaTheme="minorEastAsia"/>
                <w:color w:val="000000" w:themeColor="text1"/>
                <w:kern w:val="0"/>
                <w:szCs w:val="21"/>
              </w:rPr>
              <w:t>*15%+</w:t>
            </w:r>
            <w:r w:rsidRPr="00B27A29">
              <w:rPr>
                <w:rFonts w:eastAsiaTheme="minorEastAsia"/>
                <w:color w:val="000000" w:themeColor="text1"/>
                <w:kern w:val="0"/>
                <w:szCs w:val="21"/>
              </w:rPr>
              <w:t>活期存款利率（税后）</w:t>
            </w:r>
            <w:r w:rsidRPr="00B27A29">
              <w:rPr>
                <w:rFonts w:eastAsiaTheme="minorEastAsia"/>
                <w:color w:val="000000" w:themeColor="text1"/>
                <w:kern w:val="0"/>
                <w:szCs w:val="21"/>
              </w:rPr>
              <w:t>*5%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E77327" w:rsidRDefault="002615A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本基金属于混合型基金中基金，预期风险和收益水平低于股票型基金，高于债券型和货币市场基金，属于较高风险收益水平的基金产品。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摩根尚睿混合</w:t>
            </w:r>
            <w:r w:rsidRPr="00B27A29">
              <w:rPr>
                <w:rFonts w:eastAsiaTheme="minorEastAsia"/>
                <w:color w:val="000000" w:themeColor="text1"/>
                <w:szCs w:val="21"/>
              </w:rPr>
              <w:t>(FOF)A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摩根尚睿混合</w:t>
            </w:r>
            <w:r w:rsidRPr="00B27A29">
              <w:rPr>
                <w:rFonts w:eastAsiaTheme="minorEastAsia"/>
                <w:color w:val="000000" w:themeColor="text1"/>
                <w:szCs w:val="21"/>
              </w:rPr>
              <w:t>(FOF)C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006042</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015054</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lastRenderedPageBreak/>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33,183,869.32</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4,236,913.08</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摩根尚睿混合</w:t>
            </w:r>
            <w:r w:rsidRPr="00B27A29">
              <w:rPr>
                <w:rFonts w:eastAsiaTheme="minorEastAsia"/>
                <w:color w:val="000000" w:themeColor="text1"/>
                <w:szCs w:val="21"/>
              </w:rPr>
              <w:t>(FOF)A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摩根尚睿混合</w:t>
            </w:r>
            <w:r w:rsidRPr="00B27A29">
              <w:rPr>
                <w:rFonts w:eastAsiaTheme="minorEastAsia"/>
                <w:color w:val="000000" w:themeColor="text1"/>
                <w:szCs w:val="21"/>
              </w:rPr>
              <w:t>(FOF)C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-572,201.88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-72,136.82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-1,983,532.70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-271,178.56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-0.0593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-0.0806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38,763,313.06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4,903,846.50</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1.1681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1.1574</w:t>
            </w:r>
          </w:p>
        </w:tc>
      </w:tr>
    </w:tbl>
    <w:p w:rsidR="00E77327" w:rsidRDefault="002615A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摩根尚睿混合</w:t>
      </w:r>
      <w:r w:rsidRPr="00B27A29">
        <w:rPr>
          <w:rFonts w:eastAsiaTheme="minorEastAsia"/>
          <w:b/>
          <w:color w:val="000000" w:themeColor="text1"/>
          <w:kern w:val="0"/>
          <w:szCs w:val="21"/>
        </w:rPr>
        <w:t>(FOF)A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E77327">
        <w:tc>
          <w:tcPr>
            <w:tcW w:w="1290" w:type="dxa"/>
            <w:vAlign w:val="center"/>
          </w:tcPr>
          <w:p w:rsidR="00E77327" w:rsidRDefault="002615A4">
            <w:pPr>
              <w:jc w:val="left"/>
            </w:pPr>
            <w:r>
              <w:rPr>
                <w:rFonts w:eastAsiaTheme="minorEastAsia"/>
                <w:color w:val="000000" w:themeColor="text1"/>
                <w:szCs w:val="21"/>
              </w:rPr>
              <w:t>过去三个月</w:t>
            </w:r>
          </w:p>
        </w:tc>
        <w:tc>
          <w:tcPr>
            <w:tcW w:w="1291" w:type="dxa"/>
            <w:vAlign w:val="center"/>
          </w:tcPr>
          <w:p w:rsidR="00E77327" w:rsidRDefault="002615A4">
            <w:pPr>
              <w:jc w:val="right"/>
            </w:pPr>
            <w:r>
              <w:rPr>
                <w:rFonts w:eastAsiaTheme="minorEastAsia"/>
                <w:color w:val="000000" w:themeColor="text1"/>
                <w:szCs w:val="21"/>
              </w:rPr>
              <w:t>-4.90%</w:t>
            </w:r>
          </w:p>
        </w:tc>
        <w:tc>
          <w:tcPr>
            <w:tcW w:w="1291" w:type="dxa"/>
            <w:vAlign w:val="center"/>
          </w:tcPr>
          <w:p w:rsidR="00E77327" w:rsidRDefault="002615A4">
            <w:pPr>
              <w:jc w:val="right"/>
            </w:pPr>
            <w:r>
              <w:rPr>
                <w:rFonts w:eastAsiaTheme="minorEastAsia"/>
                <w:color w:val="000000" w:themeColor="text1"/>
                <w:szCs w:val="21"/>
              </w:rPr>
              <w:t>0.84%</w:t>
            </w:r>
          </w:p>
        </w:tc>
        <w:tc>
          <w:tcPr>
            <w:tcW w:w="1291" w:type="dxa"/>
            <w:vAlign w:val="center"/>
          </w:tcPr>
          <w:p w:rsidR="00E77327" w:rsidRDefault="002615A4">
            <w:pPr>
              <w:jc w:val="right"/>
            </w:pPr>
            <w:r>
              <w:rPr>
                <w:rFonts w:eastAsiaTheme="minorEastAsia"/>
                <w:color w:val="000000" w:themeColor="text1"/>
                <w:szCs w:val="21"/>
              </w:rPr>
              <w:t>-5.16%</w:t>
            </w:r>
          </w:p>
        </w:tc>
        <w:tc>
          <w:tcPr>
            <w:tcW w:w="1291" w:type="dxa"/>
            <w:vAlign w:val="center"/>
          </w:tcPr>
          <w:p w:rsidR="00E77327" w:rsidRDefault="002615A4">
            <w:pPr>
              <w:jc w:val="right"/>
            </w:pPr>
            <w:r>
              <w:rPr>
                <w:rFonts w:eastAsiaTheme="minorEastAsia"/>
                <w:color w:val="000000" w:themeColor="text1"/>
                <w:szCs w:val="21"/>
              </w:rPr>
              <w:t>0.67%</w:t>
            </w:r>
          </w:p>
        </w:tc>
        <w:tc>
          <w:tcPr>
            <w:tcW w:w="1291" w:type="dxa"/>
            <w:vAlign w:val="center"/>
          </w:tcPr>
          <w:p w:rsidR="00E77327" w:rsidRDefault="002615A4">
            <w:pPr>
              <w:jc w:val="right"/>
            </w:pPr>
            <w:r>
              <w:rPr>
                <w:rFonts w:eastAsiaTheme="minorEastAsia"/>
                <w:color w:val="000000" w:themeColor="text1"/>
                <w:szCs w:val="21"/>
              </w:rPr>
              <w:t>0.26%</w:t>
            </w:r>
          </w:p>
        </w:tc>
        <w:tc>
          <w:tcPr>
            <w:tcW w:w="1291" w:type="dxa"/>
            <w:vAlign w:val="center"/>
          </w:tcPr>
          <w:p w:rsidR="00E77327" w:rsidRDefault="002615A4">
            <w:pPr>
              <w:jc w:val="right"/>
            </w:pPr>
            <w:r>
              <w:rPr>
                <w:rFonts w:eastAsiaTheme="minorEastAsia"/>
                <w:color w:val="000000" w:themeColor="text1"/>
                <w:szCs w:val="21"/>
              </w:rPr>
              <w:t>0.17%</w:t>
            </w:r>
          </w:p>
        </w:tc>
      </w:tr>
      <w:tr w:rsidR="00E77327">
        <w:tc>
          <w:tcPr>
            <w:tcW w:w="1290" w:type="dxa"/>
            <w:vAlign w:val="center"/>
          </w:tcPr>
          <w:p w:rsidR="00E77327" w:rsidRDefault="002615A4">
            <w:pPr>
              <w:jc w:val="left"/>
            </w:pPr>
            <w:r>
              <w:rPr>
                <w:rFonts w:eastAsiaTheme="minorEastAsia"/>
                <w:color w:val="000000" w:themeColor="text1"/>
                <w:szCs w:val="21"/>
              </w:rPr>
              <w:t>过去六个月</w:t>
            </w:r>
          </w:p>
        </w:tc>
        <w:tc>
          <w:tcPr>
            <w:tcW w:w="1291" w:type="dxa"/>
            <w:vAlign w:val="center"/>
          </w:tcPr>
          <w:p w:rsidR="00E77327" w:rsidRDefault="002615A4">
            <w:pPr>
              <w:jc w:val="right"/>
            </w:pPr>
            <w:r>
              <w:rPr>
                <w:rFonts w:eastAsiaTheme="minorEastAsia"/>
                <w:color w:val="000000" w:themeColor="text1"/>
                <w:szCs w:val="21"/>
              </w:rPr>
              <w:t>-8.38%</w:t>
            </w:r>
          </w:p>
        </w:tc>
        <w:tc>
          <w:tcPr>
            <w:tcW w:w="1291" w:type="dxa"/>
            <w:vAlign w:val="center"/>
          </w:tcPr>
          <w:p w:rsidR="00E77327" w:rsidRDefault="002615A4">
            <w:pPr>
              <w:jc w:val="right"/>
            </w:pPr>
            <w:r>
              <w:rPr>
                <w:rFonts w:eastAsiaTheme="minorEastAsia"/>
                <w:color w:val="000000" w:themeColor="text1"/>
                <w:szCs w:val="21"/>
              </w:rPr>
              <w:t>0.80%</w:t>
            </w:r>
          </w:p>
        </w:tc>
        <w:tc>
          <w:tcPr>
            <w:tcW w:w="1291" w:type="dxa"/>
            <w:vAlign w:val="center"/>
          </w:tcPr>
          <w:p w:rsidR="00E77327" w:rsidRDefault="002615A4">
            <w:pPr>
              <w:jc w:val="right"/>
            </w:pPr>
            <w:r>
              <w:rPr>
                <w:rFonts w:eastAsiaTheme="minorEastAsia"/>
                <w:color w:val="000000" w:themeColor="text1"/>
                <w:szCs w:val="21"/>
              </w:rPr>
              <w:t>-9.28%</w:t>
            </w:r>
          </w:p>
        </w:tc>
        <w:tc>
          <w:tcPr>
            <w:tcW w:w="1291" w:type="dxa"/>
            <w:vAlign w:val="center"/>
          </w:tcPr>
          <w:p w:rsidR="00E77327" w:rsidRDefault="002615A4">
            <w:pPr>
              <w:jc w:val="right"/>
            </w:pPr>
            <w:r>
              <w:rPr>
                <w:rFonts w:eastAsiaTheme="minorEastAsia"/>
                <w:color w:val="000000" w:themeColor="text1"/>
                <w:szCs w:val="21"/>
              </w:rPr>
              <w:t>0.64%</w:t>
            </w:r>
          </w:p>
        </w:tc>
        <w:tc>
          <w:tcPr>
            <w:tcW w:w="1291" w:type="dxa"/>
            <w:vAlign w:val="center"/>
          </w:tcPr>
          <w:p w:rsidR="00E77327" w:rsidRDefault="002615A4">
            <w:pPr>
              <w:jc w:val="right"/>
            </w:pPr>
            <w:r>
              <w:rPr>
                <w:rFonts w:eastAsiaTheme="minorEastAsia"/>
                <w:color w:val="000000" w:themeColor="text1"/>
                <w:szCs w:val="21"/>
              </w:rPr>
              <w:t>0.90%</w:t>
            </w:r>
          </w:p>
        </w:tc>
        <w:tc>
          <w:tcPr>
            <w:tcW w:w="1291" w:type="dxa"/>
            <w:vAlign w:val="center"/>
          </w:tcPr>
          <w:p w:rsidR="00E77327" w:rsidRDefault="002615A4">
            <w:pPr>
              <w:jc w:val="right"/>
            </w:pPr>
            <w:r>
              <w:rPr>
                <w:rFonts w:eastAsiaTheme="minorEastAsia"/>
                <w:color w:val="000000" w:themeColor="text1"/>
                <w:szCs w:val="21"/>
              </w:rPr>
              <w:t>0.16%</w:t>
            </w:r>
          </w:p>
        </w:tc>
      </w:tr>
      <w:tr w:rsidR="00E77327">
        <w:tc>
          <w:tcPr>
            <w:tcW w:w="1290" w:type="dxa"/>
            <w:vAlign w:val="center"/>
          </w:tcPr>
          <w:p w:rsidR="00E77327" w:rsidRDefault="002615A4">
            <w:pPr>
              <w:jc w:val="left"/>
            </w:pPr>
            <w:r>
              <w:rPr>
                <w:rFonts w:eastAsiaTheme="minorEastAsia"/>
                <w:color w:val="000000" w:themeColor="text1"/>
                <w:szCs w:val="21"/>
              </w:rPr>
              <w:t>过去一年</w:t>
            </w:r>
          </w:p>
        </w:tc>
        <w:tc>
          <w:tcPr>
            <w:tcW w:w="1291" w:type="dxa"/>
            <w:vAlign w:val="center"/>
          </w:tcPr>
          <w:p w:rsidR="00E77327" w:rsidRDefault="002615A4">
            <w:pPr>
              <w:jc w:val="right"/>
            </w:pPr>
            <w:r>
              <w:rPr>
                <w:rFonts w:eastAsiaTheme="minorEastAsia"/>
                <w:color w:val="000000" w:themeColor="text1"/>
                <w:szCs w:val="21"/>
              </w:rPr>
              <w:t>-2.20%</w:t>
            </w:r>
          </w:p>
        </w:tc>
        <w:tc>
          <w:tcPr>
            <w:tcW w:w="1291" w:type="dxa"/>
            <w:vAlign w:val="center"/>
          </w:tcPr>
          <w:p w:rsidR="00E77327" w:rsidRDefault="002615A4">
            <w:pPr>
              <w:jc w:val="right"/>
            </w:pPr>
            <w:r>
              <w:rPr>
                <w:rFonts w:eastAsiaTheme="minorEastAsia"/>
                <w:color w:val="000000" w:themeColor="text1"/>
                <w:szCs w:val="21"/>
              </w:rPr>
              <w:t>0.83%</w:t>
            </w:r>
          </w:p>
        </w:tc>
        <w:tc>
          <w:tcPr>
            <w:tcW w:w="1291" w:type="dxa"/>
            <w:vAlign w:val="center"/>
          </w:tcPr>
          <w:p w:rsidR="00E77327" w:rsidRDefault="002615A4">
            <w:pPr>
              <w:jc w:val="right"/>
            </w:pPr>
            <w:r>
              <w:rPr>
                <w:rFonts w:eastAsiaTheme="minorEastAsia"/>
                <w:color w:val="000000" w:themeColor="text1"/>
                <w:szCs w:val="21"/>
              </w:rPr>
              <w:t>-7.08%</w:t>
            </w:r>
          </w:p>
        </w:tc>
        <w:tc>
          <w:tcPr>
            <w:tcW w:w="1291" w:type="dxa"/>
            <w:vAlign w:val="center"/>
          </w:tcPr>
          <w:p w:rsidR="00E77327" w:rsidRDefault="002615A4">
            <w:pPr>
              <w:jc w:val="right"/>
            </w:pPr>
            <w:r>
              <w:rPr>
                <w:rFonts w:eastAsiaTheme="minorEastAsia"/>
                <w:color w:val="000000" w:themeColor="text1"/>
                <w:szCs w:val="21"/>
              </w:rPr>
              <w:t>0.64%</w:t>
            </w:r>
          </w:p>
        </w:tc>
        <w:tc>
          <w:tcPr>
            <w:tcW w:w="1291" w:type="dxa"/>
            <w:vAlign w:val="center"/>
          </w:tcPr>
          <w:p w:rsidR="00E77327" w:rsidRDefault="002615A4">
            <w:pPr>
              <w:jc w:val="right"/>
            </w:pPr>
            <w:r>
              <w:rPr>
                <w:rFonts w:eastAsiaTheme="minorEastAsia"/>
                <w:color w:val="000000" w:themeColor="text1"/>
                <w:szCs w:val="21"/>
              </w:rPr>
              <w:t>4.88%</w:t>
            </w:r>
          </w:p>
        </w:tc>
        <w:tc>
          <w:tcPr>
            <w:tcW w:w="1291" w:type="dxa"/>
            <w:vAlign w:val="center"/>
          </w:tcPr>
          <w:p w:rsidR="00E77327" w:rsidRDefault="002615A4">
            <w:pPr>
              <w:jc w:val="right"/>
            </w:pPr>
            <w:r>
              <w:rPr>
                <w:rFonts w:eastAsiaTheme="minorEastAsia"/>
                <w:color w:val="000000" w:themeColor="text1"/>
                <w:szCs w:val="21"/>
              </w:rPr>
              <w:t>0.19%</w:t>
            </w:r>
          </w:p>
        </w:tc>
      </w:tr>
      <w:tr w:rsidR="00E77327">
        <w:tc>
          <w:tcPr>
            <w:tcW w:w="1290" w:type="dxa"/>
            <w:vAlign w:val="center"/>
          </w:tcPr>
          <w:p w:rsidR="00E77327" w:rsidRDefault="002615A4">
            <w:pPr>
              <w:jc w:val="left"/>
            </w:pPr>
            <w:r>
              <w:rPr>
                <w:rFonts w:eastAsiaTheme="minorEastAsia"/>
                <w:color w:val="000000" w:themeColor="text1"/>
                <w:szCs w:val="21"/>
              </w:rPr>
              <w:t>过去三年</w:t>
            </w:r>
          </w:p>
        </w:tc>
        <w:tc>
          <w:tcPr>
            <w:tcW w:w="1291" w:type="dxa"/>
            <w:vAlign w:val="center"/>
          </w:tcPr>
          <w:p w:rsidR="00E77327" w:rsidRDefault="002615A4">
            <w:pPr>
              <w:jc w:val="right"/>
            </w:pPr>
            <w:r>
              <w:rPr>
                <w:rFonts w:eastAsiaTheme="minorEastAsia"/>
                <w:color w:val="000000" w:themeColor="text1"/>
                <w:szCs w:val="21"/>
              </w:rPr>
              <w:t>-12.67%</w:t>
            </w:r>
          </w:p>
        </w:tc>
        <w:tc>
          <w:tcPr>
            <w:tcW w:w="1291" w:type="dxa"/>
            <w:vAlign w:val="center"/>
          </w:tcPr>
          <w:p w:rsidR="00E77327" w:rsidRDefault="002615A4">
            <w:pPr>
              <w:jc w:val="right"/>
            </w:pPr>
            <w:r>
              <w:rPr>
                <w:rFonts w:eastAsiaTheme="minorEastAsia"/>
                <w:color w:val="000000" w:themeColor="text1"/>
                <w:szCs w:val="21"/>
              </w:rPr>
              <w:t>0.83%</w:t>
            </w:r>
          </w:p>
        </w:tc>
        <w:tc>
          <w:tcPr>
            <w:tcW w:w="1291" w:type="dxa"/>
            <w:vAlign w:val="center"/>
          </w:tcPr>
          <w:p w:rsidR="00E77327" w:rsidRDefault="002615A4">
            <w:pPr>
              <w:jc w:val="right"/>
            </w:pPr>
            <w:r>
              <w:rPr>
                <w:rFonts w:eastAsiaTheme="minorEastAsia"/>
                <w:color w:val="000000" w:themeColor="text1"/>
                <w:szCs w:val="21"/>
              </w:rPr>
              <w:t>-12.18%</w:t>
            </w:r>
          </w:p>
        </w:tc>
        <w:tc>
          <w:tcPr>
            <w:tcW w:w="1291" w:type="dxa"/>
            <w:vAlign w:val="center"/>
          </w:tcPr>
          <w:p w:rsidR="00E77327" w:rsidRDefault="002615A4">
            <w:pPr>
              <w:jc w:val="right"/>
            </w:pPr>
            <w:r>
              <w:rPr>
                <w:rFonts w:eastAsiaTheme="minorEastAsia"/>
                <w:color w:val="000000" w:themeColor="text1"/>
                <w:szCs w:val="21"/>
              </w:rPr>
              <w:t>0.67%</w:t>
            </w:r>
          </w:p>
        </w:tc>
        <w:tc>
          <w:tcPr>
            <w:tcW w:w="1291" w:type="dxa"/>
            <w:vAlign w:val="center"/>
          </w:tcPr>
          <w:p w:rsidR="00E77327" w:rsidRDefault="002615A4">
            <w:pPr>
              <w:jc w:val="right"/>
            </w:pPr>
            <w:r>
              <w:rPr>
                <w:rFonts w:eastAsiaTheme="minorEastAsia"/>
                <w:color w:val="000000" w:themeColor="text1"/>
                <w:szCs w:val="21"/>
              </w:rPr>
              <w:t>-0.49%</w:t>
            </w:r>
          </w:p>
        </w:tc>
        <w:tc>
          <w:tcPr>
            <w:tcW w:w="1291" w:type="dxa"/>
            <w:vAlign w:val="center"/>
          </w:tcPr>
          <w:p w:rsidR="00E77327" w:rsidRDefault="002615A4">
            <w:pPr>
              <w:jc w:val="right"/>
            </w:pPr>
            <w:r>
              <w:rPr>
                <w:rFonts w:eastAsiaTheme="minorEastAsia"/>
                <w:color w:val="000000" w:themeColor="text1"/>
                <w:szCs w:val="21"/>
              </w:rPr>
              <w:t>0.16%</w:t>
            </w:r>
          </w:p>
        </w:tc>
      </w:tr>
      <w:tr w:rsidR="00E77327">
        <w:tc>
          <w:tcPr>
            <w:tcW w:w="1290" w:type="dxa"/>
            <w:vAlign w:val="center"/>
          </w:tcPr>
          <w:p w:rsidR="00E77327" w:rsidRDefault="002615A4">
            <w:pPr>
              <w:jc w:val="left"/>
            </w:pPr>
            <w:r>
              <w:rPr>
                <w:rFonts w:eastAsiaTheme="minorEastAsia"/>
                <w:color w:val="000000" w:themeColor="text1"/>
                <w:szCs w:val="21"/>
              </w:rPr>
              <w:t>过去五年</w:t>
            </w:r>
          </w:p>
        </w:tc>
        <w:tc>
          <w:tcPr>
            <w:tcW w:w="1291" w:type="dxa"/>
            <w:vAlign w:val="center"/>
          </w:tcPr>
          <w:p w:rsidR="00E77327" w:rsidRDefault="002615A4">
            <w:pPr>
              <w:jc w:val="right"/>
            </w:pPr>
            <w:r>
              <w:rPr>
                <w:rFonts w:eastAsiaTheme="minorEastAsia"/>
                <w:color w:val="000000" w:themeColor="text1"/>
                <w:szCs w:val="21"/>
              </w:rPr>
              <w:t>15.73%</w:t>
            </w:r>
          </w:p>
        </w:tc>
        <w:tc>
          <w:tcPr>
            <w:tcW w:w="1291" w:type="dxa"/>
            <w:vAlign w:val="center"/>
          </w:tcPr>
          <w:p w:rsidR="00E77327" w:rsidRDefault="002615A4">
            <w:pPr>
              <w:jc w:val="right"/>
            </w:pPr>
            <w:r>
              <w:rPr>
                <w:rFonts w:eastAsiaTheme="minorEastAsia"/>
                <w:color w:val="000000" w:themeColor="text1"/>
                <w:szCs w:val="21"/>
              </w:rPr>
              <w:t>0.81%</w:t>
            </w:r>
          </w:p>
        </w:tc>
        <w:tc>
          <w:tcPr>
            <w:tcW w:w="1291" w:type="dxa"/>
            <w:vAlign w:val="center"/>
          </w:tcPr>
          <w:p w:rsidR="00E77327" w:rsidRDefault="002615A4">
            <w:pPr>
              <w:jc w:val="right"/>
            </w:pPr>
            <w:r>
              <w:rPr>
                <w:rFonts w:eastAsiaTheme="minorEastAsia"/>
                <w:color w:val="000000" w:themeColor="text1"/>
                <w:szCs w:val="21"/>
              </w:rPr>
              <w:t>7.29%</w:t>
            </w:r>
          </w:p>
        </w:tc>
        <w:tc>
          <w:tcPr>
            <w:tcW w:w="1291" w:type="dxa"/>
            <w:vAlign w:val="center"/>
          </w:tcPr>
          <w:p w:rsidR="00E77327" w:rsidRDefault="002615A4">
            <w:pPr>
              <w:jc w:val="right"/>
            </w:pPr>
            <w:r>
              <w:rPr>
                <w:rFonts w:eastAsiaTheme="minorEastAsia"/>
                <w:color w:val="000000" w:themeColor="text1"/>
                <w:szCs w:val="21"/>
              </w:rPr>
              <w:t>0.75%</w:t>
            </w:r>
          </w:p>
        </w:tc>
        <w:tc>
          <w:tcPr>
            <w:tcW w:w="1291" w:type="dxa"/>
            <w:vAlign w:val="center"/>
          </w:tcPr>
          <w:p w:rsidR="00E77327" w:rsidRDefault="002615A4">
            <w:pPr>
              <w:jc w:val="right"/>
            </w:pPr>
            <w:r>
              <w:rPr>
                <w:rFonts w:eastAsiaTheme="minorEastAsia"/>
                <w:color w:val="000000" w:themeColor="text1"/>
                <w:szCs w:val="21"/>
              </w:rPr>
              <w:t>8.44%</w:t>
            </w:r>
          </w:p>
        </w:tc>
        <w:tc>
          <w:tcPr>
            <w:tcW w:w="1291" w:type="dxa"/>
            <w:vAlign w:val="center"/>
          </w:tcPr>
          <w:p w:rsidR="00E77327" w:rsidRDefault="002615A4">
            <w:pPr>
              <w:jc w:val="right"/>
            </w:pPr>
            <w:r>
              <w:rPr>
                <w:rFonts w:eastAsiaTheme="minorEastAsia"/>
                <w:color w:val="000000" w:themeColor="text1"/>
                <w:szCs w:val="21"/>
              </w:rPr>
              <w:t>0.06%</w:t>
            </w:r>
          </w:p>
        </w:tc>
      </w:tr>
      <w:tr w:rsidR="00E77327">
        <w:tc>
          <w:tcPr>
            <w:tcW w:w="1290" w:type="dxa"/>
            <w:vAlign w:val="center"/>
          </w:tcPr>
          <w:p w:rsidR="00E77327" w:rsidRDefault="002615A4">
            <w:pPr>
              <w:jc w:val="left"/>
            </w:pPr>
            <w:r>
              <w:rPr>
                <w:rFonts w:eastAsiaTheme="minorEastAsia"/>
                <w:color w:val="000000" w:themeColor="text1"/>
                <w:szCs w:val="21"/>
              </w:rPr>
              <w:t>自基金合同生效起至今</w:t>
            </w:r>
          </w:p>
        </w:tc>
        <w:tc>
          <w:tcPr>
            <w:tcW w:w="1291" w:type="dxa"/>
            <w:vAlign w:val="center"/>
          </w:tcPr>
          <w:p w:rsidR="00E77327" w:rsidRDefault="002615A4">
            <w:pPr>
              <w:jc w:val="right"/>
            </w:pPr>
            <w:r>
              <w:rPr>
                <w:rFonts w:eastAsiaTheme="minorEastAsia"/>
                <w:color w:val="000000" w:themeColor="text1"/>
                <w:szCs w:val="21"/>
              </w:rPr>
              <w:t>16.81%</w:t>
            </w:r>
          </w:p>
        </w:tc>
        <w:tc>
          <w:tcPr>
            <w:tcW w:w="1291" w:type="dxa"/>
            <w:vAlign w:val="center"/>
          </w:tcPr>
          <w:p w:rsidR="00E77327" w:rsidRDefault="002615A4">
            <w:pPr>
              <w:jc w:val="right"/>
            </w:pPr>
            <w:r>
              <w:rPr>
                <w:rFonts w:eastAsiaTheme="minorEastAsia"/>
                <w:color w:val="000000" w:themeColor="text1"/>
                <w:szCs w:val="21"/>
              </w:rPr>
              <w:t>0.80%</w:t>
            </w:r>
          </w:p>
        </w:tc>
        <w:tc>
          <w:tcPr>
            <w:tcW w:w="1291" w:type="dxa"/>
            <w:vAlign w:val="center"/>
          </w:tcPr>
          <w:p w:rsidR="00E77327" w:rsidRDefault="002615A4">
            <w:pPr>
              <w:jc w:val="right"/>
            </w:pPr>
            <w:r>
              <w:rPr>
                <w:rFonts w:eastAsiaTheme="minorEastAsia"/>
                <w:color w:val="000000" w:themeColor="text1"/>
                <w:szCs w:val="21"/>
              </w:rPr>
              <w:t>7.55%</w:t>
            </w:r>
          </w:p>
        </w:tc>
        <w:tc>
          <w:tcPr>
            <w:tcW w:w="1291" w:type="dxa"/>
            <w:vAlign w:val="center"/>
          </w:tcPr>
          <w:p w:rsidR="00E77327" w:rsidRDefault="002615A4">
            <w:pPr>
              <w:jc w:val="right"/>
            </w:pPr>
            <w:r>
              <w:rPr>
                <w:rFonts w:eastAsiaTheme="minorEastAsia"/>
                <w:color w:val="000000" w:themeColor="text1"/>
                <w:szCs w:val="21"/>
              </w:rPr>
              <w:t>0.75%</w:t>
            </w:r>
          </w:p>
        </w:tc>
        <w:tc>
          <w:tcPr>
            <w:tcW w:w="1291" w:type="dxa"/>
            <w:vAlign w:val="center"/>
          </w:tcPr>
          <w:p w:rsidR="00E77327" w:rsidRDefault="002615A4">
            <w:pPr>
              <w:jc w:val="right"/>
            </w:pPr>
            <w:r>
              <w:rPr>
                <w:rFonts w:eastAsiaTheme="minorEastAsia"/>
                <w:color w:val="000000" w:themeColor="text1"/>
                <w:szCs w:val="21"/>
              </w:rPr>
              <w:t>9.26%</w:t>
            </w:r>
          </w:p>
        </w:tc>
        <w:tc>
          <w:tcPr>
            <w:tcW w:w="1291" w:type="dxa"/>
            <w:vAlign w:val="center"/>
          </w:tcPr>
          <w:p w:rsidR="00E77327" w:rsidRDefault="002615A4">
            <w:pPr>
              <w:jc w:val="right"/>
            </w:pPr>
            <w:r>
              <w:rPr>
                <w:rFonts w:eastAsiaTheme="minorEastAsia"/>
                <w:color w:val="000000" w:themeColor="text1"/>
                <w:szCs w:val="21"/>
              </w:rPr>
              <w:t>0.05%</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lastRenderedPageBreak/>
        <w:t>2</w:t>
      </w:r>
      <w:r w:rsidRPr="00B27A29">
        <w:rPr>
          <w:rFonts w:eastAsiaTheme="minorEastAsia"/>
          <w:b/>
          <w:color w:val="000000" w:themeColor="text1"/>
          <w:szCs w:val="21"/>
        </w:rPr>
        <w:t>、</w:t>
      </w:r>
      <w:r w:rsidRPr="00B27A29">
        <w:rPr>
          <w:rFonts w:eastAsiaTheme="minorEastAsia"/>
          <w:b/>
          <w:color w:val="000000" w:themeColor="text1"/>
          <w:kern w:val="0"/>
          <w:szCs w:val="21"/>
        </w:rPr>
        <w:t>摩根尚睿混合</w:t>
      </w:r>
      <w:r w:rsidRPr="00B27A29">
        <w:rPr>
          <w:rFonts w:eastAsiaTheme="minorEastAsia"/>
          <w:b/>
          <w:color w:val="000000" w:themeColor="text1"/>
          <w:kern w:val="0"/>
          <w:szCs w:val="21"/>
        </w:rPr>
        <w:t>(FOF)C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E77327">
        <w:tc>
          <w:tcPr>
            <w:tcW w:w="1290" w:type="dxa"/>
            <w:vAlign w:val="center"/>
          </w:tcPr>
          <w:p w:rsidR="00E77327" w:rsidRDefault="002615A4">
            <w:pPr>
              <w:jc w:val="left"/>
            </w:pPr>
            <w:r>
              <w:rPr>
                <w:rFonts w:eastAsiaTheme="minorEastAsia"/>
                <w:color w:val="000000" w:themeColor="text1"/>
                <w:szCs w:val="21"/>
              </w:rPr>
              <w:t>过去三个月</w:t>
            </w:r>
          </w:p>
        </w:tc>
        <w:tc>
          <w:tcPr>
            <w:tcW w:w="1291" w:type="dxa"/>
            <w:vAlign w:val="center"/>
          </w:tcPr>
          <w:p w:rsidR="00E77327" w:rsidRDefault="002615A4">
            <w:pPr>
              <w:jc w:val="right"/>
            </w:pPr>
            <w:r>
              <w:rPr>
                <w:rFonts w:eastAsiaTheme="minorEastAsia"/>
                <w:color w:val="000000" w:themeColor="text1"/>
                <w:szCs w:val="21"/>
              </w:rPr>
              <w:t>-5.05%</w:t>
            </w:r>
          </w:p>
        </w:tc>
        <w:tc>
          <w:tcPr>
            <w:tcW w:w="1291" w:type="dxa"/>
            <w:vAlign w:val="center"/>
          </w:tcPr>
          <w:p w:rsidR="00E77327" w:rsidRDefault="002615A4">
            <w:pPr>
              <w:jc w:val="right"/>
            </w:pPr>
            <w:r>
              <w:rPr>
                <w:rFonts w:eastAsiaTheme="minorEastAsia"/>
                <w:color w:val="000000" w:themeColor="text1"/>
                <w:szCs w:val="21"/>
              </w:rPr>
              <w:t>0.84%</w:t>
            </w:r>
          </w:p>
        </w:tc>
        <w:tc>
          <w:tcPr>
            <w:tcW w:w="1291" w:type="dxa"/>
            <w:vAlign w:val="center"/>
          </w:tcPr>
          <w:p w:rsidR="00E77327" w:rsidRDefault="002615A4">
            <w:pPr>
              <w:jc w:val="right"/>
            </w:pPr>
            <w:r>
              <w:rPr>
                <w:rFonts w:eastAsiaTheme="minorEastAsia"/>
                <w:color w:val="000000" w:themeColor="text1"/>
                <w:szCs w:val="21"/>
              </w:rPr>
              <w:t>-5.16%</w:t>
            </w:r>
          </w:p>
        </w:tc>
        <w:tc>
          <w:tcPr>
            <w:tcW w:w="1291" w:type="dxa"/>
            <w:vAlign w:val="center"/>
          </w:tcPr>
          <w:p w:rsidR="00E77327" w:rsidRDefault="002615A4">
            <w:pPr>
              <w:jc w:val="right"/>
            </w:pPr>
            <w:r>
              <w:rPr>
                <w:rFonts w:eastAsiaTheme="minorEastAsia"/>
                <w:color w:val="000000" w:themeColor="text1"/>
                <w:szCs w:val="21"/>
              </w:rPr>
              <w:t>0.67%</w:t>
            </w:r>
          </w:p>
        </w:tc>
        <w:tc>
          <w:tcPr>
            <w:tcW w:w="1291" w:type="dxa"/>
            <w:vAlign w:val="center"/>
          </w:tcPr>
          <w:p w:rsidR="00E77327" w:rsidRDefault="002615A4">
            <w:pPr>
              <w:jc w:val="right"/>
            </w:pPr>
            <w:r>
              <w:rPr>
                <w:rFonts w:eastAsiaTheme="minorEastAsia"/>
                <w:color w:val="000000" w:themeColor="text1"/>
                <w:szCs w:val="21"/>
              </w:rPr>
              <w:t>0.11%</w:t>
            </w:r>
          </w:p>
        </w:tc>
        <w:tc>
          <w:tcPr>
            <w:tcW w:w="1291" w:type="dxa"/>
            <w:vAlign w:val="center"/>
          </w:tcPr>
          <w:p w:rsidR="00E77327" w:rsidRDefault="002615A4">
            <w:pPr>
              <w:jc w:val="right"/>
            </w:pPr>
            <w:r>
              <w:rPr>
                <w:rFonts w:eastAsiaTheme="minorEastAsia"/>
                <w:color w:val="000000" w:themeColor="text1"/>
                <w:szCs w:val="21"/>
              </w:rPr>
              <w:t>0.17%</w:t>
            </w:r>
          </w:p>
        </w:tc>
      </w:tr>
      <w:tr w:rsidR="00E77327">
        <w:tc>
          <w:tcPr>
            <w:tcW w:w="1290" w:type="dxa"/>
            <w:vAlign w:val="center"/>
          </w:tcPr>
          <w:p w:rsidR="00E77327" w:rsidRDefault="002615A4">
            <w:pPr>
              <w:jc w:val="left"/>
            </w:pPr>
            <w:r>
              <w:rPr>
                <w:rFonts w:eastAsiaTheme="minorEastAsia"/>
                <w:color w:val="000000" w:themeColor="text1"/>
                <w:szCs w:val="21"/>
              </w:rPr>
              <w:t>过去六个月</w:t>
            </w:r>
          </w:p>
        </w:tc>
        <w:tc>
          <w:tcPr>
            <w:tcW w:w="1291" w:type="dxa"/>
            <w:vAlign w:val="center"/>
          </w:tcPr>
          <w:p w:rsidR="00E77327" w:rsidRDefault="002615A4">
            <w:pPr>
              <w:jc w:val="right"/>
            </w:pPr>
            <w:r>
              <w:rPr>
                <w:rFonts w:eastAsiaTheme="minorEastAsia"/>
                <w:color w:val="000000" w:themeColor="text1"/>
                <w:szCs w:val="21"/>
              </w:rPr>
              <w:t>-8.65%</w:t>
            </w:r>
          </w:p>
        </w:tc>
        <w:tc>
          <w:tcPr>
            <w:tcW w:w="1291" w:type="dxa"/>
            <w:vAlign w:val="center"/>
          </w:tcPr>
          <w:p w:rsidR="00E77327" w:rsidRDefault="002615A4">
            <w:pPr>
              <w:jc w:val="right"/>
            </w:pPr>
            <w:r>
              <w:rPr>
                <w:rFonts w:eastAsiaTheme="minorEastAsia"/>
                <w:color w:val="000000" w:themeColor="text1"/>
                <w:szCs w:val="21"/>
              </w:rPr>
              <w:t>0.80%</w:t>
            </w:r>
          </w:p>
        </w:tc>
        <w:tc>
          <w:tcPr>
            <w:tcW w:w="1291" w:type="dxa"/>
            <w:vAlign w:val="center"/>
          </w:tcPr>
          <w:p w:rsidR="00E77327" w:rsidRDefault="002615A4">
            <w:pPr>
              <w:jc w:val="right"/>
            </w:pPr>
            <w:r>
              <w:rPr>
                <w:rFonts w:eastAsiaTheme="minorEastAsia"/>
                <w:color w:val="000000" w:themeColor="text1"/>
                <w:szCs w:val="21"/>
              </w:rPr>
              <w:t>-9.28%</w:t>
            </w:r>
          </w:p>
        </w:tc>
        <w:tc>
          <w:tcPr>
            <w:tcW w:w="1291" w:type="dxa"/>
            <w:vAlign w:val="center"/>
          </w:tcPr>
          <w:p w:rsidR="00E77327" w:rsidRDefault="002615A4">
            <w:pPr>
              <w:jc w:val="right"/>
            </w:pPr>
            <w:r>
              <w:rPr>
                <w:rFonts w:eastAsiaTheme="minorEastAsia"/>
                <w:color w:val="000000" w:themeColor="text1"/>
                <w:szCs w:val="21"/>
              </w:rPr>
              <w:t>0.64%</w:t>
            </w:r>
          </w:p>
        </w:tc>
        <w:tc>
          <w:tcPr>
            <w:tcW w:w="1291" w:type="dxa"/>
            <w:vAlign w:val="center"/>
          </w:tcPr>
          <w:p w:rsidR="00E77327" w:rsidRDefault="002615A4">
            <w:pPr>
              <w:jc w:val="right"/>
            </w:pPr>
            <w:r>
              <w:rPr>
                <w:rFonts w:eastAsiaTheme="minorEastAsia"/>
                <w:color w:val="000000" w:themeColor="text1"/>
                <w:szCs w:val="21"/>
              </w:rPr>
              <w:t>0.63%</w:t>
            </w:r>
          </w:p>
        </w:tc>
        <w:tc>
          <w:tcPr>
            <w:tcW w:w="1291" w:type="dxa"/>
            <w:vAlign w:val="center"/>
          </w:tcPr>
          <w:p w:rsidR="00E77327" w:rsidRDefault="002615A4">
            <w:pPr>
              <w:jc w:val="right"/>
            </w:pPr>
            <w:r>
              <w:rPr>
                <w:rFonts w:eastAsiaTheme="minorEastAsia"/>
                <w:color w:val="000000" w:themeColor="text1"/>
                <w:szCs w:val="21"/>
              </w:rPr>
              <w:t>0.16%</w:t>
            </w:r>
          </w:p>
        </w:tc>
      </w:tr>
      <w:tr w:rsidR="00E77327">
        <w:tc>
          <w:tcPr>
            <w:tcW w:w="1290" w:type="dxa"/>
            <w:vAlign w:val="center"/>
          </w:tcPr>
          <w:p w:rsidR="00E77327" w:rsidRDefault="002615A4">
            <w:pPr>
              <w:jc w:val="left"/>
            </w:pPr>
            <w:r>
              <w:rPr>
                <w:rFonts w:eastAsiaTheme="minorEastAsia"/>
                <w:color w:val="000000" w:themeColor="text1"/>
                <w:szCs w:val="21"/>
              </w:rPr>
              <w:t>过去一年</w:t>
            </w:r>
          </w:p>
        </w:tc>
        <w:tc>
          <w:tcPr>
            <w:tcW w:w="1291" w:type="dxa"/>
            <w:vAlign w:val="center"/>
          </w:tcPr>
          <w:p w:rsidR="00E77327" w:rsidRDefault="002615A4">
            <w:pPr>
              <w:jc w:val="right"/>
            </w:pPr>
            <w:r>
              <w:rPr>
                <w:rFonts w:eastAsiaTheme="minorEastAsia"/>
                <w:color w:val="000000" w:themeColor="text1"/>
                <w:szCs w:val="21"/>
              </w:rPr>
              <w:t>-2.79%</w:t>
            </w:r>
          </w:p>
        </w:tc>
        <w:tc>
          <w:tcPr>
            <w:tcW w:w="1291" w:type="dxa"/>
            <w:vAlign w:val="center"/>
          </w:tcPr>
          <w:p w:rsidR="00E77327" w:rsidRDefault="002615A4">
            <w:pPr>
              <w:jc w:val="right"/>
            </w:pPr>
            <w:r>
              <w:rPr>
                <w:rFonts w:eastAsiaTheme="minorEastAsia"/>
                <w:color w:val="000000" w:themeColor="text1"/>
                <w:szCs w:val="21"/>
              </w:rPr>
              <w:t>0.83%</w:t>
            </w:r>
          </w:p>
        </w:tc>
        <w:tc>
          <w:tcPr>
            <w:tcW w:w="1291" w:type="dxa"/>
            <w:vAlign w:val="center"/>
          </w:tcPr>
          <w:p w:rsidR="00E77327" w:rsidRDefault="002615A4">
            <w:pPr>
              <w:jc w:val="right"/>
            </w:pPr>
            <w:r>
              <w:rPr>
                <w:rFonts w:eastAsiaTheme="minorEastAsia"/>
                <w:color w:val="000000" w:themeColor="text1"/>
                <w:szCs w:val="21"/>
              </w:rPr>
              <w:t>-7.08%</w:t>
            </w:r>
          </w:p>
        </w:tc>
        <w:tc>
          <w:tcPr>
            <w:tcW w:w="1291" w:type="dxa"/>
            <w:vAlign w:val="center"/>
          </w:tcPr>
          <w:p w:rsidR="00E77327" w:rsidRDefault="002615A4">
            <w:pPr>
              <w:jc w:val="right"/>
            </w:pPr>
            <w:r>
              <w:rPr>
                <w:rFonts w:eastAsiaTheme="minorEastAsia"/>
                <w:color w:val="000000" w:themeColor="text1"/>
                <w:szCs w:val="21"/>
              </w:rPr>
              <w:t>0.64%</w:t>
            </w:r>
          </w:p>
        </w:tc>
        <w:tc>
          <w:tcPr>
            <w:tcW w:w="1291" w:type="dxa"/>
            <w:vAlign w:val="center"/>
          </w:tcPr>
          <w:p w:rsidR="00E77327" w:rsidRDefault="002615A4">
            <w:pPr>
              <w:jc w:val="right"/>
            </w:pPr>
            <w:r>
              <w:rPr>
                <w:rFonts w:eastAsiaTheme="minorEastAsia"/>
                <w:color w:val="000000" w:themeColor="text1"/>
                <w:szCs w:val="21"/>
              </w:rPr>
              <w:t>4.29%</w:t>
            </w:r>
          </w:p>
        </w:tc>
        <w:tc>
          <w:tcPr>
            <w:tcW w:w="1291" w:type="dxa"/>
            <w:vAlign w:val="center"/>
          </w:tcPr>
          <w:p w:rsidR="00E77327" w:rsidRDefault="002615A4">
            <w:pPr>
              <w:jc w:val="right"/>
            </w:pPr>
            <w:r>
              <w:rPr>
                <w:rFonts w:eastAsiaTheme="minorEastAsia"/>
                <w:color w:val="000000" w:themeColor="text1"/>
                <w:szCs w:val="21"/>
              </w:rPr>
              <w:t>0.19%</w:t>
            </w:r>
          </w:p>
        </w:tc>
      </w:tr>
      <w:tr w:rsidR="00E77327">
        <w:tc>
          <w:tcPr>
            <w:tcW w:w="1290" w:type="dxa"/>
            <w:vAlign w:val="center"/>
          </w:tcPr>
          <w:p w:rsidR="00E77327" w:rsidRDefault="002615A4">
            <w:pPr>
              <w:jc w:val="left"/>
            </w:pPr>
            <w:r>
              <w:rPr>
                <w:rFonts w:eastAsiaTheme="minorEastAsia"/>
                <w:color w:val="000000" w:themeColor="text1"/>
                <w:szCs w:val="21"/>
              </w:rPr>
              <w:t>过去三年</w:t>
            </w:r>
          </w:p>
        </w:tc>
        <w:tc>
          <w:tcPr>
            <w:tcW w:w="1291" w:type="dxa"/>
            <w:vAlign w:val="center"/>
          </w:tcPr>
          <w:p w:rsidR="00E77327" w:rsidRDefault="002615A4">
            <w:pPr>
              <w:jc w:val="right"/>
            </w:pPr>
            <w:r>
              <w:rPr>
                <w:rFonts w:eastAsiaTheme="minorEastAsia"/>
                <w:color w:val="000000" w:themeColor="text1"/>
                <w:szCs w:val="21"/>
              </w:rPr>
              <w:t>-</w:t>
            </w:r>
          </w:p>
        </w:tc>
        <w:tc>
          <w:tcPr>
            <w:tcW w:w="1291" w:type="dxa"/>
            <w:vAlign w:val="center"/>
          </w:tcPr>
          <w:p w:rsidR="00E77327" w:rsidRDefault="002615A4">
            <w:pPr>
              <w:jc w:val="right"/>
            </w:pPr>
            <w:r>
              <w:rPr>
                <w:rFonts w:eastAsiaTheme="minorEastAsia"/>
                <w:color w:val="000000" w:themeColor="text1"/>
                <w:szCs w:val="21"/>
              </w:rPr>
              <w:t>-</w:t>
            </w:r>
          </w:p>
        </w:tc>
        <w:tc>
          <w:tcPr>
            <w:tcW w:w="1291" w:type="dxa"/>
            <w:vAlign w:val="center"/>
          </w:tcPr>
          <w:p w:rsidR="00E77327" w:rsidRDefault="002615A4">
            <w:pPr>
              <w:jc w:val="right"/>
            </w:pPr>
            <w:r>
              <w:rPr>
                <w:rFonts w:eastAsiaTheme="minorEastAsia"/>
                <w:color w:val="000000" w:themeColor="text1"/>
                <w:szCs w:val="21"/>
              </w:rPr>
              <w:t>-</w:t>
            </w:r>
          </w:p>
        </w:tc>
        <w:tc>
          <w:tcPr>
            <w:tcW w:w="1291" w:type="dxa"/>
            <w:vAlign w:val="center"/>
          </w:tcPr>
          <w:p w:rsidR="00E77327" w:rsidRDefault="002615A4">
            <w:pPr>
              <w:jc w:val="right"/>
            </w:pPr>
            <w:r>
              <w:rPr>
                <w:rFonts w:eastAsiaTheme="minorEastAsia"/>
                <w:color w:val="000000" w:themeColor="text1"/>
                <w:szCs w:val="21"/>
              </w:rPr>
              <w:t>-</w:t>
            </w:r>
          </w:p>
        </w:tc>
        <w:tc>
          <w:tcPr>
            <w:tcW w:w="1291" w:type="dxa"/>
            <w:vAlign w:val="center"/>
          </w:tcPr>
          <w:p w:rsidR="00E77327" w:rsidRDefault="002615A4">
            <w:pPr>
              <w:jc w:val="right"/>
            </w:pPr>
            <w:r>
              <w:rPr>
                <w:rFonts w:eastAsiaTheme="minorEastAsia"/>
                <w:color w:val="000000" w:themeColor="text1"/>
                <w:szCs w:val="21"/>
              </w:rPr>
              <w:t>-</w:t>
            </w:r>
          </w:p>
        </w:tc>
        <w:tc>
          <w:tcPr>
            <w:tcW w:w="1291" w:type="dxa"/>
            <w:vAlign w:val="center"/>
          </w:tcPr>
          <w:p w:rsidR="00E77327" w:rsidRDefault="002615A4">
            <w:pPr>
              <w:jc w:val="right"/>
            </w:pPr>
            <w:r>
              <w:rPr>
                <w:rFonts w:eastAsiaTheme="minorEastAsia"/>
                <w:color w:val="000000" w:themeColor="text1"/>
                <w:szCs w:val="21"/>
              </w:rPr>
              <w:t>-</w:t>
            </w:r>
          </w:p>
        </w:tc>
      </w:tr>
      <w:tr w:rsidR="00E77327">
        <w:tc>
          <w:tcPr>
            <w:tcW w:w="1290" w:type="dxa"/>
            <w:vAlign w:val="center"/>
          </w:tcPr>
          <w:p w:rsidR="00E77327" w:rsidRDefault="002615A4">
            <w:pPr>
              <w:jc w:val="left"/>
            </w:pPr>
            <w:r>
              <w:rPr>
                <w:rFonts w:eastAsiaTheme="minorEastAsia"/>
                <w:color w:val="000000" w:themeColor="text1"/>
                <w:szCs w:val="21"/>
              </w:rPr>
              <w:t>过去五年</w:t>
            </w:r>
          </w:p>
        </w:tc>
        <w:tc>
          <w:tcPr>
            <w:tcW w:w="1291" w:type="dxa"/>
            <w:vAlign w:val="center"/>
          </w:tcPr>
          <w:p w:rsidR="00E77327" w:rsidRDefault="002615A4">
            <w:pPr>
              <w:jc w:val="right"/>
            </w:pPr>
            <w:r>
              <w:rPr>
                <w:rFonts w:eastAsiaTheme="minorEastAsia"/>
                <w:color w:val="000000" w:themeColor="text1"/>
                <w:szCs w:val="21"/>
              </w:rPr>
              <w:t>-</w:t>
            </w:r>
          </w:p>
        </w:tc>
        <w:tc>
          <w:tcPr>
            <w:tcW w:w="1291" w:type="dxa"/>
            <w:vAlign w:val="center"/>
          </w:tcPr>
          <w:p w:rsidR="00E77327" w:rsidRDefault="002615A4">
            <w:pPr>
              <w:jc w:val="right"/>
            </w:pPr>
            <w:r>
              <w:rPr>
                <w:rFonts w:eastAsiaTheme="minorEastAsia"/>
                <w:color w:val="000000" w:themeColor="text1"/>
                <w:szCs w:val="21"/>
              </w:rPr>
              <w:t>-</w:t>
            </w:r>
          </w:p>
        </w:tc>
        <w:tc>
          <w:tcPr>
            <w:tcW w:w="1291" w:type="dxa"/>
            <w:vAlign w:val="center"/>
          </w:tcPr>
          <w:p w:rsidR="00E77327" w:rsidRDefault="002615A4">
            <w:pPr>
              <w:jc w:val="right"/>
            </w:pPr>
            <w:r>
              <w:rPr>
                <w:rFonts w:eastAsiaTheme="minorEastAsia"/>
                <w:color w:val="000000" w:themeColor="text1"/>
                <w:szCs w:val="21"/>
              </w:rPr>
              <w:t>-</w:t>
            </w:r>
          </w:p>
        </w:tc>
        <w:tc>
          <w:tcPr>
            <w:tcW w:w="1291" w:type="dxa"/>
            <w:vAlign w:val="center"/>
          </w:tcPr>
          <w:p w:rsidR="00E77327" w:rsidRDefault="002615A4">
            <w:pPr>
              <w:jc w:val="right"/>
            </w:pPr>
            <w:r>
              <w:rPr>
                <w:rFonts w:eastAsiaTheme="minorEastAsia"/>
                <w:color w:val="000000" w:themeColor="text1"/>
                <w:szCs w:val="21"/>
              </w:rPr>
              <w:t>-</w:t>
            </w:r>
          </w:p>
        </w:tc>
        <w:tc>
          <w:tcPr>
            <w:tcW w:w="1291" w:type="dxa"/>
            <w:vAlign w:val="center"/>
          </w:tcPr>
          <w:p w:rsidR="00E77327" w:rsidRDefault="002615A4">
            <w:pPr>
              <w:jc w:val="right"/>
            </w:pPr>
            <w:r>
              <w:rPr>
                <w:rFonts w:eastAsiaTheme="minorEastAsia"/>
                <w:color w:val="000000" w:themeColor="text1"/>
                <w:szCs w:val="21"/>
              </w:rPr>
              <w:t>-</w:t>
            </w:r>
          </w:p>
        </w:tc>
        <w:tc>
          <w:tcPr>
            <w:tcW w:w="1291" w:type="dxa"/>
            <w:vAlign w:val="center"/>
          </w:tcPr>
          <w:p w:rsidR="00E77327" w:rsidRDefault="002615A4">
            <w:pPr>
              <w:jc w:val="right"/>
            </w:pPr>
            <w:r>
              <w:rPr>
                <w:rFonts w:eastAsiaTheme="minorEastAsia"/>
                <w:color w:val="000000" w:themeColor="text1"/>
                <w:szCs w:val="21"/>
              </w:rPr>
              <w:t>-</w:t>
            </w:r>
          </w:p>
        </w:tc>
      </w:tr>
      <w:tr w:rsidR="00E77327">
        <w:tc>
          <w:tcPr>
            <w:tcW w:w="1290" w:type="dxa"/>
            <w:vAlign w:val="center"/>
          </w:tcPr>
          <w:p w:rsidR="00E77327" w:rsidRDefault="002615A4">
            <w:pPr>
              <w:jc w:val="left"/>
            </w:pPr>
            <w:r>
              <w:rPr>
                <w:rFonts w:eastAsiaTheme="minorEastAsia"/>
                <w:color w:val="000000" w:themeColor="text1"/>
                <w:szCs w:val="21"/>
              </w:rPr>
              <w:t>自基金合同生效起至今</w:t>
            </w:r>
          </w:p>
        </w:tc>
        <w:tc>
          <w:tcPr>
            <w:tcW w:w="1291" w:type="dxa"/>
            <w:vAlign w:val="center"/>
          </w:tcPr>
          <w:p w:rsidR="00E77327" w:rsidRDefault="002615A4">
            <w:pPr>
              <w:jc w:val="right"/>
            </w:pPr>
            <w:r>
              <w:rPr>
                <w:rFonts w:eastAsiaTheme="minorEastAsia"/>
                <w:color w:val="000000" w:themeColor="text1"/>
                <w:szCs w:val="21"/>
              </w:rPr>
              <w:t>-18.11%</w:t>
            </w:r>
          </w:p>
        </w:tc>
        <w:tc>
          <w:tcPr>
            <w:tcW w:w="1291" w:type="dxa"/>
            <w:vAlign w:val="center"/>
          </w:tcPr>
          <w:p w:rsidR="00E77327" w:rsidRDefault="002615A4">
            <w:pPr>
              <w:jc w:val="right"/>
            </w:pPr>
            <w:r>
              <w:rPr>
                <w:rFonts w:eastAsiaTheme="minorEastAsia"/>
                <w:color w:val="000000" w:themeColor="text1"/>
                <w:szCs w:val="21"/>
              </w:rPr>
              <w:t>0.88%</w:t>
            </w:r>
          </w:p>
        </w:tc>
        <w:tc>
          <w:tcPr>
            <w:tcW w:w="1291" w:type="dxa"/>
            <w:vAlign w:val="center"/>
          </w:tcPr>
          <w:p w:rsidR="00E77327" w:rsidRDefault="002615A4">
            <w:pPr>
              <w:jc w:val="right"/>
            </w:pPr>
            <w:r>
              <w:rPr>
                <w:rFonts w:eastAsiaTheme="minorEastAsia"/>
                <w:color w:val="000000" w:themeColor="text1"/>
                <w:szCs w:val="21"/>
              </w:rPr>
              <w:t>-16.41%</w:t>
            </w:r>
          </w:p>
        </w:tc>
        <w:tc>
          <w:tcPr>
            <w:tcW w:w="1291" w:type="dxa"/>
            <w:vAlign w:val="center"/>
          </w:tcPr>
          <w:p w:rsidR="00E77327" w:rsidRDefault="002615A4">
            <w:pPr>
              <w:jc w:val="right"/>
            </w:pPr>
            <w:r>
              <w:rPr>
                <w:rFonts w:eastAsiaTheme="minorEastAsia"/>
                <w:color w:val="000000" w:themeColor="text1"/>
                <w:szCs w:val="21"/>
              </w:rPr>
              <w:t>0.71%</w:t>
            </w:r>
          </w:p>
        </w:tc>
        <w:tc>
          <w:tcPr>
            <w:tcW w:w="1291" w:type="dxa"/>
            <w:vAlign w:val="center"/>
          </w:tcPr>
          <w:p w:rsidR="00E77327" w:rsidRDefault="002615A4">
            <w:pPr>
              <w:jc w:val="right"/>
            </w:pPr>
            <w:r>
              <w:rPr>
                <w:rFonts w:eastAsiaTheme="minorEastAsia"/>
                <w:color w:val="000000" w:themeColor="text1"/>
                <w:szCs w:val="21"/>
              </w:rPr>
              <w:t>-1.70%</w:t>
            </w:r>
          </w:p>
        </w:tc>
        <w:tc>
          <w:tcPr>
            <w:tcW w:w="1291" w:type="dxa"/>
            <w:vAlign w:val="center"/>
          </w:tcPr>
          <w:p w:rsidR="00E77327" w:rsidRDefault="002615A4">
            <w:pPr>
              <w:jc w:val="right"/>
            </w:pPr>
            <w:r>
              <w:rPr>
                <w:rFonts w:eastAsiaTheme="minorEastAsia"/>
                <w:color w:val="000000" w:themeColor="text1"/>
                <w:szCs w:val="21"/>
              </w:rPr>
              <w:t>0.17%</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摩根尚睿混合型基金中基金</w:t>
      </w:r>
      <w:r w:rsidRPr="00B27A29">
        <w:rPr>
          <w:rFonts w:eastAsiaTheme="minorEastAsia"/>
          <w:color w:val="000000" w:themeColor="text1"/>
          <w:szCs w:val="21"/>
        </w:rPr>
        <w:t>(FOF)</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(2018</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8</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15</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．摩根尚睿混合</w:t>
      </w:r>
      <w:r w:rsidRPr="00B27A29">
        <w:rPr>
          <w:rFonts w:eastAsiaTheme="minorEastAsia"/>
          <w:color w:val="000000" w:themeColor="text1"/>
          <w:szCs w:val="21"/>
        </w:rPr>
        <w:t>(FOF)A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E77327" w:rsidRDefault="002615A4">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日，图示的时间段为合同生效日至本报告期末。</w:t>
      </w:r>
    </w:p>
    <w:p w:rsidR="00E77327" w:rsidRDefault="002615A4">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个月，建仓期结束时资产配置比例符合本基金基金合同规定。</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2</w:t>
      </w:r>
      <w:r w:rsidRPr="00B27A29">
        <w:rPr>
          <w:rFonts w:eastAsiaTheme="minorEastAsia"/>
          <w:color w:val="000000" w:themeColor="text1"/>
          <w:szCs w:val="21"/>
        </w:rPr>
        <w:t>月</w:t>
      </w:r>
      <w:r w:rsidRPr="00B27A29">
        <w:rPr>
          <w:rFonts w:eastAsiaTheme="minorEastAsia"/>
          <w:color w:val="000000" w:themeColor="text1"/>
          <w:szCs w:val="21"/>
        </w:rPr>
        <w:t>14</w:t>
      </w:r>
      <w:r w:rsidRPr="00B27A29">
        <w:rPr>
          <w:rFonts w:eastAsiaTheme="minorEastAsia"/>
          <w:color w:val="000000" w:themeColor="text1"/>
          <w:szCs w:val="21"/>
        </w:rPr>
        <w:t>日起，将基金业绩比较基准由</w:t>
      </w:r>
      <w:r w:rsidRPr="00B27A29">
        <w:rPr>
          <w:rFonts w:eastAsiaTheme="minorEastAsia"/>
          <w:color w:val="000000" w:themeColor="text1"/>
          <w:szCs w:val="21"/>
        </w:rPr>
        <w:t>“</w:t>
      </w:r>
      <w:r w:rsidRPr="00B27A29">
        <w:rPr>
          <w:rFonts w:eastAsiaTheme="minorEastAsia"/>
          <w:color w:val="000000" w:themeColor="text1"/>
          <w:szCs w:val="21"/>
        </w:rPr>
        <w:t>中证</w:t>
      </w:r>
      <w:r w:rsidRPr="00B27A29">
        <w:rPr>
          <w:rFonts w:eastAsiaTheme="minorEastAsia"/>
          <w:color w:val="000000" w:themeColor="text1"/>
          <w:szCs w:val="21"/>
        </w:rPr>
        <w:t xml:space="preserve"> 800 </w:t>
      </w:r>
      <w:r w:rsidRPr="00B27A29">
        <w:rPr>
          <w:rFonts w:eastAsiaTheme="minorEastAsia"/>
          <w:color w:val="000000" w:themeColor="text1"/>
          <w:szCs w:val="21"/>
        </w:rPr>
        <w:t>指数收益率</w:t>
      </w:r>
      <w:r w:rsidRPr="00B27A29">
        <w:rPr>
          <w:rFonts w:eastAsiaTheme="minorEastAsia"/>
          <w:color w:val="000000" w:themeColor="text1"/>
          <w:szCs w:val="21"/>
        </w:rPr>
        <w:t>*60%+</w:t>
      </w:r>
      <w:r w:rsidRPr="00B27A29">
        <w:rPr>
          <w:rFonts w:eastAsiaTheme="minorEastAsia"/>
          <w:color w:val="000000" w:themeColor="text1"/>
          <w:szCs w:val="21"/>
        </w:rPr>
        <w:t>中证综</w:t>
      </w:r>
      <w:r w:rsidRPr="00B27A29">
        <w:rPr>
          <w:rFonts w:eastAsiaTheme="minorEastAsia"/>
          <w:color w:val="000000" w:themeColor="text1"/>
          <w:szCs w:val="21"/>
        </w:rPr>
        <w:lastRenderedPageBreak/>
        <w:t>合债指数收益率</w:t>
      </w:r>
      <w:r w:rsidRPr="00B27A29">
        <w:rPr>
          <w:rFonts w:eastAsiaTheme="minorEastAsia"/>
          <w:color w:val="000000" w:themeColor="text1"/>
          <w:szCs w:val="21"/>
        </w:rPr>
        <w:t>*40%”</w:t>
      </w:r>
      <w:r w:rsidRPr="00B27A29">
        <w:rPr>
          <w:rFonts w:eastAsiaTheme="minorEastAsia"/>
          <w:color w:val="000000" w:themeColor="text1"/>
          <w:szCs w:val="21"/>
        </w:rPr>
        <w:t>变更为</w:t>
      </w:r>
      <w:r w:rsidRPr="00B27A29">
        <w:rPr>
          <w:rFonts w:eastAsiaTheme="minorEastAsia"/>
          <w:color w:val="000000" w:themeColor="text1"/>
          <w:szCs w:val="21"/>
        </w:rPr>
        <w:t>“</w:t>
      </w:r>
      <w:r w:rsidRPr="00B27A29">
        <w:rPr>
          <w:rFonts w:eastAsiaTheme="minorEastAsia"/>
          <w:color w:val="000000" w:themeColor="text1"/>
          <w:szCs w:val="21"/>
        </w:rPr>
        <w:t>中证偏股型基金指数收益率</w:t>
      </w:r>
      <w:r w:rsidRPr="00B27A29">
        <w:rPr>
          <w:rFonts w:eastAsiaTheme="minorEastAsia"/>
          <w:color w:val="000000" w:themeColor="text1"/>
          <w:szCs w:val="21"/>
        </w:rPr>
        <w:t>*80%+</w:t>
      </w:r>
      <w:r w:rsidRPr="00B27A29">
        <w:rPr>
          <w:rFonts w:eastAsiaTheme="minorEastAsia"/>
          <w:color w:val="000000" w:themeColor="text1"/>
          <w:szCs w:val="21"/>
        </w:rPr>
        <w:t>中证债券型基金指数收益率</w:t>
      </w:r>
      <w:r w:rsidRPr="00B27A29">
        <w:rPr>
          <w:rFonts w:eastAsiaTheme="minorEastAsia"/>
          <w:color w:val="000000" w:themeColor="text1"/>
          <w:szCs w:val="21"/>
        </w:rPr>
        <w:t>*15%+</w:t>
      </w:r>
      <w:r w:rsidRPr="00B27A29">
        <w:rPr>
          <w:rFonts w:eastAsiaTheme="minorEastAsia"/>
          <w:color w:val="000000" w:themeColor="text1"/>
          <w:szCs w:val="21"/>
        </w:rPr>
        <w:t>活期存款利率（税后）</w:t>
      </w:r>
      <w:r w:rsidRPr="00B27A29">
        <w:rPr>
          <w:rFonts w:eastAsiaTheme="minorEastAsia"/>
          <w:color w:val="000000" w:themeColor="text1"/>
          <w:szCs w:val="21"/>
        </w:rPr>
        <w:t>*5%”</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．摩根尚睿混合</w:t>
      </w:r>
      <w:r w:rsidRPr="00B27A29">
        <w:rPr>
          <w:rFonts w:eastAsiaTheme="minorEastAsia"/>
          <w:color w:val="000000" w:themeColor="text1"/>
          <w:szCs w:val="21"/>
        </w:rPr>
        <w:t>(FOF)C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E77327" w:rsidRDefault="002615A4">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E77327" w:rsidRDefault="002615A4">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个月，建仓期结束时资产配置比例符合本基金基金合同规定。</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2</w:t>
      </w:r>
      <w:r w:rsidRPr="00B27A29">
        <w:rPr>
          <w:rFonts w:eastAsiaTheme="minorEastAsia"/>
          <w:color w:val="000000" w:themeColor="text1"/>
          <w:szCs w:val="21"/>
        </w:rPr>
        <w:t>月</w:t>
      </w:r>
      <w:r w:rsidRPr="00B27A29">
        <w:rPr>
          <w:rFonts w:eastAsiaTheme="minorEastAsia"/>
          <w:color w:val="000000" w:themeColor="text1"/>
          <w:szCs w:val="21"/>
        </w:rPr>
        <w:t>14</w:t>
      </w:r>
      <w:r w:rsidRPr="00B27A29">
        <w:rPr>
          <w:rFonts w:eastAsiaTheme="minorEastAsia"/>
          <w:color w:val="000000" w:themeColor="text1"/>
          <w:szCs w:val="21"/>
        </w:rPr>
        <w:t>日起，将基金业绩比较基准由</w:t>
      </w:r>
      <w:r w:rsidRPr="00B27A29">
        <w:rPr>
          <w:rFonts w:eastAsiaTheme="minorEastAsia"/>
          <w:color w:val="000000" w:themeColor="text1"/>
          <w:szCs w:val="21"/>
        </w:rPr>
        <w:t>“</w:t>
      </w:r>
      <w:r w:rsidRPr="00B27A29">
        <w:rPr>
          <w:rFonts w:eastAsiaTheme="minorEastAsia"/>
          <w:color w:val="000000" w:themeColor="text1"/>
          <w:szCs w:val="21"/>
        </w:rPr>
        <w:t>中证</w:t>
      </w:r>
      <w:r w:rsidRPr="00B27A29">
        <w:rPr>
          <w:rFonts w:eastAsiaTheme="minorEastAsia"/>
          <w:color w:val="000000" w:themeColor="text1"/>
          <w:szCs w:val="21"/>
        </w:rPr>
        <w:t xml:space="preserve"> 800 </w:t>
      </w:r>
      <w:r w:rsidRPr="00B27A29">
        <w:rPr>
          <w:rFonts w:eastAsiaTheme="minorEastAsia"/>
          <w:color w:val="000000" w:themeColor="text1"/>
          <w:szCs w:val="21"/>
        </w:rPr>
        <w:t>指数收益率</w:t>
      </w:r>
      <w:r w:rsidRPr="00B27A29">
        <w:rPr>
          <w:rFonts w:eastAsiaTheme="minorEastAsia"/>
          <w:color w:val="000000" w:themeColor="text1"/>
          <w:szCs w:val="21"/>
        </w:rPr>
        <w:t>*60%+</w:t>
      </w:r>
      <w:r w:rsidRPr="00B27A29">
        <w:rPr>
          <w:rFonts w:eastAsiaTheme="minorEastAsia"/>
          <w:color w:val="000000" w:themeColor="text1"/>
          <w:szCs w:val="21"/>
        </w:rPr>
        <w:t>中证综合债指数收益率</w:t>
      </w:r>
      <w:r w:rsidRPr="00B27A29">
        <w:rPr>
          <w:rFonts w:eastAsiaTheme="minorEastAsia"/>
          <w:color w:val="000000" w:themeColor="text1"/>
          <w:szCs w:val="21"/>
        </w:rPr>
        <w:t>*40%”</w:t>
      </w:r>
      <w:r w:rsidRPr="00B27A29">
        <w:rPr>
          <w:rFonts w:eastAsiaTheme="minorEastAsia"/>
          <w:color w:val="000000" w:themeColor="text1"/>
          <w:szCs w:val="21"/>
        </w:rPr>
        <w:t>变更为</w:t>
      </w:r>
      <w:r w:rsidRPr="00B27A29">
        <w:rPr>
          <w:rFonts w:eastAsiaTheme="minorEastAsia"/>
          <w:color w:val="000000" w:themeColor="text1"/>
          <w:szCs w:val="21"/>
        </w:rPr>
        <w:t>“</w:t>
      </w:r>
      <w:r w:rsidRPr="00B27A29">
        <w:rPr>
          <w:rFonts w:eastAsiaTheme="minorEastAsia"/>
          <w:color w:val="000000" w:themeColor="text1"/>
          <w:szCs w:val="21"/>
        </w:rPr>
        <w:t>中证偏股型基金指数收益率</w:t>
      </w:r>
      <w:r w:rsidRPr="00B27A29">
        <w:rPr>
          <w:rFonts w:eastAsiaTheme="minorEastAsia"/>
          <w:color w:val="000000" w:themeColor="text1"/>
          <w:szCs w:val="21"/>
        </w:rPr>
        <w:t>*80%+</w:t>
      </w:r>
      <w:r w:rsidRPr="00B27A29">
        <w:rPr>
          <w:rFonts w:eastAsiaTheme="minorEastAsia"/>
          <w:color w:val="000000" w:themeColor="text1"/>
          <w:szCs w:val="21"/>
        </w:rPr>
        <w:t>中证债券型基金指数收益率</w:t>
      </w:r>
      <w:r w:rsidRPr="00B27A29">
        <w:rPr>
          <w:rFonts w:eastAsiaTheme="minorEastAsia"/>
          <w:color w:val="000000" w:themeColor="text1"/>
          <w:szCs w:val="21"/>
        </w:rPr>
        <w:t>*15%+</w:t>
      </w:r>
      <w:r w:rsidRPr="00B27A29">
        <w:rPr>
          <w:rFonts w:eastAsiaTheme="minorEastAsia"/>
          <w:color w:val="000000" w:themeColor="text1"/>
          <w:szCs w:val="21"/>
        </w:rPr>
        <w:t>活期存款利率（税后）</w:t>
      </w:r>
      <w:r w:rsidRPr="00B27A29">
        <w:rPr>
          <w:rFonts w:eastAsiaTheme="minorEastAsia"/>
          <w:color w:val="000000" w:themeColor="text1"/>
          <w:szCs w:val="21"/>
        </w:rPr>
        <w:t>*5%”</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E77327">
        <w:tc>
          <w:tcPr>
            <w:tcW w:w="952" w:type="dxa"/>
            <w:vAlign w:val="center"/>
          </w:tcPr>
          <w:p w:rsidR="00E77327" w:rsidRDefault="002615A4">
            <w:pPr>
              <w:jc w:val="center"/>
            </w:pPr>
            <w:r>
              <w:rPr>
                <w:rFonts w:eastAsiaTheme="minorEastAsia"/>
                <w:color w:val="000000" w:themeColor="text1"/>
                <w:szCs w:val="21"/>
              </w:rPr>
              <w:t>刘凌云</w:t>
            </w:r>
          </w:p>
        </w:tc>
        <w:tc>
          <w:tcPr>
            <w:tcW w:w="930" w:type="dxa"/>
            <w:vAlign w:val="center"/>
          </w:tcPr>
          <w:p w:rsidR="00E77327" w:rsidRDefault="002615A4">
            <w:pPr>
              <w:jc w:val="center"/>
            </w:pPr>
            <w:r>
              <w:rPr>
                <w:rFonts w:eastAsiaTheme="minorEastAsia"/>
                <w:color w:val="000000" w:themeColor="text1"/>
                <w:szCs w:val="21"/>
              </w:rPr>
              <w:t>本基金基金经理、组</w:t>
            </w:r>
            <w:r>
              <w:rPr>
                <w:rFonts w:eastAsiaTheme="minorEastAsia"/>
                <w:color w:val="000000" w:themeColor="text1"/>
                <w:szCs w:val="21"/>
              </w:rPr>
              <w:lastRenderedPageBreak/>
              <w:t>合基金投资部总监</w:t>
            </w:r>
          </w:p>
        </w:tc>
        <w:tc>
          <w:tcPr>
            <w:tcW w:w="1210" w:type="dxa"/>
            <w:vAlign w:val="center"/>
          </w:tcPr>
          <w:p w:rsidR="00E77327" w:rsidRDefault="002615A4">
            <w:pPr>
              <w:jc w:val="center"/>
            </w:pPr>
            <w:r>
              <w:rPr>
                <w:rFonts w:eastAsiaTheme="minorEastAsia"/>
                <w:color w:val="000000" w:themeColor="text1"/>
                <w:szCs w:val="21"/>
              </w:rPr>
              <w:lastRenderedPageBreak/>
              <w:t>2018-08-15</w:t>
            </w:r>
          </w:p>
        </w:tc>
        <w:tc>
          <w:tcPr>
            <w:tcW w:w="1309" w:type="dxa"/>
            <w:vAlign w:val="center"/>
          </w:tcPr>
          <w:p w:rsidR="00E77327" w:rsidRDefault="002615A4">
            <w:pPr>
              <w:jc w:val="center"/>
            </w:pPr>
            <w:r>
              <w:rPr>
                <w:rFonts w:eastAsiaTheme="minorEastAsia"/>
                <w:color w:val="000000" w:themeColor="text1"/>
                <w:szCs w:val="21"/>
              </w:rPr>
              <w:t>-</w:t>
            </w:r>
          </w:p>
        </w:tc>
        <w:tc>
          <w:tcPr>
            <w:tcW w:w="1254" w:type="dxa"/>
            <w:vAlign w:val="center"/>
          </w:tcPr>
          <w:p w:rsidR="00E77327" w:rsidRDefault="002615A4">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rsidR="00E77327" w:rsidRDefault="002615A4">
            <w:r>
              <w:rPr>
                <w:rFonts w:eastAsiaTheme="minorEastAsia"/>
                <w:color w:val="000000" w:themeColor="text1"/>
                <w:szCs w:val="21"/>
              </w:rPr>
              <w:t>刘凌云女士曾任中海基金管理有限公司产品研发经理。</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月起加入摩根基金管理（中国）有</w:t>
            </w:r>
            <w:r>
              <w:rPr>
                <w:rFonts w:eastAsiaTheme="minorEastAsia"/>
                <w:color w:val="000000" w:themeColor="text1"/>
                <w:szCs w:val="21"/>
              </w:rPr>
              <w:lastRenderedPageBreak/>
              <w:t>限公司（原上投摩根基金管理有限公司），历任产品经理、高级投资组合经理、客户投资组合总监，组合基金投资部总监，现任组合基金投资部总监兼基金经理。</w:t>
            </w:r>
          </w:p>
        </w:tc>
      </w:tr>
      <w:tr w:rsidR="00E77327">
        <w:tc>
          <w:tcPr>
            <w:tcW w:w="952" w:type="dxa"/>
            <w:vAlign w:val="center"/>
          </w:tcPr>
          <w:p w:rsidR="00E77327" w:rsidRDefault="002615A4">
            <w:pPr>
              <w:jc w:val="center"/>
            </w:pPr>
            <w:r>
              <w:rPr>
                <w:rFonts w:eastAsiaTheme="minorEastAsia"/>
                <w:color w:val="000000" w:themeColor="text1"/>
                <w:szCs w:val="21"/>
              </w:rPr>
              <w:lastRenderedPageBreak/>
              <w:t>杜习杰</w:t>
            </w:r>
          </w:p>
        </w:tc>
        <w:tc>
          <w:tcPr>
            <w:tcW w:w="930" w:type="dxa"/>
            <w:vAlign w:val="center"/>
          </w:tcPr>
          <w:p w:rsidR="00E77327" w:rsidRDefault="002615A4">
            <w:pPr>
              <w:jc w:val="center"/>
            </w:pPr>
            <w:r>
              <w:rPr>
                <w:rFonts w:eastAsiaTheme="minorEastAsia"/>
                <w:color w:val="000000" w:themeColor="text1"/>
                <w:szCs w:val="21"/>
              </w:rPr>
              <w:t>本基金基金经理</w:t>
            </w:r>
          </w:p>
        </w:tc>
        <w:tc>
          <w:tcPr>
            <w:tcW w:w="1210" w:type="dxa"/>
            <w:vAlign w:val="center"/>
          </w:tcPr>
          <w:p w:rsidR="00E77327" w:rsidRDefault="002615A4">
            <w:pPr>
              <w:jc w:val="center"/>
            </w:pPr>
            <w:r>
              <w:rPr>
                <w:rFonts w:eastAsiaTheme="minorEastAsia"/>
                <w:color w:val="000000" w:themeColor="text1"/>
                <w:szCs w:val="21"/>
              </w:rPr>
              <w:t>2020-12-11</w:t>
            </w:r>
          </w:p>
        </w:tc>
        <w:tc>
          <w:tcPr>
            <w:tcW w:w="1309" w:type="dxa"/>
            <w:vAlign w:val="center"/>
          </w:tcPr>
          <w:p w:rsidR="00E77327" w:rsidRDefault="002615A4">
            <w:pPr>
              <w:jc w:val="center"/>
            </w:pPr>
            <w:r>
              <w:rPr>
                <w:rFonts w:eastAsiaTheme="minorEastAsia"/>
                <w:color w:val="000000" w:themeColor="text1"/>
                <w:szCs w:val="21"/>
              </w:rPr>
              <w:t>-</w:t>
            </w:r>
          </w:p>
        </w:tc>
        <w:tc>
          <w:tcPr>
            <w:tcW w:w="1254" w:type="dxa"/>
            <w:vAlign w:val="center"/>
          </w:tcPr>
          <w:p w:rsidR="00E77327" w:rsidRDefault="002615A4">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rsidR="00E77327" w:rsidRDefault="002615A4">
            <w:r>
              <w:rPr>
                <w:rFonts w:eastAsiaTheme="minorEastAsia"/>
                <w:color w:val="000000" w:themeColor="text1"/>
                <w:szCs w:val="21"/>
              </w:rPr>
              <w:t>杜习杰先生曾任长信基金任研究员。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月起加入摩根基金管理（中国）有限公司（原上投摩根基金管理有限公司），历任研究员、投资经理兼研究员，现任组合基金投资部基金经理。</w:t>
            </w:r>
          </w:p>
        </w:tc>
      </w:tr>
      <w:tr w:rsidR="00E77327">
        <w:tc>
          <w:tcPr>
            <w:tcW w:w="952" w:type="dxa"/>
            <w:vAlign w:val="center"/>
          </w:tcPr>
          <w:p w:rsidR="00E77327" w:rsidRDefault="002615A4">
            <w:pPr>
              <w:jc w:val="center"/>
            </w:pPr>
            <w:r>
              <w:rPr>
                <w:rFonts w:eastAsiaTheme="minorEastAsia"/>
                <w:color w:val="000000" w:themeColor="text1"/>
                <w:szCs w:val="21"/>
              </w:rPr>
              <w:t>吴春杰</w:t>
            </w:r>
          </w:p>
        </w:tc>
        <w:tc>
          <w:tcPr>
            <w:tcW w:w="930" w:type="dxa"/>
            <w:vAlign w:val="center"/>
          </w:tcPr>
          <w:p w:rsidR="00E77327" w:rsidRDefault="002615A4">
            <w:pPr>
              <w:jc w:val="center"/>
            </w:pPr>
            <w:r>
              <w:rPr>
                <w:rFonts w:eastAsiaTheme="minorEastAsia"/>
                <w:color w:val="000000" w:themeColor="text1"/>
                <w:szCs w:val="21"/>
              </w:rPr>
              <w:t>本基金基金经理</w:t>
            </w:r>
          </w:p>
        </w:tc>
        <w:tc>
          <w:tcPr>
            <w:tcW w:w="1210" w:type="dxa"/>
            <w:vAlign w:val="center"/>
          </w:tcPr>
          <w:p w:rsidR="00E77327" w:rsidRDefault="002615A4">
            <w:pPr>
              <w:jc w:val="center"/>
            </w:pPr>
            <w:r>
              <w:rPr>
                <w:rFonts w:eastAsiaTheme="minorEastAsia"/>
                <w:color w:val="000000" w:themeColor="text1"/>
                <w:szCs w:val="21"/>
              </w:rPr>
              <w:t>2022-03-04</w:t>
            </w:r>
          </w:p>
        </w:tc>
        <w:tc>
          <w:tcPr>
            <w:tcW w:w="1309" w:type="dxa"/>
            <w:vAlign w:val="center"/>
          </w:tcPr>
          <w:p w:rsidR="00E77327" w:rsidRDefault="002615A4">
            <w:pPr>
              <w:jc w:val="center"/>
            </w:pPr>
            <w:r>
              <w:rPr>
                <w:rFonts w:eastAsiaTheme="minorEastAsia"/>
                <w:color w:val="000000" w:themeColor="text1"/>
                <w:szCs w:val="21"/>
              </w:rPr>
              <w:t>-</w:t>
            </w:r>
          </w:p>
        </w:tc>
        <w:tc>
          <w:tcPr>
            <w:tcW w:w="1254" w:type="dxa"/>
            <w:vAlign w:val="center"/>
          </w:tcPr>
          <w:p w:rsidR="00E77327" w:rsidRDefault="002615A4">
            <w:pPr>
              <w:jc w:val="center"/>
            </w:pPr>
            <w:r>
              <w:rPr>
                <w:rFonts w:eastAsiaTheme="minorEastAsia"/>
                <w:color w:val="000000" w:themeColor="text1"/>
                <w:szCs w:val="21"/>
              </w:rPr>
              <w:t>12</w:t>
            </w:r>
            <w:r>
              <w:rPr>
                <w:rFonts w:eastAsiaTheme="minorEastAsia"/>
                <w:color w:val="000000" w:themeColor="text1"/>
                <w:szCs w:val="21"/>
              </w:rPr>
              <w:t>年</w:t>
            </w:r>
          </w:p>
        </w:tc>
        <w:tc>
          <w:tcPr>
            <w:tcW w:w="3276" w:type="dxa"/>
            <w:vAlign w:val="center"/>
          </w:tcPr>
          <w:p w:rsidR="00E77327" w:rsidRDefault="002615A4">
            <w:r>
              <w:rPr>
                <w:rFonts w:eastAsiaTheme="minorEastAsia"/>
                <w:color w:val="000000" w:themeColor="text1"/>
                <w:szCs w:val="21"/>
              </w:rPr>
              <w:t>吴春杰女士曾任长江证券股份有限公司宏观策略分析师，中国太平洋人寿保险有限公司资产配置中心配置策略经理，上海景熙资产管理有限公司投资经理</w:t>
            </w:r>
            <w:r>
              <w:rPr>
                <w:rFonts w:eastAsiaTheme="minorEastAsia"/>
                <w:color w:val="000000" w:themeColor="text1"/>
                <w:szCs w:val="21"/>
              </w:rPr>
              <w:t>/</w:t>
            </w:r>
            <w:r>
              <w:rPr>
                <w:rFonts w:eastAsiaTheme="minorEastAsia"/>
                <w:color w:val="000000" w:themeColor="text1"/>
                <w:szCs w:val="21"/>
              </w:rPr>
              <w:t>宏观策略研究。</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月加入摩根基金管理（中国）有限公司（原上投摩根基金管理有限公司），历任宏观研究员，现任高级基金经理。</w:t>
            </w:r>
          </w:p>
        </w:tc>
      </w:tr>
    </w:tbl>
    <w:p w:rsidR="00E77327" w:rsidRDefault="002615A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E77327" w:rsidRDefault="002615A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刘凌云女士为本基金首任基金经理，其任职日期为本基金基金合同生效之日；</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3. </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E77327" w:rsidRDefault="002615A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w:t>
      </w:r>
      <w:r>
        <w:rPr>
          <w:rFonts w:eastAsiaTheme="minorEastAsia"/>
          <w:color w:val="000000" w:themeColor="text1"/>
          <w:szCs w:val="21"/>
        </w:rPr>
        <w:lastRenderedPageBreak/>
        <w:t>均得到公平对待。</w:t>
      </w:r>
    </w:p>
    <w:p w:rsidR="00E77327" w:rsidRDefault="002615A4">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E77327" w:rsidRDefault="002615A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E77327" w:rsidRDefault="002615A4">
      <w:pPr>
        <w:spacing w:line="360" w:lineRule="auto"/>
        <w:ind w:firstLineChars="200" w:firstLine="420"/>
        <w:rPr>
          <w:rFonts w:eastAsiaTheme="minorEastAsia"/>
          <w:color w:val="000000" w:themeColor="text1"/>
          <w:szCs w:val="21"/>
        </w:rPr>
      </w:pPr>
      <w:r>
        <w:rPr>
          <w:rFonts w:eastAsiaTheme="minorEastAsia"/>
          <w:color w:val="000000" w:themeColor="text1"/>
          <w:szCs w:val="21"/>
        </w:rPr>
        <w:t>回顾前三季度，一季度国内实际</w:t>
      </w:r>
      <w:r>
        <w:rPr>
          <w:rFonts w:eastAsiaTheme="minorEastAsia"/>
          <w:color w:val="000000" w:themeColor="text1"/>
          <w:szCs w:val="21"/>
        </w:rPr>
        <w:t>GDP</w:t>
      </w:r>
      <w:r>
        <w:rPr>
          <w:rFonts w:eastAsiaTheme="minorEastAsia"/>
          <w:color w:val="000000" w:themeColor="text1"/>
          <w:szCs w:val="21"/>
        </w:rPr>
        <w:t>同比</w:t>
      </w:r>
      <w:r>
        <w:rPr>
          <w:rFonts w:eastAsiaTheme="minorEastAsia"/>
          <w:color w:val="000000" w:themeColor="text1"/>
          <w:szCs w:val="21"/>
        </w:rPr>
        <w:t>+4.5%</w:t>
      </w:r>
      <w:r>
        <w:rPr>
          <w:rFonts w:eastAsiaTheme="minorEastAsia"/>
          <w:color w:val="000000" w:themeColor="text1"/>
          <w:szCs w:val="21"/>
        </w:rPr>
        <w:t>实现了良好的开局，低基数下二季度实际</w:t>
      </w:r>
      <w:r>
        <w:rPr>
          <w:rFonts w:eastAsiaTheme="minorEastAsia"/>
          <w:color w:val="000000" w:themeColor="text1"/>
          <w:szCs w:val="21"/>
        </w:rPr>
        <w:t>GDP</w:t>
      </w:r>
      <w:r>
        <w:rPr>
          <w:rFonts w:eastAsiaTheme="minorEastAsia"/>
          <w:color w:val="000000" w:themeColor="text1"/>
          <w:szCs w:val="21"/>
        </w:rPr>
        <w:t>增速回升至</w:t>
      </w:r>
      <w:r>
        <w:rPr>
          <w:rFonts w:eastAsiaTheme="minorEastAsia"/>
          <w:color w:val="000000" w:themeColor="text1"/>
          <w:szCs w:val="21"/>
        </w:rPr>
        <w:t>+6.3%</w:t>
      </w:r>
      <w:r>
        <w:rPr>
          <w:rFonts w:eastAsiaTheme="minorEastAsia"/>
          <w:color w:val="000000" w:themeColor="text1"/>
          <w:szCs w:val="21"/>
        </w:rPr>
        <w:t>略低于预期；</w:t>
      </w:r>
      <w:r>
        <w:rPr>
          <w:rFonts w:eastAsiaTheme="minorEastAsia"/>
          <w:color w:val="000000" w:themeColor="text1"/>
          <w:szCs w:val="21"/>
        </w:rPr>
        <w:t>7</w:t>
      </w:r>
      <w:r>
        <w:rPr>
          <w:rFonts w:eastAsiaTheme="minorEastAsia"/>
          <w:color w:val="000000" w:themeColor="text1"/>
          <w:szCs w:val="21"/>
        </w:rPr>
        <w:t>月底政治局会议以来多项稳经济政策落地，包括央行操作降准与降息、以一线城市调整</w:t>
      </w:r>
      <w:r>
        <w:rPr>
          <w:rFonts w:eastAsiaTheme="minorEastAsia"/>
          <w:color w:val="000000" w:themeColor="text1"/>
          <w:szCs w:val="21"/>
        </w:rPr>
        <w:t>“</w:t>
      </w:r>
      <w:r>
        <w:rPr>
          <w:rFonts w:eastAsiaTheme="minorEastAsia"/>
          <w:color w:val="000000" w:themeColor="text1"/>
          <w:szCs w:val="21"/>
        </w:rPr>
        <w:t>认房又认贷</w:t>
      </w:r>
      <w:r>
        <w:rPr>
          <w:rFonts w:eastAsiaTheme="minorEastAsia"/>
          <w:color w:val="000000" w:themeColor="text1"/>
          <w:szCs w:val="21"/>
        </w:rPr>
        <w:t>”</w:t>
      </w:r>
      <w:r>
        <w:rPr>
          <w:rFonts w:eastAsiaTheme="minorEastAsia"/>
          <w:color w:val="000000" w:themeColor="text1"/>
          <w:szCs w:val="21"/>
        </w:rPr>
        <w:t>为标志的房地产需求端政策放松等，市场主体对经济的信心处在逐步恢复的过程中。</w:t>
      </w:r>
    </w:p>
    <w:p w:rsidR="00E77327" w:rsidRDefault="002615A4">
      <w:pPr>
        <w:spacing w:line="360" w:lineRule="auto"/>
        <w:ind w:firstLineChars="200" w:firstLine="420"/>
        <w:rPr>
          <w:rFonts w:eastAsiaTheme="minorEastAsia"/>
          <w:color w:val="000000" w:themeColor="text1"/>
          <w:szCs w:val="21"/>
        </w:rPr>
      </w:pPr>
      <w:r>
        <w:rPr>
          <w:rFonts w:eastAsiaTheme="minorEastAsia"/>
          <w:color w:val="000000" w:themeColor="text1"/>
          <w:szCs w:val="21"/>
        </w:rPr>
        <w:t>在政策预期改善与经济现实偏弱的组合状态中，三季度国内股票市场震荡走弱，中证</w:t>
      </w:r>
      <w:r>
        <w:rPr>
          <w:rFonts w:eastAsiaTheme="minorEastAsia"/>
          <w:color w:val="000000" w:themeColor="text1"/>
          <w:szCs w:val="21"/>
        </w:rPr>
        <w:t>800</w:t>
      </w:r>
      <w:r>
        <w:rPr>
          <w:rFonts w:eastAsiaTheme="minorEastAsia"/>
          <w:color w:val="000000" w:themeColor="text1"/>
          <w:szCs w:val="21"/>
        </w:rPr>
        <w:t>指数下跌</w:t>
      </w:r>
      <w:r>
        <w:rPr>
          <w:rFonts w:eastAsiaTheme="minorEastAsia"/>
          <w:color w:val="000000" w:themeColor="text1"/>
          <w:szCs w:val="21"/>
        </w:rPr>
        <w:t>-4.3%</w:t>
      </w:r>
      <w:r>
        <w:rPr>
          <w:rFonts w:eastAsiaTheme="minorEastAsia"/>
          <w:color w:val="000000" w:themeColor="text1"/>
          <w:szCs w:val="21"/>
        </w:rPr>
        <w:t>；海外加息周期尾声的高利率环境也对国内资产有边际的负面影响，</w:t>
      </w:r>
      <w:r>
        <w:rPr>
          <w:rFonts w:eastAsiaTheme="minorEastAsia"/>
          <w:color w:val="000000" w:themeColor="text1"/>
          <w:szCs w:val="21"/>
        </w:rPr>
        <w:t>A</w:t>
      </w:r>
      <w:r>
        <w:rPr>
          <w:rFonts w:eastAsiaTheme="minorEastAsia"/>
          <w:color w:val="000000" w:themeColor="text1"/>
          <w:szCs w:val="21"/>
        </w:rPr>
        <w:t>股成长风格表现相对落后。国内债券收益率先下后上，</w:t>
      </w:r>
      <w:r>
        <w:rPr>
          <w:rFonts w:eastAsiaTheme="minorEastAsia"/>
          <w:color w:val="000000" w:themeColor="text1"/>
          <w:szCs w:val="21"/>
        </w:rPr>
        <w:t>10</w:t>
      </w:r>
      <w:r>
        <w:rPr>
          <w:rFonts w:eastAsiaTheme="minorEastAsia"/>
          <w:color w:val="000000" w:themeColor="text1"/>
          <w:szCs w:val="21"/>
        </w:rPr>
        <w:t>年期国债收益率一度下行至</w:t>
      </w:r>
      <w:r>
        <w:rPr>
          <w:rFonts w:eastAsiaTheme="minorEastAsia"/>
          <w:color w:val="000000" w:themeColor="text1"/>
          <w:szCs w:val="21"/>
        </w:rPr>
        <w:t>2.54%</w:t>
      </w:r>
      <w:r>
        <w:rPr>
          <w:rFonts w:eastAsiaTheme="minorEastAsia"/>
          <w:color w:val="000000" w:themeColor="text1"/>
          <w:szCs w:val="21"/>
        </w:rPr>
        <w:t>，随着</w:t>
      </w:r>
      <w:r>
        <w:rPr>
          <w:rFonts w:eastAsiaTheme="minorEastAsia"/>
          <w:color w:val="000000" w:themeColor="text1"/>
          <w:szCs w:val="21"/>
        </w:rPr>
        <w:t>8</w:t>
      </w:r>
      <w:r>
        <w:rPr>
          <w:rFonts w:eastAsiaTheme="minorEastAsia"/>
          <w:color w:val="000000" w:themeColor="text1"/>
          <w:szCs w:val="21"/>
        </w:rPr>
        <w:t>月底地产政策调整落地、短端流动性边际趋紧反弹至</w:t>
      </w:r>
      <w:r>
        <w:rPr>
          <w:rFonts w:eastAsiaTheme="minorEastAsia"/>
          <w:color w:val="000000" w:themeColor="text1"/>
          <w:szCs w:val="21"/>
        </w:rPr>
        <w:t>2.67%</w:t>
      </w:r>
      <w:r>
        <w:rPr>
          <w:rFonts w:eastAsiaTheme="minorEastAsia"/>
          <w:color w:val="000000" w:themeColor="text1"/>
          <w:szCs w:val="21"/>
        </w:rPr>
        <w:t>。</w:t>
      </w:r>
    </w:p>
    <w:p w:rsidR="00E77327" w:rsidRDefault="002615A4">
      <w:pPr>
        <w:spacing w:line="360" w:lineRule="auto"/>
        <w:ind w:firstLineChars="200" w:firstLine="420"/>
        <w:rPr>
          <w:rFonts w:eastAsiaTheme="minorEastAsia"/>
          <w:color w:val="000000" w:themeColor="text1"/>
          <w:szCs w:val="21"/>
        </w:rPr>
      </w:pPr>
      <w:r>
        <w:rPr>
          <w:rFonts w:eastAsiaTheme="minorEastAsia"/>
          <w:color w:val="000000" w:themeColor="text1"/>
          <w:szCs w:val="21"/>
        </w:rPr>
        <w:t>海外资产方面，美国就业市场韧性强于预期，市场对于美国经济软着陆的预期升温，同时对于美联储在更长时间内维持高利率的预期上升，标普</w:t>
      </w:r>
      <w:r>
        <w:rPr>
          <w:rFonts w:eastAsiaTheme="minorEastAsia"/>
          <w:color w:val="000000" w:themeColor="text1"/>
          <w:szCs w:val="21"/>
        </w:rPr>
        <w:t>500</w:t>
      </w:r>
      <w:r>
        <w:rPr>
          <w:rFonts w:eastAsiaTheme="minorEastAsia"/>
          <w:color w:val="000000" w:themeColor="text1"/>
          <w:szCs w:val="21"/>
        </w:rPr>
        <w:t>指数震荡下跌</w:t>
      </w:r>
      <w:r>
        <w:rPr>
          <w:rFonts w:eastAsiaTheme="minorEastAsia"/>
          <w:color w:val="000000" w:themeColor="text1"/>
          <w:szCs w:val="21"/>
        </w:rPr>
        <w:t>-3.6%</w:t>
      </w:r>
      <w:r>
        <w:rPr>
          <w:rFonts w:eastAsiaTheme="minorEastAsia"/>
          <w:color w:val="000000" w:themeColor="text1"/>
          <w:szCs w:val="21"/>
        </w:rPr>
        <w:t>，</w:t>
      </w:r>
      <w:r>
        <w:rPr>
          <w:rFonts w:eastAsiaTheme="minorEastAsia"/>
          <w:color w:val="000000" w:themeColor="text1"/>
          <w:szCs w:val="21"/>
        </w:rPr>
        <w:t>10</w:t>
      </w:r>
      <w:r>
        <w:rPr>
          <w:rFonts w:eastAsiaTheme="minorEastAsia"/>
          <w:color w:val="000000" w:themeColor="text1"/>
          <w:szCs w:val="21"/>
        </w:rPr>
        <w:t>年期美债收益率升至</w:t>
      </w:r>
      <w:r>
        <w:rPr>
          <w:rFonts w:eastAsiaTheme="minorEastAsia"/>
          <w:color w:val="000000" w:themeColor="text1"/>
          <w:szCs w:val="21"/>
        </w:rPr>
        <w:t>4.58%</w:t>
      </w:r>
      <w:r>
        <w:rPr>
          <w:rFonts w:eastAsiaTheme="minorEastAsia"/>
          <w:color w:val="000000" w:themeColor="text1"/>
          <w:szCs w:val="21"/>
        </w:rPr>
        <w:t>，黄金价格震荡为主，季末小幅收跌。</w:t>
      </w:r>
    </w:p>
    <w:p w:rsidR="00E77327" w:rsidRDefault="002615A4">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对于国内权益来讲，当前历史估值分位、相对债券资产的估值均处在较高吸引力的水平，为长期投资提供一定安全边际。近期稳内需政策的逐步落地对于市场信心有所提振，</w:t>
      </w:r>
      <w:r>
        <w:rPr>
          <w:rFonts w:eastAsiaTheme="minorEastAsia"/>
          <w:color w:val="000000" w:themeColor="text1"/>
          <w:szCs w:val="21"/>
        </w:rPr>
        <w:t>8</w:t>
      </w:r>
      <w:r>
        <w:rPr>
          <w:rFonts w:eastAsiaTheme="minorEastAsia"/>
          <w:color w:val="000000" w:themeColor="text1"/>
          <w:szCs w:val="21"/>
        </w:rPr>
        <w:t>月以来政府财政支出边际加速、房地产需求端政策加码，叠加大多数行业当前库存处在历史偏低水平，年底</w:t>
      </w:r>
      <w:r>
        <w:rPr>
          <w:rFonts w:eastAsiaTheme="minorEastAsia"/>
          <w:color w:val="000000" w:themeColor="text1"/>
          <w:szCs w:val="21"/>
        </w:rPr>
        <w:lastRenderedPageBreak/>
        <w:t>前稳经济政策效果能够在数据改善中有所验证的概率较高。结构上，关注受益于稳内需政策加码的领域，包括地产后周期与基建，以及信创与自主可控等领域。</w:t>
      </w:r>
    </w:p>
    <w:p w:rsidR="00E77327" w:rsidRDefault="002615A4">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对于国内债券来讲，国内托底经济增长发力，内外利差仍为负值，相对配置价值处在偏低的位置。考虑到央行宽松操作延续概率较高，国内债券的下行风险也相对可控。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海外加息周期接近尾声，美债中期机会逐步显现。海外权益面临的盈利下调风险在增大，银行风险事件以及可能持续更久的高利率会导致一定程度的信用收缩，并向需求传导。因此，可等待更好的时机配置发达国家权益资产。对于港股，来自国内经济基本面、海外高利率环境的压力均有望在四季度边际缓和。</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E77327" w:rsidRDefault="002615A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本报告期摩根尚睿</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:-4.90%</w:t>
      </w:r>
      <w:r>
        <w:rPr>
          <w:rFonts w:eastAsiaTheme="minorEastAsia"/>
          <w:color w:val="000000" w:themeColor="text1"/>
          <w:szCs w:val="21"/>
        </w:rPr>
        <w:t>，同期业绩比较基准收益率为</w:t>
      </w:r>
      <w:r>
        <w:rPr>
          <w:rFonts w:eastAsiaTheme="minorEastAsia"/>
          <w:color w:val="000000" w:themeColor="text1"/>
          <w:szCs w:val="21"/>
        </w:rPr>
        <w:t>:-5.16%</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摩根尚睿</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:-5.05%</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:-5.16%</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E77327" w:rsidRDefault="002615A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报告期内，本基金存在连续六十个工作日基金资产净值低于五千万元的情况，出现该情况的时间范围为</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07</w:t>
      </w:r>
      <w:r>
        <w:rPr>
          <w:rFonts w:eastAsiaTheme="minorEastAsia"/>
          <w:color w:val="000000" w:themeColor="text1"/>
          <w:kern w:val="0"/>
          <w:szCs w:val="21"/>
        </w:rPr>
        <w:t>月</w:t>
      </w:r>
      <w:r>
        <w:rPr>
          <w:rFonts w:eastAsiaTheme="minorEastAsia"/>
          <w:color w:val="000000" w:themeColor="text1"/>
          <w:kern w:val="0"/>
          <w:szCs w:val="21"/>
        </w:rPr>
        <w:t>03</w:t>
      </w:r>
      <w:r>
        <w:rPr>
          <w:rFonts w:eastAsiaTheme="minorEastAsia"/>
          <w:color w:val="000000" w:themeColor="text1"/>
          <w:kern w:val="0"/>
          <w:szCs w:val="21"/>
        </w:rPr>
        <w:t>日至</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09</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基金管理人拟调整本基金运作方式，加大营销力度，提升基金规模，方案已报监管机关。</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2824"/>
        <w:gridCol w:w="2552"/>
        <w:gridCol w:w="2801"/>
      </w:tblGrid>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序号</w:t>
            </w:r>
          </w:p>
        </w:tc>
        <w:tc>
          <w:tcPr>
            <w:tcW w:w="2824"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项目</w:t>
            </w:r>
          </w:p>
        </w:tc>
        <w:tc>
          <w:tcPr>
            <w:tcW w:w="2552"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金额</w:t>
            </w:r>
            <w:r w:rsidRPr="007B5F21">
              <w:rPr>
                <w:rFonts w:eastAsiaTheme="minorEastAsia"/>
                <w:color w:val="000000" w:themeColor="text1"/>
                <w:sz w:val="24"/>
              </w:rPr>
              <w:t>(</w:t>
            </w:r>
            <w:r w:rsidRPr="007B5F21">
              <w:rPr>
                <w:rFonts w:eastAsiaTheme="minorEastAsia"/>
                <w:color w:val="000000" w:themeColor="text1"/>
                <w:sz w:val="24"/>
              </w:rPr>
              <w:t>元</w:t>
            </w: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占基金总资产的比例</w:t>
            </w: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1</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权益投资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其中：股票</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2</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ascii="宋体" w:hAnsi="宋体" w:hint="eastAsia"/>
                <w:sz w:val="24"/>
              </w:rPr>
              <w:t>基金投资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41,355,486.12</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93.96</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3</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固定收益投资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2,132,344.03</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4.84</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其中：债券</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2,132,344.03</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4.84</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autoSpaceDE w:val="0"/>
              <w:autoSpaceDN w:val="0"/>
              <w:adjustRightInd w:val="0"/>
              <w:spacing w:before="29" w:line="360" w:lineRule="auto"/>
              <w:ind w:left="17" w:firstLineChars="300" w:firstLine="720"/>
              <w:jc w:val="left"/>
              <w:rPr>
                <w:rFonts w:eastAsiaTheme="minorEastAsia"/>
                <w:color w:val="000000" w:themeColor="text1"/>
                <w:sz w:val="24"/>
              </w:rPr>
            </w:pPr>
            <w:r w:rsidRPr="007B5F21">
              <w:rPr>
                <w:rFonts w:eastAsiaTheme="minorEastAsia"/>
                <w:color w:val="000000" w:themeColor="text1"/>
                <w:sz w:val="24"/>
              </w:rPr>
              <w:t>资产支持证券</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4</w:t>
            </w:r>
          </w:p>
        </w:tc>
        <w:tc>
          <w:tcPr>
            <w:tcW w:w="2824" w:type="dxa"/>
            <w:vAlign w:val="center"/>
          </w:tcPr>
          <w:p w:rsidR="006336AE" w:rsidRPr="007B5F21" w:rsidRDefault="006336AE" w:rsidP="00342FE7">
            <w:pPr>
              <w:spacing w:before="29" w:line="360" w:lineRule="auto"/>
              <w:ind w:leftChars="50" w:left="105"/>
              <w:rPr>
                <w:rFonts w:eastAsiaTheme="minorEastAsia"/>
                <w:color w:val="000000" w:themeColor="text1"/>
                <w:sz w:val="24"/>
              </w:rPr>
            </w:pPr>
            <w:r w:rsidRPr="007B5F21">
              <w:rPr>
                <w:rFonts w:eastAsiaTheme="minorEastAsia"/>
                <w:color w:val="000000" w:themeColor="text1"/>
                <w:sz w:val="24"/>
              </w:rPr>
              <w:t>贵金属投资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lastRenderedPageBreak/>
              <w:t>5</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金融衍生品投资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6</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买入返售金融资产</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其中：买断式回购的买入返售金融资产</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7</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银行存款和结算备付金合计</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484,780.00</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1.10</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8</w:t>
            </w:r>
          </w:p>
        </w:tc>
        <w:tc>
          <w:tcPr>
            <w:tcW w:w="2824" w:type="dxa"/>
            <w:vAlign w:val="center"/>
          </w:tcPr>
          <w:p w:rsidR="006336AE" w:rsidRPr="007B5F21" w:rsidRDefault="006336AE" w:rsidP="00342FE7">
            <w:pPr>
              <w:spacing w:line="360" w:lineRule="auto"/>
              <w:rPr>
                <w:rFonts w:eastAsiaTheme="minorEastAsia"/>
                <w:color w:val="000000" w:themeColor="text1"/>
                <w:sz w:val="24"/>
              </w:rPr>
            </w:pPr>
            <w:r w:rsidRPr="007B5F21">
              <w:rPr>
                <w:rFonts w:eastAsiaTheme="minorEastAsia"/>
                <w:color w:val="000000" w:themeColor="text1"/>
                <w:sz w:val="24"/>
              </w:rPr>
              <w:t>其他各项资产</w:t>
            </w:r>
          </w:p>
        </w:tc>
        <w:tc>
          <w:tcPr>
            <w:tcW w:w="2552"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43,115.76</w:t>
            </w:r>
          </w:p>
        </w:tc>
        <w:tc>
          <w:tcPr>
            <w:tcW w:w="2801"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0.10</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9</w:t>
            </w:r>
          </w:p>
        </w:tc>
        <w:tc>
          <w:tcPr>
            <w:tcW w:w="2824" w:type="dxa"/>
            <w:vAlign w:val="center"/>
          </w:tcPr>
          <w:p w:rsidR="006336AE" w:rsidRPr="007B5F21" w:rsidRDefault="006336AE" w:rsidP="00342FE7">
            <w:pPr>
              <w:spacing w:line="360" w:lineRule="auto"/>
              <w:rPr>
                <w:rFonts w:eastAsiaTheme="minorEastAsia"/>
                <w:color w:val="000000" w:themeColor="text1"/>
                <w:sz w:val="24"/>
              </w:rPr>
            </w:pPr>
            <w:r w:rsidRPr="007B5F21">
              <w:rPr>
                <w:rFonts w:eastAsiaTheme="minorEastAsia"/>
                <w:color w:val="000000" w:themeColor="text1"/>
                <w:sz w:val="24"/>
              </w:rPr>
              <w:t>合计</w:t>
            </w:r>
          </w:p>
        </w:tc>
        <w:tc>
          <w:tcPr>
            <w:tcW w:w="2552"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44,015,725.91</w:t>
            </w:r>
          </w:p>
        </w:tc>
        <w:tc>
          <w:tcPr>
            <w:tcW w:w="2801"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100.00</w:t>
            </w:r>
          </w:p>
        </w:tc>
      </w:tr>
    </w:tbl>
    <w:p w:rsidR="006336AE" w:rsidRPr="006336AE" w:rsidRDefault="006336AE">
      <w:pPr>
        <w:autoSpaceDE w:val="0"/>
        <w:autoSpaceDN w:val="0"/>
        <w:adjustRightInd w:val="0"/>
        <w:spacing w:line="360" w:lineRule="auto"/>
        <w:jc w:val="left"/>
        <w:rPr>
          <w:rFonts w:eastAsiaTheme="minorEastAsia"/>
          <w:b/>
          <w:color w:val="000000" w:themeColor="text1"/>
          <w:kern w:val="0"/>
          <w:szCs w:val="21"/>
        </w:rPr>
      </w:pP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本基金本报告期末未持有股票。</w:t>
      </w:r>
    </w:p>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p w:rsidR="00B27A29" w:rsidRPr="00B27A29" w:rsidRDefault="00B27A29" w:rsidP="00B27A29">
      <w:pPr>
        <w:spacing w:line="360" w:lineRule="auto"/>
        <w:ind w:firstLineChars="200" w:firstLine="420"/>
        <w:rPr>
          <w:rFonts w:eastAsiaTheme="minorEastAsia"/>
          <w:szCs w:val="21"/>
        </w:rPr>
      </w:pPr>
      <w:r w:rsidRPr="00B27A29">
        <w:rPr>
          <w:rFonts w:eastAsiaTheme="minorEastAsia"/>
          <w:szCs w:val="21"/>
        </w:rPr>
        <w:t>本基金本报告期末未持有股票。</w:t>
      </w:r>
    </w:p>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2,132,344.03</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4.88</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2,132,344.03</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4.88</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E77327">
        <w:tc>
          <w:tcPr>
            <w:tcW w:w="1504" w:type="dxa"/>
            <w:vAlign w:val="center"/>
          </w:tcPr>
          <w:p w:rsidR="00E77327" w:rsidRDefault="002615A4">
            <w:pPr>
              <w:jc w:val="center"/>
            </w:pPr>
            <w:r>
              <w:rPr>
                <w:rFonts w:eastAsiaTheme="minorEastAsia"/>
                <w:color w:val="000000" w:themeColor="text1"/>
                <w:szCs w:val="21"/>
              </w:rPr>
              <w:t>1</w:t>
            </w:r>
          </w:p>
        </w:tc>
        <w:tc>
          <w:tcPr>
            <w:tcW w:w="1504" w:type="dxa"/>
            <w:vAlign w:val="center"/>
          </w:tcPr>
          <w:p w:rsidR="00E77327" w:rsidRDefault="002615A4">
            <w:pPr>
              <w:jc w:val="center"/>
            </w:pPr>
            <w:r>
              <w:rPr>
                <w:rFonts w:eastAsiaTheme="minorEastAsia"/>
                <w:color w:val="000000" w:themeColor="text1"/>
                <w:szCs w:val="21"/>
              </w:rPr>
              <w:t>019688</w:t>
            </w:r>
          </w:p>
        </w:tc>
        <w:tc>
          <w:tcPr>
            <w:tcW w:w="1504" w:type="dxa"/>
            <w:vAlign w:val="center"/>
          </w:tcPr>
          <w:p w:rsidR="00E77327" w:rsidRDefault="002615A4">
            <w:pPr>
              <w:jc w:val="center"/>
            </w:pPr>
            <w:r>
              <w:rPr>
                <w:rFonts w:eastAsiaTheme="minorEastAsia"/>
                <w:color w:val="000000" w:themeColor="text1"/>
                <w:szCs w:val="21"/>
              </w:rPr>
              <w:t>22</w:t>
            </w:r>
            <w:r>
              <w:rPr>
                <w:rFonts w:eastAsiaTheme="minorEastAsia"/>
                <w:color w:val="000000" w:themeColor="text1"/>
                <w:szCs w:val="21"/>
              </w:rPr>
              <w:t>国债</w:t>
            </w:r>
            <w:r>
              <w:rPr>
                <w:rFonts w:eastAsiaTheme="minorEastAsia"/>
                <w:color w:val="000000" w:themeColor="text1"/>
                <w:szCs w:val="21"/>
              </w:rPr>
              <w:t>23</w:t>
            </w:r>
          </w:p>
        </w:tc>
        <w:tc>
          <w:tcPr>
            <w:tcW w:w="1503" w:type="dxa"/>
            <w:vAlign w:val="center"/>
          </w:tcPr>
          <w:p w:rsidR="00E77327" w:rsidRDefault="002615A4">
            <w:pPr>
              <w:jc w:val="right"/>
            </w:pPr>
            <w:r>
              <w:rPr>
                <w:rFonts w:eastAsiaTheme="minorEastAsia"/>
                <w:color w:val="000000" w:themeColor="text1"/>
                <w:szCs w:val="21"/>
              </w:rPr>
              <w:t>21,000</w:t>
            </w:r>
          </w:p>
        </w:tc>
        <w:tc>
          <w:tcPr>
            <w:tcW w:w="1503" w:type="dxa"/>
            <w:vAlign w:val="center"/>
          </w:tcPr>
          <w:p w:rsidR="00E77327" w:rsidRDefault="002615A4">
            <w:pPr>
              <w:jc w:val="right"/>
            </w:pPr>
            <w:r>
              <w:rPr>
                <w:rFonts w:eastAsiaTheme="minorEastAsia"/>
                <w:color w:val="000000" w:themeColor="text1"/>
                <w:szCs w:val="21"/>
              </w:rPr>
              <w:t>2,132,344.03</w:t>
            </w:r>
          </w:p>
        </w:tc>
        <w:tc>
          <w:tcPr>
            <w:tcW w:w="1503" w:type="dxa"/>
            <w:vAlign w:val="center"/>
          </w:tcPr>
          <w:p w:rsidR="00E77327" w:rsidRDefault="002615A4">
            <w:pPr>
              <w:jc w:val="right"/>
            </w:pPr>
            <w:r>
              <w:rPr>
                <w:rFonts w:eastAsiaTheme="minorEastAsia"/>
                <w:color w:val="000000" w:themeColor="text1"/>
                <w:szCs w:val="21"/>
              </w:rPr>
              <w:t>4.88</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2,773.39</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40,342.37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43,115.76</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C45886" w:rsidRPr="00414345" w:rsidRDefault="005C671B" w:rsidP="00C45886">
      <w:pPr>
        <w:spacing w:before="29" w:line="288" w:lineRule="auto"/>
        <w:rPr>
          <w:color w:val="000000"/>
          <w:sz w:val="24"/>
        </w:rPr>
      </w:pPr>
      <w:r w:rsidRPr="00B27A29">
        <w:rPr>
          <w:rFonts w:eastAsiaTheme="minorEastAsia"/>
          <w:color w:val="000000" w:themeColor="text1"/>
          <w:szCs w:val="21"/>
        </w:rPr>
        <w:t>因四舍五入原因，投资组合报告中分项之和与合计可能存在尾差。</w:t>
      </w:r>
    </w:p>
    <w:p w:rsidR="00C45886" w:rsidRDefault="00C45886" w:rsidP="00C45886">
      <w:pPr>
        <w:spacing w:before="29" w:line="288" w:lineRule="auto"/>
        <w:ind w:firstLineChars="200" w:firstLine="480"/>
        <w:rPr>
          <w:color w:val="000000"/>
          <w:sz w:val="24"/>
        </w:rPr>
      </w:pPr>
    </w:p>
    <w:p w:rsidR="00C45886" w:rsidRDefault="00C45886" w:rsidP="00C45886">
      <w:pPr>
        <w:spacing w:before="29" w:line="288" w:lineRule="auto"/>
        <w:ind w:firstLineChars="200" w:firstLine="480"/>
        <w:rPr>
          <w:color w:val="000000"/>
          <w:sz w:val="24"/>
        </w:rPr>
      </w:pPr>
    </w:p>
    <w:p w:rsidR="00C45886" w:rsidRPr="00575270" w:rsidRDefault="00C45886" w:rsidP="00C45886">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C45886" w:rsidRPr="00575270" w:rsidRDefault="00C45886" w:rsidP="00C45886">
      <w:pPr>
        <w:adjustRightInd w:val="0"/>
        <w:snapToGrid w:val="0"/>
        <w:spacing w:line="360" w:lineRule="auto"/>
        <w:rPr>
          <w:rFonts w:eastAsiaTheme="minorEastAsia"/>
          <w:b/>
          <w:color w:val="000000" w:themeColor="text1"/>
          <w:kern w:val="0"/>
          <w:sz w:val="24"/>
        </w:rPr>
      </w:pPr>
      <w:r w:rsidRPr="00575270">
        <w:rPr>
          <w:rFonts w:eastAsiaTheme="minorEastAsia"/>
          <w:b/>
          <w:color w:val="000000" w:themeColor="text1"/>
          <w:kern w:val="0"/>
          <w:sz w:val="24"/>
        </w:rPr>
        <w:t>6.1</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报告期末按公允价值占基金资产净值比例大小排序的前十名基金投资明细</w:t>
      </w:r>
    </w:p>
    <w:tbl>
      <w:tblPr>
        <w:tblStyle w:val="afa"/>
        <w:tblW w:w="5000" w:type="pct"/>
        <w:tblLayout w:type="fixed"/>
        <w:tblLook w:val="04A0" w:firstRow="1" w:lastRow="0" w:firstColumn="1" w:lastColumn="0" w:noHBand="0" w:noVBand="1"/>
      </w:tblPr>
      <w:tblGrid>
        <w:gridCol w:w="817"/>
        <w:gridCol w:w="1133"/>
        <w:gridCol w:w="1135"/>
        <w:gridCol w:w="1135"/>
        <w:gridCol w:w="1133"/>
        <w:gridCol w:w="1276"/>
        <w:gridCol w:w="1135"/>
        <w:gridCol w:w="1272"/>
      </w:tblGrid>
      <w:tr w:rsidR="00C45886" w:rsidRPr="00575270" w:rsidTr="00342FE7">
        <w:tc>
          <w:tcPr>
            <w:tcW w:w="452"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序号</w:t>
            </w:r>
          </w:p>
        </w:tc>
        <w:tc>
          <w:tcPr>
            <w:tcW w:w="627"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基金代码</w:t>
            </w:r>
          </w:p>
        </w:tc>
        <w:tc>
          <w:tcPr>
            <w:tcW w:w="628"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基金名称</w:t>
            </w:r>
          </w:p>
        </w:tc>
        <w:tc>
          <w:tcPr>
            <w:tcW w:w="628"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运作方式</w:t>
            </w:r>
          </w:p>
        </w:tc>
        <w:tc>
          <w:tcPr>
            <w:tcW w:w="627"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持有份额（份）</w:t>
            </w:r>
          </w:p>
        </w:tc>
        <w:tc>
          <w:tcPr>
            <w:tcW w:w="706"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公允价值（元）</w:t>
            </w:r>
          </w:p>
        </w:tc>
        <w:tc>
          <w:tcPr>
            <w:tcW w:w="628" w:type="pct"/>
            <w:vAlign w:val="center"/>
          </w:tcPr>
          <w:p w:rsidR="00C45886" w:rsidRPr="00575270" w:rsidRDefault="00C45886" w:rsidP="00342FE7">
            <w:pPr>
              <w:pStyle w:val="Default"/>
              <w:spacing w:line="276" w:lineRule="auto"/>
              <w:rPr>
                <w:rFonts w:ascii="Times New Roman" w:hAnsi="Times New Roman" w:cs="Times New Roman"/>
              </w:rPr>
            </w:pPr>
            <w:r w:rsidRPr="00575270">
              <w:rPr>
                <w:rFonts w:ascii="Times New Roman" w:hAnsi="Times New Roman" w:cs="Times New Roman"/>
              </w:rPr>
              <w:t>占基金资产净值比例</w:t>
            </w:r>
          </w:p>
        </w:tc>
        <w:tc>
          <w:tcPr>
            <w:tcW w:w="704" w:type="pct"/>
            <w:vAlign w:val="center"/>
          </w:tcPr>
          <w:p w:rsidR="00C45886" w:rsidRPr="00575270" w:rsidRDefault="00C45886" w:rsidP="00342FE7">
            <w:pPr>
              <w:pStyle w:val="Default"/>
              <w:spacing w:line="276" w:lineRule="auto"/>
              <w:rPr>
                <w:rFonts w:ascii="Times New Roman" w:hAnsi="Times New Roman" w:cs="Times New Roman"/>
              </w:rPr>
            </w:pPr>
            <w:r w:rsidRPr="00575270">
              <w:rPr>
                <w:rFonts w:ascii="Times New Roman" w:hAnsi="Times New Roman" w:cs="Times New Roman"/>
              </w:rPr>
              <w:t>是否属于基金管理人及管理人关联方所管理的基金</w:t>
            </w:r>
          </w:p>
        </w:tc>
      </w:tr>
      <w:tr w:rsidR="00E77327">
        <w:tc>
          <w:tcPr>
            <w:tcW w:w="817" w:type="dxa"/>
            <w:vAlign w:val="center"/>
          </w:tcPr>
          <w:p w:rsidR="00E77327" w:rsidRDefault="002615A4">
            <w:pPr>
              <w:jc w:val="center"/>
            </w:pPr>
            <w:r>
              <w:rPr>
                <w:sz w:val="24"/>
              </w:rPr>
              <w:t>1</w:t>
            </w:r>
          </w:p>
        </w:tc>
        <w:tc>
          <w:tcPr>
            <w:tcW w:w="1133" w:type="dxa"/>
            <w:vAlign w:val="center"/>
          </w:tcPr>
          <w:p w:rsidR="00E77327" w:rsidRDefault="002615A4">
            <w:pPr>
              <w:jc w:val="center"/>
            </w:pPr>
            <w:r>
              <w:rPr>
                <w:sz w:val="24"/>
              </w:rPr>
              <w:t>377240</w:t>
            </w:r>
          </w:p>
        </w:tc>
        <w:tc>
          <w:tcPr>
            <w:tcW w:w="1135" w:type="dxa"/>
            <w:vAlign w:val="center"/>
          </w:tcPr>
          <w:p w:rsidR="00E77327" w:rsidRDefault="002615A4">
            <w:pPr>
              <w:jc w:val="center"/>
            </w:pPr>
            <w:r>
              <w:rPr>
                <w:sz w:val="24"/>
              </w:rPr>
              <w:t>摩根新兴动力混合</w:t>
            </w:r>
            <w:r>
              <w:rPr>
                <w:sz w:val="24"/>
              </w:rPr>
              <w:t>A</w:t>
            </w:r>
          </w:p>
        </w:tc>
        <w:tc>
          <w:tcPr>
            <w:tcW w:w="1135" w:type="dxa"/>
            <w:vAlign w:val="center"/>
          </w:tcPr>
          <w:p w:rsidR="00E77327" w:rsidRDefault="002615A4">
            <w:pPr>
              <w:jc w:val="center"/>
            </w:pPr>
            <w:r>
              <w:rPr>
                <w:sz w:val="24"/>
              </w:rPr>
              <w:t>契约型开放式</w:t>
            </w:r>
          </w:p>
        </w:tc>
        <w:tc>
          <w:tcPr>
            <w:tcW w:w="1133" w:type="dxa"/>
            <w:vAlign w:val="center"/>
          </w:tcPr>
          <w:p w:rsidR="00E77327" w:rsidRDefault="002615A4">
            <w:pPr>
              <w:jc w:val="center"/>
            </w:pPr>
            <w:r>
              <w:rPr>
                <w:sz w:val="24"/>
              </w:rPr>
              <w:t>497,201.99</w:t>
            </w:r>
          </w:p>
        </w:tc>
        <w:tc>
          <w:tcPr>
            <w:tcW w:w="1276" w:type="dxa"/>
            <w:vAlign w:val="center"/>
          </w:tcPr>
          <w:p w:rsidR="00E77327" w:rsidRDefault="002615A4">
            <w:pPr>
              <w:jc w:val="center"/>
            </w:pPr>
            <w:r>
              <w:rPr>
                <w:sz w:val="24"/>
              </w:rPr>
              <w:t>2,304,978.71</w:t>
            </w:r>
          </w:p>
        </w:tc>
        <w:tc>
          <w:tcPr>
            <w:tcW w:w="1135" w:type="dxa"/>
            <w:vAlign w:val="center"/>
          </w:tcPr>
          <w:p w:rsidR="00E77327" w:rsidRDefault="002615A4">
            <w:pPr>
              <w:jc w:val="center"/>
            </w:pPr>
            <w:r>
              <w:rPr>
                <w:sz w:val="24"/>
              </w:rPr>
              <w:t>5.28%</w:t>
            </w:r>
          </w:p>
        </w:tc>
        <w:tc>
          <w:tcPr>
            <w:tcW w:w="1272" w:type="dxa"/>
            <w:vAlign w:val="center"/>
          </w:tcPr>
          <w:p w:rsidR="00E77327" w:rsidRDefault="002615A4">
            <w:pPr>
              <w:jc w:val="center"/>
            </w:pPr>
            <w:r>
              <w:rPr>
                <w:sz w:val="24"/>
              </w:rPr>
              <w:t>是</w:t>
            </w:r>
          </w:p>
        </w:tc>
      </w:tr>
      <w:tr w:rsidR="00E77327">
        <w:tc>
          <w:tcPr>
            <w:tcW w:w="817" w:type="dxa"/>
            <w:vAlign w:val="center"/>
          </w:tcPr>
          <w:p w:rsidR="00E77327" w:rsidRDefault="002615A4">
            <w:pPr>
              <w:jc w:val="center"/>
            </w:pPr>
            <w:r>
              <w:rPr>
                <w:sz w:val="24"/>
              </w:rPr>
              <w:t>2</w:t>
            </w:r>
          </w:p>
        </w:tc>
        <w:tc>
          <w:tcPr>
            <w:tcW w:w="1133" w:type="dxa"/>
            <w:vAlign w:val="center"/>
          </w:tcPr>
          <w:p w:rsidR="00E77327" w:rsidRDefault="002615A4">
            <w:pPr>
              <w:jc w:val="center"/>
            </w:pPr>
            <w:r>
              <w:rPr>
                <w:sz w:val="24"/>
              </w:rPr>
              <w:t>006551</w:t>
            </w:r>
          </w:p>
        </w:tc>
        <w:tc>
          <w:tcPr>
            <w:tcW w:w="1135" w:type="dxa"/>
            <w:vAlign w:val="center"/>
          </w:tcPr>
          <w:p w:rsidR="00E77327" w:rsidRDefault="002615A4">
            <w:pPr>
              <w:jc w:val="center"/>
            </w:pPr>
            <w:r>
              <w:rPr>
                <w:sz w:val="24"/>
              </w:rPr>
              <w:t>中庚价值领航混合</w:t>
            </w:r>
          </w:p>
        </w:tc>
        <w:tc>
          <w:tcPr>
            <w:tcW w:w="1135" w:type="dxa"/>
            <w:vAlign w:val="center"/>
          </w:tcPr>
          <w:p w:rsidR="00E77327" w:rsidRDefault="002615A4">
            <w:pPr>
              <w:jc w:val="center"/>
            </w:pPr>
            <w:r>
              <w:rPr>
                <w:sz w:val="24"/>
              </w:rPr>
              <w:t>契约型开放式</w:t>
            </w:r>
          </w:p>
        </w:tc>
        <w:tc>
          <w:tcPr>
            <w:tcW w:w="1133" w:type="dxa"/>
            <w:vAlign w:val="center"/>
          </w:tcPr>
          <w:p w:rsidR="00E77327" w:rsidRDefault="002615A4">
            <w:pPr>
              <w:jc w:val="center"/>
            </w:pPr>
            <w:r>
              <w:rPr>
                <w:sz w:val="24"/>
              </w:rPr>
              <w:t>885,398.71</w:t>
            </w:r>
          </w:p>
        </w:tc>
        <w:tc>
          <w:tcPr>
            <w:tcW w:w="1276" w:type="dxa"/>
            <w:vAlign w:val="center"/>
          </w:tcPr>
          <w:p w:rsidR="00E77327" w:rsidRDefault="002615A4">
            <w:pPr>
              <w:jc w:val="center"/>
            </w:pPr>
            <w:r>
              <w:rPr>
                <w:sz w:val="24"/>
              </w:rPr>
              <w:t>2,064,218.55</w:t>
            </w:r>
          </w:p>
        </w:tc>
        <w:tc>
          <w:tcPr>
            <w:tcW w:w="1135" w:type="dxa"/>
            <w:vAlign w:val="center"/>
          </w:tcPr>
          <w:p w:rsidR="00E77327" w:rsidRDefault="002615A4">
            <w:pPr>
              <w:jc w:val="center"/>
            </w:pPr>
            <w:r>
              <w:rPr>
                <w:sz w:val="24"/>
              </w:rPr>
              <w:t>4.73%</w:t>
            </w:r>
          </w:p>
        </w:tc>
        <w:tc>
          <w:tcPr>
            <w:tcW w:w="1272" w:type="dxa"/>
            <w:vAlign w:val="center"/>
          </w:tcPr>
          <w:p w:rsidR="00E77327" w:rsidRDefault="002615A4">
            <w:pPr>
              <w:jc w:val="center"/>
            </w:pPr>
            <w:r>
              <w:rPr>
                <w:sz w:val="24"/>
              </w:rPr>
              <w:t>否</w:t>
            </w:r>
          </w:p>
        </w:tc>
      </w:tr>
      <w:tr w:rsidR="00E77327">
        <w:tc>
          <w:tcPr>
            <w:tcW w:w="817" w:type="dxa"/>
            <w:vAlign w:val="center"/>
          </w:tcPr>
          <w:p w:rsidR="00E77327" w:rsidRDefault="002615A4">
            <w:pPr>
              <w:jc w:val="center"/>
            </w:pPr>
            <w:r>
              <w:rPr>
                <w:sz w:val="24"/>
              </w:rPr>
              <w:t>3</w:t>
            </w:r>
          </w:p>
        </w:tc>
        <w:tc>
          <w:tcPr>
            <w:tcW w:w="1133" w:type="dxa"/>
            <w:vAlign w:val="center"/>
          </w:tcPr>
          <w:p w:rsidR="00E77327" w:rsidRDefault="002615A4">
            <w:pPr>
              <w:jc w:val="center"/>
            </w:pPr>
            <w:r>
              <w:rPr>
                <w:sz w:val="24"/>
              </w:rPr>
              <w:t>159745</w:t>
            </w:r>
          </w:p>
        </w:tc>
        <w:tc>
          <w:tcPr>
            <w:tcW w:w="1135" w:type="dxa"/>
            <w:vAlign w:val="center"/>
          </w:tcPr>
          <w:p w:rsidR="00E77327" w:rsidRDefault="002615A4">
            <w:pPr>
              <w:jc w:val="center"/>
            </w:pPr>
            <w:r>
              <w:rPr>
                <w:sz w:val="24"/>
              </w:rPr>
              <w:t>建材</w:t>
            </w:r>
            <w:r>
              <w:rPr>
                <w:sz w:val="24"/>
              </w:rPr>
              <w:t>ETF</w:t>
            </w:r>
          </w:p>
        </w:tc>
        <w:tc>
          <w:tcPr>
            <w:tcW w:w="1135" w:type="dxa"/>
            <w:vAlign w:val="center"/>
          </w:tcPr>
          <w:p w:rsidR="00E77327" w:rsidRDefault="006B4F9B">
            <w:pPr>
              <w:jc w:val="center"/>
            </w:pPr>
            <w:r>
              <w:rPr>
                <w:rFonts w:hint="eastAsia"/>
                <w:sz w:val="24"/>
              </w:rPr>
              <w:t>交易</w:t>
            </w:r>
            <w:r>
              <w:rPr>
                <w:sz w:val="24"/>
              </w:rPr>
              <w:t>型</w:t>
            </w:r>
            <w:r w:rsidR="002615A4">
              <w:rPr>
                <w:sz w:val="24"/>
              </w:rPr>
              <w:t>开放式</w:t>
            </w:r>
          </w:p>
        </w:tc>
        <w:tc>
          <w:tcPr>
            <w:tcW w:w="1133" w:type="dxa"/>
            <w:vAlign w:val="center"/>
          </w:tcPr>
          <w:p w:rsidR="00E77327" w:rsidRDefault="002615A4">
            <w:pPr>
              <w:jc w:val="center"/>
            </w:pPr>
            <w:r>
              <w:rPr>
                <w:sz w:val="24"/>
              </w:rPr>
              <w:t>2,635,500.00</w:t>
            </w:r>
          </w:p>
        </w:tc>
        <w:tc>
          <w:tcPr>
            <w:tcW w:w="1276" w:type="dxa"/>
            <w:vAlign w:val="center"/>
          </w:tcPr>
          <w:p w:rsidR="00E77327" w:rsidRDefault="002615A4">
            <w:pPr>
              <w:jc w:val="center"/>
            </w:pPr>
            <w:r>
              <w:rPr>
                <w:sz w:val="24"/>
              </w:rPr>
              <w:t>1,897,560.00</w:t>
            </w:r>
          </w:p>
        </w:tc>
        <w:tc>
          <w:tcPr>
            <w:tcW w:w="1135" w:type="dxa"/>
            <w:vAlign w:val="center"/>
          </w:tcPr>
          <w:p w:rsidR="00E77327" w:rsidRDefault="002615A4">
            <w:pPr>
              <w:jc w:val="center"/>
            </w:pPr>
            <w:r>
              <w:rPr>
                <w:sz w:val="24"/>
              </w:rPr>
              <w:t>4.35%</w:t>
            </w:r>
          </w:p>
        </w:tc>
        <w:tc>
          <w:tcPr>
            <w:tcW w:w="1272" w:type="dxa"/>
            <w:vAlign w:val="center"/>
          </w:tcPr>
          <w:p w:rsidR="00E77327" w:rsidRDefault="002615A4">
            <w:pPr>
              <w:jc w:val="center"/>
            </w:pPr>
            <w:r>
              <w:rPr>
                <w:sz w:val="24"/>
              </w:rPr>
              <w:t>否</w:t>
            </w:r>
          </w:p>
        </w:tc>
      </w:tr>
      <w:tr w:rsidR="00E77327">
        <w:tc>
          <w:tcPr>
            <w:tcW w:w="817" w:type="dxa"/>
            <w:vAlign w:val="center"/>
          </w:tcPr>
          <w:p w:rsidR="00E77327" w:rsidRDefault="002615A4">
            <w:pPr>
              <w:jc w:val="center"/>
            </w:pPr>
            <w:r>
              <w:rPr>
                <w:sz w:val="24"/>
              </w:rPr>
              <w:t>4</w:t>
            </w:r>
          </w:p>
        </w:tc>
        <w:tc>
          <w:tcPr>
            <w:tcW w:w="1133" w:type="dxa"/>
            <w:vAlign w:val="center"/>
          </w:tcPr>
          <w:p w:rsidR="00E77327" w:rsidRDefault="002615A4">
            <w:pPr>
              <w:jc w:val="center"/>
            </w:pPr>
            <w:r>
              <w:rPr>
                <w:sz w:val="24"/>
              </w:rPr>
              <w:t>512070</w:t>
            </w:r>
          </w:p>
        </w:tc>
        <w:tc>
          <w:tcPr>
            <w:tcW w:w="1135" w:type="dxa"/>
            <w:vAlign w:val="center"/>
          </w:tcPr>
          <w:p w:rsidR="00E77327" w:rsidRDefault="002615A4">
            <w:pPr>
              <w:jc w:val="center"/>
            </w:pPr>
            <w:r>
              <w:rPr>
                <w:sz w:val="24"/>
              </w:rPr>
              <w:t>易方达沪深</w:t>
            </w:r>
            <w:r>
              <w:rPr>
                <w:sz w:val="24"/>
              </w:rPr>
              <w:t>300</w:t>
            </w:r>
            <w:r>
              <w:rPr>
                <w:sz w:val="24"/>
              </w:rPr>
              <w:lastRenderedPageBreak/>
              <w:t>非银</w:t>
            </w:r>
            <w:r>
              <w:rPr>
                <w:sz w:val="24"/>
              </w:rPr>
              <w:t>ETF</w:t>
            </w:r>
          </w:p>
        </w:tc>
        <w:tc>
          <w:tcPr>
            <w:tcW w:w="1135" w:type="dxa"/>
            <w:vAlign w:val="center"/>
          </w:tcPr>
          <w:p w:rsidR="00E77327" w:rsidRDefault="006B4F9B">
            <w:pPr>
              <w:jc w:val="center"/>
            </w:pPr>
            <w:r>
              <w:rPr>
                <w:rFonts w:hint="eastAsia"/>
                <w:sz w:val="24"/>
              </w:rPr>
              <w:lastRenderedPageBreak/>
              <w:t>交易</w:t>
            </w:r>
            <w:r>
              <w:rPr>
                <w:sz w:val="24"/>
              </w:rPr>
              <w:t>型开放式</w:t>
            </w:r>
          </w:p>
        </w:tc>
        <w:tc>
          <w:tcPr>
            <w:tcW w:w="1133" w:type="dxa"/>
            <w:vAlign w:val="center"/>
          </w:tcPr>
          <w:p w:rsidR="00E77327" w:rsidRDefault="002615A4">
            <w:pPr>
              <w:jc w:val="center"/>
            </w:pPr>
            <w:r>
              <w:rPr>
                <w:sz w:val="24"/>
              </w:rPr>
              <w:t>2,869,100.00</w:t>
            </w:r>
          </w:p>
        </w:tc>
        <w:tc>
          <w:tcPr>
            <w:tcW w:w="1276" w:type="dxa"/>
            <w:vAlign w:val="center"/>
          </w:tcPr>
          <w:p w:rsidR="00E77327" w:rsidRDefault="002615A4">
            <w:pPr>
              <w:jc w:val="center"/>
            </w:pPr>
            <w:r>
              <w:rPr>
                <w:sz w:val="24"/>
              </w:rPr>
              <w:t>1,884,998.70</w:t>
            </w:r>
          </w:p>
        </w:tc>
        <w:tc>
          <w:tcPr>
            <w:tcW w:w="1135" w:type="dxa"/>
            <w:vAlign w:val="center"/>
          </w:tcPr>
          <w:p w:rsidR="00E77327" w:rsidRDefault="002615A4">
            <w:pPr>
              <w:jc w:val="center"/>
            </w:pPr>
            <w:r>
              <w:rPr>
                <w:sz w:val="24"/>
              </w:rPr>
              <w:t>4.32%</w:t>
            </w:r>
          </w:p>
        </w:tc>
        <w:tc>
          <w:tcPr>
            <w:tcW w:w="1272" w:type="dxa"/>
            <w:vAlign w:val="center"/>
          </w:tcPr>
          <w:p w:rsidR="00E77327" w:rsidRDefault="002615A4">
            <w:pPr>
              <w:jc w:val="center"/>
            </w:pPr>
            <w:r>
              <w:rPr>
                <w:sz w:val="24"/>
              </w:rPr>
              <w:t>否</w:t>
            </w:r>
          </w:p>
        </w:tc>
      </w:tr>
      <w:tr w:rsidR="00E77327">
        <w:tc>
          <w:tcPr>
            <w:tcW w:w="817" w:type="dxa"/>
            <w:vAlign w:val="center"/>
          </w:tcPr>
          <w:p w:rsidR="00E77327" w:rsidRDefault="002615A4">
            <w:pPr>
              <w:jc w:val="center"/>
            </w:pPr>
            <w:r>
              <w:rPr>
                <w:sz w:val="24"/>
              </w:rPr>
              <w:t>5</w:t>
            </w:r>
          </w:p>
        </w:tc>
        <w:tc>
          <w:tcPr>
            <w:tcW w:w="1133" w:type="dxa"/>
            <w:vAlign w:val="center"/>
          </w:tcPr>
          <w:p w:rsidR="00E77327" w:rsidRDefault="002615A4">
            <w:pPr>
              <w:jc w:val="center"/>
            </w:pPr>
            <w:r>
              <w:rPr>
                <w:sz w:val="24"/>
              </w:rPr>
              <w:t>512760</w:t>
            </w:r>
          </w:p>
        </w:tc>
        <w:tc>
          <w:tcPr>
            <w:tcW w:w="1135" w:type="dxa"/>
            <w:vAlign w:val="center"/>
          </w:tcPr>
          <w:p w:rsidR="00E77327" w:rsidRDefault="002615A4">
            <w:pPr>
              <w:jc w:val="center"/>
            </w:pPr>
            <w:r>
              <w:rPr>
                <w:sz w:val="24"/>
              </w:rPr>
              <w:t>国泰</w:t>
            </w:r>
            <w:r>
              <w:rPr>
                <w:sz w:val="24"/>
              </w:rPr>
              <w:t>CES</w:t>
            </w:r>
            <w:r>
              <w:rPr>
                <w:sz w:val="24"/>
              </w:rPr>
              <w:t>半导体芯片</w:t>
            </w:r>
            <w:r>
              <w:rPr>
                <w:sz w:val="24"/>
              </w:rPr>
              <w:t>ETF</w:t>
            </w:r>
          </w:p>
        </w:tc>
        <w:tc>
          <w:tcPr>
            <w:tcW w:w="1135" w:type="dxa"/>
            <w:vAlign w:val="center"/>
          </w:tcPr>
          <w:p w:rsidR="00E77327" w:rsidRDefault="006B4F9B">
            <w:pPr>
              <w:jc w:val="center"/>
            </w:pPr>
            <w:r>
              <w:rPr>
                <w:rFonts w:hint="eastAsia"/>
                <w:sz w:val="24"/>
              </w:rPr>
              <w:t>交易</w:t>
            </w:r>
            <w:r>
              <w:rPr>
                <w:sz w:val="24"/>
              </w:rPr>
              <w:t>型开放式</w:t>
            </w:r>
          </w:p>
        </w:tc>
        <w:tc>
          <w:tcPr>
            <w:tcW w:w="1133" w:type="dxa"/>
            <w:vAlign w:val="center"/>
          </w:tcPr>
          <w:p w:rsidR="00E77327" w:rsidRDefault="002615A4">
            <w:pPr>
              <w:jc w:val="center"/>
            </w:pPr>
            <w:r>
              <w:rPr>
                <w:sz w:val="24"/>
              </w:rPr>
              <w:t>2,016,600.00</w:t>
            </w:r>
          </w:p>
        </w:tc>
        <w:tc>
          <w:tcPr>
            <w:tcW w:w="1276" w:type="dxa"/>
            <w:vAlign w:val="center"/>
          </w:tcPr>
          <w:p w:rsidR="00E77327" w:rsidRDefault="002615A4">
            <w:pPr>
              <w:jc w:val="center"/>
            </w:pPr>
            <w:r>
              <w:rPr>
                <w:sz w:val="24"/>
              </w:rPr>
              <w:t>1,839,139.20</w:t>
            </w:r>
          </w:p>
        </w:tc>
        <w:tc>
          <w:tcPr>
            <w:tcW w:w="1135" w:type="dxa"/>
            <w:vAlign w:val="center"/>
          </w:tcPr>
          <w:p w:rsidR="00E77327" w:rsidRDefault="002615A4">
            <w:pPr>
              <w:jc w:val="center"/>
            </w:pPr>
            <w:r>
              <w:rPr>
                <w:sz w:val="24"/>
              </w:rPr>
              <w:t>4.21%</w:t>
            </w:r>
          </w:p>
        </w:tc>
        <w:tc>
          <w:tcPr>
            <w:tcW w:w="1272" w:type="dxa"/>
            <w:vAlign w:val="center"/>
          </w:tcPr>
          <w:p w:rsidR="00E77327" w:rsidRDefault="002615A4">
            <w:pPr>
              <w:jc w:val="center"/>
            </w:pPr>
            <w:r>
              <w:rPr>
                <w:sz w:val="24"/>
              </w:rPr>
              <w:t>否</w:t>
            </w:r>
          </w:p>
        </w:tc>
      </w:tr>
      <w:tr w:rsidR="00E77327">
        <w:tc>
          <w:tcPr>
            <w:tcW w:w="817" w:type="dxa"/>
            <w:vAlign w:val="center"/>
          </w:tcPr>
          <w:p w:rsidR="00E77327" w:rsidRDefault="002615A4">
            <w:pPr>
              <w:jc w:val="center"/>
            </w:pPr>
            <w:r>
              <w:rPr>
                <w:sz w:val="24"/>
              </w:rPr>
              <w:t>6</w:t>
            </w:r>
          </w:p>
        </w:tc>
        <w:tc>
          <w:tcPr>
            <w:tcW w:w="1133" w:type="dxa"/>
            <w:vAlign w:val="center"/>
          </w:tcPr>
          <w:p w:rsidR="00E77327" w:rsidRDefault="002615A4">
            <w:pPr>
              <w:jc w:val="center"/>
            </w:pPr>
            <w:r>
              <w:rPr>
                <w:sz w:val="24"/>
              </w:rPr>
              <w:t>513180</w:t>
            </w:r>
          </w:p>
        </w:tc>
        <w:tc>
          <w:tcPr>
            <w:tcW w:w="1135" w:type="dxa"/>
            <w:vAlign w:val="center"/>
          </w:tcPr>
          <w:p w:rsidR="00E77327" w:rsidRDefault="002615A4">
            <w:pPr>
              <w:jc w:val="center"/>
            </w:pPr>
            <w:r>
              <w:rPr>
                <w:sz w:val="24"/>
              </w:rPr>
              <w:t>华夏恒生科技</w:t>
            </w:r>
            <w:r>
              <w:rPr>
                <w:sz w:val="24"/>
              </w:rPr>
              <w:t>ETF(QDII)</w:t>
            </w:r>
          </w:p>
        </w:tc>
        <w:tc>
          <w:tcPr>
            <w:tcW w:w="1135" w:type="dxa"/>
            <w:vAlign w:val="center"/>
          </w:tcPr>
          <w:p w:rsidR="00E77327" w:rsidRDefault="006B4F9B">
            <w:pPr>
              <w:jc w:val="center"/>
            </w:pPr>
            <w:r>
              <w:rPr>
                <w:rFonts w:hint="eastAsia"/>
                <w:sz w:val="24"/>
              </w:rPr>
              <w:t>交易</w:t>
            </w:r>
            <w:r>
              <w:rPr>
                <w:sz w:val="24"/>
              </w:rPr>
              <w:t>型开放式</w:t>
            </w:r>
          </w:p>
        </w:tc>
        <w:tc>
          <w:tcPr>
            <w:tcW w:w="1133" w:type="dxa"/>
            <w:vAlign w:val="center"/>
          </w:tcPr>
          <w:p w:rsidR="00E77327" w:rsidRDefault="002615A4">
            <w:pPr>
              <w:jc w:val="center"/>
            </w:pPr>
            <w:r>
              <w:rPr>
                <w:sz w:val="24"/>
              </w:rPr>
              <w:t>3,150,800.00</w:t>
            </w:r>
          </w:p>
        </w:tc>
        <w:tc>
          <w:tcPr>
            <w:tcW w:w="1276" w:type="dxa"/>
            <w:vAlign w:val="center"/>
          </w:tcPr>
          <w:p w:rsidR="00E77327" w:rsidRDefault="002615A4">
            <w:pPr>
              <w:jc w:val="center"/>
            </w:pPr>
            <w:r>
              <w:rPr>
                <w:sz w:val="24"/>
              </w:rPr>
              <w:t>1,647,868.40</w:t>
            </w:r>
          </w:p>
        </w:tc>
        <w:tc>
          <w:tcPr>
            <w:tcW w:w="1135" w:type="dxa"/>
            <w:vAlign w:val="center"/>
          </w:tcPr>
          <w:p w:rsidR="00E77327" w:rsidRDefault="002615A4">
            <w:pPr>
              <w:jc w:val="center"/>
            </w:pPr>
            <w:r>
              <w:rPr>
                <w:sz w:val="24"/>
              </w:rPr>
              <w:t>3.77%</w:t>
            </w:r>
          </w:p>
        </w:tc>
        <w:tc>
          <w:tcPr>
            <w:tcW w:w="1272" w:type="dxa"/>
            <w:vAlign w:val="center"/>
          </w:tcPr>
          <w:p w:rsidR="00E77327" w:rsidRDefault="002615A4">
            <w:pPr>
              <w:jc w:val="center"/>
            </w:pPr>
            <w:r>
              <w:rPr>
                <w:sz w:val="24"/>
              </w:rPr>
              <w:t>否</w:t>
            </w:r>
          </w:p>
        </w:tc>
      </w:tr>
      <w:tr w:rsidR="00E77327">
        <w:tc>
          <w:tcPr>
            <w:tcW w:w="817" w:type="dxa"/>
            <w:vAlign w:val="center"/>
          </w:tcPr>
          <w:p w:rsidR="00E77327" w:rsidRDefault="002615A4">
            <w:pPr>
              <w:jc w:val="center"/>
            </w:pPr>
            <w:r>
              <w:rPr>
                <w:sz w:val="24"/>
              </w:rPr>
              <w:t>7</w:t>
            </w:r>
          </w:p>
        </w:tc>
        <w:tc>
          <w:tcPr>
            <w:tcW w:w="1133" w:type="dxa"/>
            <w:vAlign w:val="center"/>
          </w:tcPr>
          <w:p w:rsidR="00E77327" w:rsidRDefault="002615A4">
            <w:pPr>
              <w:jc w:val="center"/>
            </w:pPr>
            <w:r>
              <w:rPr>
                <w:sz w:val="24"/>
              </w:rPr>
              <w:t>090016</w:t>
            </w:r>
          </w:p>
        </w:tc>
        <w:tc>
          <w:tcPr>
            <w:tcW w:w="1135" w:type="dxa"/>
            <w:vAlign w:val="center"/>
          </w:tcPr>
          <w:p w:rsidR="00E77327" w:rsidRDefault="002615A4">
            <w:pPr>
              <w:jc w:val="center"/>
            </w:pPr>
            <w:r>
              <w:rPr>
                <w:sz w:val="24"/>
              </w:rPr>
              <w:t>大成消费主题混合</w:t>
            </w:r>
            <w:r>
              <w:rPr>
                <w:sz w:val="24"/>
              </w:rPr>
              <w:t>A</w:t>
            </w:r>
          </w:p>
        </w:tc>
        <w:tc>
          <w:tcPr>
            <w:tcW w:w="1135" w:type="dxa"/>
            <w:vAlign w:val="center"/>
          </w:tcPr>
          <w:p w:rsidR="00E77327" w:rsidRDefault="002615A4">
            <w:pPr>
              <w:jc w:val="center"/>
            </w:pPr>
            <w:r>
              <w:rPr>
                <w:sz w:val="24"/>
              </w:rPr>
              <w:t>契约型开放式</w:t>
            </w:r>
          </w:p>
        </w:tc>
        <w:tc>
          <w:tcPr>
            <w:tcW w:w="1133" w:type="dxa"/>
            <w:vAlign w:val="center"/>
          </w:tcPr>
          <w:p w:rsidR="00E77327" w:rsidRDefault="002615A4">
            <w:pPr>
              <w:jc w:val="center"/>
            </w:pPr>
            <w:r>
              <w:rPr>
                <w:sz w:val="24"/>
              </w:rPr>
              <w:t>890,715.41</w:t>
            </w:r>
          </w:p>
        </w:tc>
        <w:tc>
          <w:tcPr>
            <w:tcW w:w="1276" w:type="dxa"/>
            <w:vAlign w:val="center"/>
          </w:tcPr>
          <w:p w:rsidR="00E77327" w:rsidRDefault="002615A4">
            <w:pPr>
              <w:jc w:val="center"/>
            </w:pPr>
            <w:r>
              <w:rPr>
                <w:sz w:val="24"/>
              </w:rPr>
              <w:t>1,615,757.75</w:t>
            </w:r>
          </w:p>
        </w:tc>
        <w:tc>
          <w:tcPr>
            <w:tcW w:w="1135" w:type="dxa"/>
            <w:vAlign w:val="center"/>
          </w:tcPr>
          <w:p w:rsidR="00E77327" w:rsidRDefault="002615A4">
            <w:pPr>
              <w:jc w:val="center"/>
            </w:pPr>
            <w:r>
              <w:rPr>
                <w:sz w:val="24"/>
              </w:rPr>
              <w:t>3.70%</w:t>
            </w:r>
          </w:p>
        </w:tc>
        <w:tc>
          <w:tcPr>
            <w:tcW w:w="1272" w:type="dxa"/>
            <w:vAlign w:val="center"/>
          </w:tcPr>
          <w:p w:rsidR="00E77327" w:rsidRDefault="002615A4">
            <w:pPr>
              <w:jc w:val="center"/>
            </w:pPr>
            <w:r>
              <w:rPr>
                <w:sz w:val="24"/>
              </w:rPr>
              <w:t>否</w:t>
            </w:r>
          </w:p>
        </w:tc>
      </w:tr>
      <w:tr w:rsidR="00E77327">
        <w:tc>
          <w:tcPr>
            <w:tcW w:w="817" w:type="dxa"/>
            <w:vAlign w:val="center"/>
          </w:tcPr>
          <w:p w:rsidR="00E77327" w:rsidRDefault="002615A4">
            <w:pPr>
              <w:jc w:val="center"/>
            </w:pPr>
            <w:r>
              <w:rPr>
                <w:sz w:val="24"/>
              </w:rPr>
              <w:t>8</w:t>
            </w:r>
          </w:p>
        </w:tc>
        <w:tc>
          <w:tcPr>
            <w:tcW w:w="1133" w:type="dxa"/>
            <w:vAlign w:val="center"/>
          </w:tcPr>
          <w:p w:rsidR="00E77327" w:rsidRDefault="002615A4">
            <w:pPr>
              <w:jc w:val="center"/>
            </w:pPr>
            <w:r>
              <w:rPr>
                <w:sz w:val="24"/>
              </w:rPr>
              <w:t>001856</w:t>
            </w:r>
          </w:p>
        </w:tc>
        <w:tc>
          <w:tcPr>
            <w:tcW w:w="1135" w:type="dxa"/>
            <w:vAlign w:val="center"/>
          </w:tcPr>
          <w:p w:rsidR="00E77327" w:rsidRDefault="002615A4">
            <w:pPr>
              <w:jc w:val="center"/>
            </w:pPr>
            <w:r>
              <w:rPr>
                <w:sz w:val="24"/>
              </w:rPr>
              <w:t>易方达环保主题混合</w:t>
            </w:r>
          </w:p>
        </w:tc>
        <w:tc>
          <w:tcPr>
            <w:tcW w:w="1135" w:type="dxa"/>
            <w:vAlign w:val="center"/>
          </w:tcPr>
          <w:p w:rsidR="00E77327" w:rsidRDefault="002615A4">
            <w:pPr>
              <w:jc w:val="center"/>
            </w:pPr>
            <w:r>
              <w:rPr>
                <w:sz w:val="24"/>
              </w:rPr>
              <w:t>契约型开放式</w:t>
            </w:r>
          </w:p>
        </w:tc>
        <w:tc>
          <w:tcPr>
            <w:tcW w:w="1133" w:type="dxa"/>
            <w:vAlign w:val="center"/>
          </w:tcPr>
          <w:p w:rsidR="00E77327" w:rsidRDefault="002615A4">
            <w:pPr>
              <w:jc w:val="center"/>
            </w:pPr>
            <w:r>
              <w:rPr>
                <w:sz w:val="24"/>
              </w:rPr>
              <w:t>498,331.01</w:t>
            </w:r>
          </w:p>
        </w:tc>
        <w:tc>
          <w:tcPr>
            <w:tcW w:w="1276" w:type="dxa"/>
            <w:vAlign w:val="center"/>
          </w:tcPr>
          <w:p w:rsidR="00E77327" w:rsidRDefault="002615A4">
            <w:pPr>
              <w:jc w:val="center"/>
            </w:pPr>
            <w:r>
              <w:rPr>
                <w:sz w:val="24"/>
              </w:rPr>
              <w:t>1,610,605.82</w:t>
            </w:r>
          </w:p>
        </w:tc>
        <w:tc>
          <w:tcPr>
            <w:tcW w:w="1135" w:type="dxa"/>
            <w:vAlign w:val="center"/>
          </w:tcPr>
          <w:p w:rsidR="00E77327" w:rsidRDefault="002615A4">
            <w:pPr>
              <w:jc w:val="center"/>
            </w:pPr>
            <w:r>
              <w:rPr>
                <w:sz w:val="24"/>
              </w:rPr>
              <w:t>3.69%</w:t>
            </w:r>
          </w:p>
        </w:tc>
        <w:tc>
          <w:tcPr>
            <w:tcW w:w="1272" w:type="dxa"/>
            <w:vAlign w:val="center"/>
          </w:tcPr>
          <w:p w:rsidR="00E77327" w:rsidRDefault="002615A4">
            <w:pPr>
              <w:jc w:val="center"/>
            </w:pPr>
            <w:r>
              <w:rPr>
                <w:sz w:val="24"/>
              </w:rPr>
              <w:t>否</w:t>
            </w:r>
          </w:p>
        </w:tc>
      </w:tr>
      <w:tr w:rsidR="00E77327">
        <w:tc>
          <w:tcPr>
            <w:tcW w:w="817" w:type="dxa"/>
            <w:vAlign w:val="center"/>
          </w:tcPr>
          <w:p w:rsidR="00E77327" w:rsidRDefault="002615A4">
            <w:pPr>
              <w:jc w:val="center"/>
            </w:pPr>
            <w:r>
              <w:rPr>
                <w:sz w:val="24"/>
              </w:rPr>
              <w:t>9</w:t>
            </w:r>
          </w:p>
        </w:tc>
        <w:tc>
          <w:tcPr>
            <w:tcW w:w="1133" w:type="dxa"/>
            <w:vAlign w:val="center"/>
          </w:tcPr>
          <w:p w:rsidR="00E77327" w:rsidRDefault="002615A4">
            <w:pPr>
              <w:jc w:val="center"/>
            </w:pPr>
            <w:r>
              <w:rPr>
                <w:sz w:val="24"/>
              </w:rPr>
              <w:t>519756</w:t>
            </w:r>
          </w:p>
        </w:tc>
        <w:tc>
          <w:tcPr>
            <w:tcW w:w="1135" w:type="dxa"/>
            <w:vAlign w:val="center"/>
          </w:tcPr>
          <w:p w:rsidR="00E77327" w:rsidRDefault="002615A4">
            <w:pPr>
              <w:jc w:val="center"/>
            </w:pPr>
            <w:r>
              <w:rPr>
                <w:sz w:val="24"/>
              </w:rPr>
              <w:t>交银国企改革灵活配置混合</w:t>
            </w:r>
            <w:r>
              <w:rPr>
                <w:sz w:val="24"/>
              </w:rPr>
              <w:t>A</w:t>
            </w:r>
          </w:p>
        </w:tc>
        <w:tc>
          <w:tcPr>
            <w:tcW w:w="1135" w:type="dxa"/>
            <w:vAlign w:val="center"/>
          </w:tcPr>
          <w:p w:rsidR="00E77327" w:rsidRDefault="002615A4">
            <w:pPr>
              <w:jc w:val="center"/>
            </w:pPr>
            <w:r>
              <w:rPr>
                <w:sz w:val="24"/>
              </w:rPr>
              <w:t>契约型开放式</w:t>
            </w:r>
          </w:p>
        </w:tc>
        <w:tc>
          <w:tcPr>
            <w:tcW w:w="1133" w:type="dxa"/>
            <w:vAlign w:val="center"/>
          </w:tcPr>
          <w:p w:rsidR="00E77327" w:rsidRDefault="002615A4">
            <w:pPr>
              <w:jc w:val="center"/>
            </w:pPr>
            <w:r>
              <w:rPr>
                <w:sz w:val="24"/>
              </w:rPr>
              <w:t>940,713.51</w:t>
            </w:r>
          </w:p>
        </w:tc>
        <w:tc>
          <w:tcPr>
            <w:tcW w:w="1276" w:type="dxa"/>
            <w:vAlign w:val="center"/>
          </w:tcPr>
          <w:p w:rsidR="00E77327" w:rsidRDefault="002615A4">
            <w:pPr>
              <w:jc w:val="center"/>
            </w:pPr>
            <w:r>
              <w:rPr>
                <w:sz w:val="24"/>
              </w:rPr>
              <w:t>1,595,638.26</w:t>
            </w:r>
          </w:p>
        </w:tc>
        <w:tc>
          <w:tcPr>
            <w:tcW w:w="1135" w:type="dxa"/>
            <w:vAlign w:val="center"/>
          </w:tcPr>
          <w:p w:rsidR="00E77327" w:rsidRDefault="002615A4">
            <w:pPr>
              <w:jc w:val="center"/>
            </w:pPr>
            <w:r>
              <w:rPr>
                <w:sz w:val="24"/>
              </w:rPr>
              <w:t>3.65%</w:t>
            </w:r>
          </w:p>
        </w:tc>
        <w:tc>
          <w:tcPr>
            <w:tcW w:w="1272" w:type="dxa"/>
            <w:vAlign w:val="center"/>
          </w:tcPr>
          <w:p w:rsidR="00E77327" w:rsidRDefault="002615A4">
            <w:pPr>
              <w:jc w:val="center"/>
            </w:pPr>
            <w:r>
              <w:rPr>
                <w:sz w:val="24"/>
              </w:rPr>
              <w:t>否</w:t>
            </w:r>
          </w:p>
        </w:tc>
      </w:tr>
      <w:tr w:rsidR="00E77327">
        <w:tc>
          <w:tcPr>
            <w:tcW w:w="817" w:type="dxa"/>
            <w:vAlign w:val="center"/>
          </w:tcPr>
          <w:p w:rsidR="00E77327" w:rsidRDefault="002615A4">
            <w:pPr>
              <w:jc w:val="center"/>
            </w:pPr>
            <w:r>
              <w:rPr>
                <w:sz w:val="24"/>
              </w:rPr>
              <w:t>10</w:t>
            </w:r>
          </w:p>
        </w:tc>
        <w:tc>
          <w:tcPr>
            <w:tcW w:w="1133" w:type="dxa"/>
            <w:vAlign w:val="center"/>
          </w:tcPr>
          <w:p w:rsidR="00E77327" w:rsidRDefault="002615A4">
            <w:pPr>
              <w:jc w:val="center"/>
            </w:pPr>
            <w:r>
              <w:rPr>
                <w:sz w:val="24"/>
              </w:rPr>
              <w:t>512170</w:t>
            </w:r>
          </w:p>
        </w:tc>
        <w:tc>
          <w:tcPr>
            <w:tcW w:w="1135" w:type="dxa"/>
            <w:vAlign w:val="center"/>
          </w:tcPr>
          <w:p w:rsidR="00E77327" w:rsidRDefault="002615A4">
            <w:pPr>
              <w:jc w:val="center"/>
            </w:pPr>
            <w:r>
              <w:rPr>
                <w:sz w:val="24"/>
              </w:rPr>
              <w:t>华宝中证医疗</w:t>
            </w:r>
            <w:r>
              <w:rPr>
                <w:sz w:val="24"/>
              </w:rPr>
              <w:t>ETF</w:t>
            </w:r>
          </w:p>
        </w:tc>
        <w:tc>
          <w:tcPr>
            <w:tcW w:w="1135" w:type="dxa"/>
            <w:vAlign w:val="center"/>
          </w:tcPr>
          <w:p w:rsidR="00E77327" w:rsidRDefault="006B4F9B">
            <w:pPr>
              <w:jc w:val="center"/>
            </w:pPr>
            <w:r>
              <w:rPr>
                <w:rFonts w:hint="eastAsia"/>
                <w:sz w:val="24"/>
              </w:rPr>
              <w:t>交易</w:t>
            </w:r>
            <w:r>
              <w:rPr>
                <w:sz w:val="24"/>
              </w:rPr>
              <w:t>型开放式</w:t>
            </w:r>
          </w:p>
        </w:tc>
        <w:tc>
          <w:tcPr>
            <w:tcW w:w="1133" w:type="dxa"/>
            <w:vAlign w:val="center"/>
          </w:tcPr>
          <w:p w:rsidR="00E77327" w:rsidRDefault="002615A4">
            <w:pPr>
              <w:jc w:val="center"/>
            </w:pPr>
            <w:r>
              <w:rPr>
                <w:sz w:val="24"/>
              </w:rPr>
              <w:t>3,569,700.00</w:t>
            </w:r>
          </w:p>
        </w:tc>
        <w:tc>
          <w:tcPr>
            <w:tcW w:w="1276" w:type="dxa"/>
            <w:vAlign w:val="center"/>
          </w:tcPr>
          <w:p w:rsidR="00E77327" w:rsidRDefault="002615A4">
            <w:pPr>
              <w:jc w:val="center"/>
            </w:pPr>
            <w:r>
              <w:rPr>
                <w:sz w:val="24"/>
              </w:rPr>
              <w:t>1,488,564.90</w:t>
            </w:r>
          </w:p>
        </w:tc>
        <w:tc>
          <w:tcPr>
            <w:tcW w:w="1135" w:type="dxa"/>
            <w:vAlign w:val="center"/>
          </w:tcPr>
          <w:p w:rsidR="00E77327" w:rsidRDefault="002615A4">
            <w:pPr>
              <w:jc w:val="center"/>
            </w:pPr>
            <w:r>
              <w:rPr>
                <w:sz w:val="24"/>
              </w:rPr>
              <w:t>3.41%</w:t>
            </w:r>
          </w:p>
        </w:tc>
        <w:tc>
          <w:tcPr>
            <w:tcW w:w="1272" w:type="dxa"/>
            <w:vAlign w:val="center"/>
          </w:tcPr>
          <w:p w:rsidR="00E77327" w:rsidRDefault="002615A4">
            <w:pPr>
              <w:jc w:val="center"/>
            </w:pPr>
            <w:r>
              <w:rPr>
                <w:sz w:val="24"/>
              </w:rPr>
              <w:t>否</w:t>
            </w:r>
          </w:p>
        </w:tc>
      </w:tr>
    </w:tbl>
    <w:p w:rsidR="00C45886" w:rsidRPr="00575270" w:rsidRDefault="00C45886" w:rsidP="00C45886">
      <w:pPr>
        <w:adjustRightInd w:val="0"/>
        <w:snapToGrid w:val="0"/>
        <w:spacing w:beforeLines="50" w:before="156" w:line="360" w:lineRule="auto"/>
        <w:rPr>
          <w:rFonts w:eastAsiaTheme="minorEastAsia"/>
          <w:b/>
          <w:color w:val="000000" w:themeColor="text1"/>
          <w:kern w:val="0"/>
          <w:sz w:val="24"/>
        </w:rPr>
      </w:pPr>
      <w:r w:rsidRPr="00575270">
        <w:rPr>
          <w:rFonts w:eastAsiaTheme="minorEastAsia"/>
          <w:b/>
          <w:color w:val="000000" w:themeColor="text1"/>
          <w:kern w:val="0"/>
          <w:sz w:val="24"/>
        </w:rPr>
        <w:t>6.2</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当期交易及持有基金产生的费用</w:t>
      </w:r>
    </w:p>
    <w:tbl>
      <w:tblPr>
        <w:tblStyle w:val="afa"/>
        <w:tblW w:w="0" w:type="auto"/>
        <w:tblLayout w:type="fixed"/>
        <w:tblLook w:val="04A0" w:firstRow="1" w:lastRow="0" w:firstColumn="1" w:lastColumn="0" w:noHBand="0" w:noVBand="1"/>
      </w:tblPr>
      <w:tblGrid>
        <w:gridCol w:w="3012"/>
        <w:gridCol w:w="3012"/>
        <w:gridCol w:w="3012"/>
      </w:tblGrid>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jc w:val="center"/>
              <w:rPr>
                <w:rFonts w:eastAsiaTheme="minorEastAsia"/>
                <w:color w:val="000000" w:themeColor="text1"/>
                <w:sz w:val="24"/>
              </w:rPr>
            </w:pPr>
            <w:r w:rsidRPr="00575270">
              <w:rPr>
                <w:sz w:val="24"/>
              </w:rPr>
              <w:t>项目</w:t>
            </w:r>
          </w:p>
        </w:tc>
        <w:tc>
          <w:tcPr>
            <w:tcW w:w="3012" w:type="dxa"/>
            <w:vAlign w:val="center"/>
          </w:tcPr>
          <w:p w:rsidR="00C45886" w:rsidRPr="00575270" w:rsidRDefault="00C45886" w:rsidP="00342FE7">
            <w:pPr>
              <w:spacing w:line="276" w:lineRule="auto"/>
              <w:jc w:val="center"/>
              <w:rPr>
                <w:sz w:val="24"/>
              </w:rPr>
            </w:pPr>
            <w:r w:rsidRPr="00575270">
              <w:rPr>
                <w:sz w:val="24"/>
              </w:rPr>
              <w:t>本期费用</w:t>
            </w:r>
          </w:p>
        </w:tc>
        <w:tc>
          <w:tcPr>
            <w:tcW w:w="3012" w:type="dxa"/>
            <w:vAlign w:val="center"/>
          </w:tcPr>
          <w:p w:rsidR="00C45886" w:rsidRPr="00575270" w:rsidRDefault="00C45886" w:rsidP="00342FE7">
            <w:pPr>
              <w:spacing w:line="276" w:lineRule="auto"/>
              <w:jc w:val="center"/>
              <w:rPr>
                <w:sz w:val="24"/>
              </w:rPr>
            </w:pPr>
            <w:r w:rsidRPr="00575270">
              <w:rPr>
                <w:sz w:val="24"/>
              </w:rPr>
              <w:t>其中：交易及持有基金管理人以及管理人关联方所管理基金产生的费用</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当期交易基金产生的申购费</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673.99</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当期交易基金产生的赎回费（元）</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793.23</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617.82</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当期持有基金产生的应支付销售服务费（元）</w:t>
            </w:r>
          </w:p>
        </w:tc>
        <w:tc>
          <w:tcPr>
            <w:tcW w:w="3012" w:type="dxa"/>
            <w:vAlign w:val="center"/>
          </w:tcPr>
          <w:p w:rsidR="00C45886" w:rsidRPr="00575270" w:rsidRDefault="00D90B73" w:rsidP="00342FE7">
            <w:pPr>
              <w:adjustRightInd w:val="0"/>
              <w:snapToGrid w:val="0"/>
              <w:spacing w:beforeLines="50" w:before="156" w:line="276" w:lineRule="auto"/>
              <w:jc w:val="right"/>
              <w:rPr>
                <w:rFonts w:eastAsiaTheme="minorEastAsia"/>
                <w:color w:val="000000" w:themeColor="text1"/>
                <w:sz w:val="24"/>
              </w:rPr>
            </w:pPr>
            <w:r>
              <w:rPr>
                <w:rFonts w:eastAsiaTheme="minorEastAsia"/>
                <w:color w:val="000000" w:themeColor="text1"/>
                <w:sz w:val="24"/>
              </w:rPr>
              <w:t>2,510.29</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当期持有基金产生的应支付管理费（元）</w:t>
            </w:r>
          </w:p>
        </w:tc>
        <w:tc>
          <w:tcPr>
            <w:tcW w:w="3012" w:type="dxa"/>
            <w:vAlign w:val="center"/>
          </w:tcPr>
          <w:p w:rsidR="00C45886" w:rsidRPr="00575270" w:rsidRDefault="00D90B73" w:rsidP="00342FE7">
            <w:pPr>
              <w:adjustRightInd w:val="0"/>
              <w:snapToGrid w:val="0"/>
              <w:spacing w:beforeLines="50" w:before="156" w:line="276" w:lineRule="auto"/>
              <w:jc w:val="right"/>
              <w:rPr>
                <w:rFonts w:eastAsiaTheme="minorEastAsia"/>
                <w:color w:val="000000" w:themeColor="text1"/>
                <w:sz w:val="24"/>
              </w:rPr>
            </w:pPr>
            <w:r>
              <w:rPr>
                <w:rFonts w:eastAsiaTheme="minorEastAsia"/>
                <w:color w:val="000000" w:themeColor="text1"/>
                <w:sz w:val="24"/>
              </w:rPr>
              <w:t>93,138.41</w:t>
            </w:r>
          </w:p>
        </w:tc>
        <w:tc>
          <w:tcPr>
            <w:tcW w:w="3012" w:type="dxa"/>
            <w:vAlign w:val="center"/>
          </w:tcPr>
          <w:p w:rsidR="00C45886" w:rsidRPr="00575270" w:rsidRDefault="00E32570" w:rsidP="00342FE7">
            <w:pPr>
              <w:adjustRightInd w:val="0"/>
              <w:snapToGrid w:val="0"/>
              <w:spacing w:beforeLines="50" w:before="156" w:line="276" w:lineRule="auto"/>
              <w:jc w:val="right"/>
              <w:rPr>
                <w:rFonts w:eastAsiaTheme="minorEastAsia"/>
                <w:color w:val="000000" w:themeColor="text1"/>
                <w:sz w:val="24"/>
              </w:rPr>
            </w:pPr>
            <w:r>
              <w:rPr>
                <w:rFonts w:eastAsiaTheme="minorEastAsia"/>
                <w:color w:val="000000" w:themeColor="text1"/>
                <w:sz w:val="24"/>
              </w:rPr>
              <w:t>17,699</w:t>
            </w:r>
            <w:r w:rsidR="00D90B73">
              <w:rPr>
                <w:rFonts w:eastAsiaTheme="minorEastAsia"/>
                <w:color w:val="000000" w:themeColor="text1"/>
                <w:sz w:val="24"/>
              </w:rPr>
              <w:t>.</w:t>
            </w:r>
            <w:r>
              <w:rPr>
                <w:rFonts w:eastAsiaTheme="minorEastAsia"/>
                <w:color w:val="000000" w:themeColor="text1"/>
                <w:sz w:val="24"/>
              </w:rPr>
              <w:t>98</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当期持有基金产生的应支付托管费（元）</w:t>
            </w:r>
          </w:p>
        </w:tc>
        <w:tc>
          <w:tcPr>
            <w:tcW w:w="3012" w:type="dxa"/>
            <w:vAlign w:val="center"/>
          </w:tcPr>
          <w:p w:rsidR="00C45886" w:rsidRPr="00575270" w:rsidRDefault="00D90B73" w:rsidP="00342FE7">
            <w:pPr>
              <w:adjustRightInd w:val="0"/>
              <w:snapToGrid w:val="0"/>
              <w:spacing w:beforeLines="50" w:before="156" w:line="276" w:lineRule="auto"/>
              <w:jc w:val="right"/>
              <w:rPr>
                <w:rFonts w:eastAsiaTheme="minorEastAsia"/>
                <w:color w:val="000000" w:themeColor="text1"/>
                <w:sz w:val="24"/>
              </w:rPr>
            </w:pPr>
            <w:r>
              <w:rPr>
                <w:rFonts w:eastAsiaTheme="minorEastAsia"/>
                <w:color w:val="000000" w:themeColor="text1"/>
                <w:sz w:val="24"/>
              </w:rPr>
              <w:t>15,923.51</w:t>
            </w:r>
          </w:p>
        </w:tc>
        <w:tc>
          <w:tcPr>
            <w:tcW w:w="3012" w:type="dxa"/>
            <w:vAlign w:val="center"/>
          </w:tcPr>
          <w:p w:rsidR="00C45886" w:rsidRPr="00575270" w:rsidRDefault="00E32570" w:rsidP="00342FE7">
            <w:pPr>
              <w:adjustRightInd w:val="0"/>
              <w:snapToGrid w:val="0"/>
              <w:spacing w:beforeLines="50" w:before="156" w:line="276" w:lineRule="auto"/>
              <w:jc w:val="right"/>
              <w:rPr>
                <w:rFonts w:eastAsiaTheme="minorEastAsia"/>
                <w:color w:val="000000" w:themeColor="text1"/>
                <w:sz w:val="24"/>
              </w:rPr>
            </w:pPr>
            <w:r>
              <w:rPr>
                <w:rFonts w:eastAsiaTheme="minorEastAsia"/>
                <w:color w:val="000000" w:themeColor="text1"/>
                <w:sz w:val="24"/>
              </w:rPr>
              <w:t>3,053</w:t>
            </w:r>
            <w:r w:rsidR="00D90B73">
              <w:rPr>
                <w:rFonts w:eastAsiaTheme="minorEastAsia"/>
                <w:color w:val="000000" w:themeColor="text1"/>
                <w:sz w:val="24"/>
              </w:rPr>
              <w:t>.61</w:t>
            </w:r>
          </w:p>
        </w:tc>
      </w:tr>
      <w:tr w:rsidR="00E77327">
        <w:tc>
          <w:tcPr>
            <w:tcW w:w="3012" w:type="dxa"/>
            <w:vAlign w:val="center"/>
          </w:tcPr>
          <w:p w:rsidR="00E77327" w:rsidRDefault="002615A4">
            <w:pPr>
              <w:jc w:val="left"/>
            </w:pPr>
            <w:r>
              <w:rPr>
                <w:rFonts w:eastAsiaTheme="minorEastAsia"/>
                <w:color w:val="000000" w:themeColor="text1"/>
                <w:sz w:val="24"/>
              </w:rPr>
              <w:lastRenderedPageBreak/>
              <w:t>当期交易基金产生的交易费（元）</w:t>
            </w:r>
          </w:p>
        </w:tc>
        <w:tc>
          <w:tcPr>
            <w:tcW w:w="3012" w:type="dxa"/>
            <w:vAlign w:val="center"/>
          </w:tcPr>
          <w:p w:rsidR="00E77327" w:rsidRDefault="002615A4">
            <w:pPr>
              <w:jc w:val="right"/>
            </w:pPr>
            <w:r>
              <w:rPr>
                <w:rFonts w:eastAsiaTheme="minorEastAsia"/>
                <w:color w:val="000000" w:themeColor="text1"/>
                <w:sz w:val="24"/>
              </w:rPr>
              <w:t>2,206.60</w:t>
            </w:r>
          </w:p>
        </w:tc>
        <w:tc>
          <w:tcPr>
            <w:tcW w:w="3012" w:type="dxa"/>
            <w:vAlign w:val="center"/>
          </w:tcPr>
          <w:p w:rsidR="00E77327" w:rsidRDefault="002615A4">
            <w:pPr>
              <w:jc w:val="right"/>
            </w:pPr>
            <w:r>
              <w:rPr>
                <w:rFonts w:eastAsiaTheme="minorEastAsia"/>
                <w:color w:val="000000" w:themeColor="text1"/>
                <w:sz w:val="24"/>
              </w:rPr>
              <w:t>8.63</w:t>
            </w:r>
          </w:p>
        </w:tc>
      </w:tr>
      <w:tr w:rsidR="00E77327">
        <w:tc>
          <w:tcPr>
            <w:tcW w:w="3012" w:type="dxa"/>
            <w:vAlign w:val="center"/>
          </w:tcPr>
          <w:p w:rsidR="00E77327" w:rsidRDefault="002615A4">
            <w:pPr>
              <w:jc w:val="left"/>
            </w:pPr>
            <w:r>
              <w:rPr>
                <w:rFonts w:eastAsiaTheme="minorEastAsia"/>
                <w:color w:val="000000" w:themeColor="text1"/>
                <w:sz w:val="24"/>
              </w:rPr>
              <w:t>当期交易基金产生的转换</w:t>
            </w:r>
            <w:r w:rsidR="00530437">
              <w:rPr>
                <w:rFonts w:eastAsiaTheme="minorEastAsia" w:hint="eastAsia"/>
                <w:color w:val="000000" w:themeColor="text1"/>
                <w:sz w:val="24"/>
              </w:rPr>
              <w:t>费</w:t>
            </w:r>
            <w:r>
              <w:rPr>
                <w:rFonts w:eastAsiaTheme="minorEastAsia"/>
                <w:color w:val="000000" w:themeColor="text1"/>
                <w:sz w:val="24"/>
              </w:rPr>
              <w:t>（元）</w:t>
            </w:r>
          </w:p>
        </w:tc>
        <w:tc>
          <w:tcPr>
            <w:tcW w:w="3012" w:type="dxa"/>
            <w:vAlign w:val="center"/>
          </w:tcPr>
          <w:p w:rsidR="00E77327" w:rsidRDefault="002615A4">
            <w:pPr>
              <w:jc w:val="right"/>
            </w:pPr>
            <w:r>
              <w:rPr>
                <w:rFonts w:eastAsiaTheme="minorEastAsia"/>
                <w:color w:val="000000" w:themeColor="text1"/>
                <w:sz w:val="24"/>
              </w:rPr>
              <w:t>2,997.22</w:t>
            </w:r>
          </w:p>
        </w:tc>
        <w:tc>
          <w:tcPr>
            <w:tcW w:w="3012" w:type="dxa"/>
            <w:vAlign w:val="center"/>
          </w:tcPr>
          <w:p w:rsidR="00E77327" w:rsidRDefault="002615A4">
            <w:pPr>
              <w:jc w:val="right"/>
            </w:pPr>
            <w:r>
              <w:rPr>
                <w:rFonts w:eastAsiaTheme="minorEastAsia"/>
                <w:color w:val="000000" w:themeColor="text1"/>
                <w:sz w:val="24"/>
              </w:rPr>
              <w:t>-</w:t>
            </w:r>
          </w:p>
        </w:tc>
      </w:tr>
    </w:tbl>
    <w:p w:rsidR="00C45886" w:rsidRPr="00575270" w:rsidRDefault="00C45886" w:rsidP="00C45886">
      <w:pPr>
        <w:adjustRightInd w:val="0"/>
        <w:snapToGrid w:val="0"/>
        <w:spacing w:beforeLines="50" w:before="156" w:line="360" w:lineRule="auto"/>
        <w:rPr>
          <w:rFonts w:eastAsiaTheme="minorEastAsia"/>
          <w:b/>
          <w:color w:val="000000" w:themeColor="text1"/>
          <w:kern w:val="0"/>
          <w:sz w:val="24"/>
        </w:rPr>
      </w:pPr>
      <w:r w:rsidRPr="00575270">
        <w:rPr>
          <w:rFonts w:eastAsiaTheme="minorEastAsia"/>
          <w:b/>
          <w:color w:val="000000" w:themeColor="text1"/>
          <w:kern w:val="0"/>
          <w:sz w:val="24"/>
        </w:rPr>
        <w:t>6.3</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本报告期持有的基金发生的重大影响事件</w:t>
      </w:r>
    </w:p>
    <w:p w:rsidR="00C45886" w:rsidRPr="00575270" w:rsidRDefault="00C45886" w:rsidP="00C45886">
      <w:pPr>
        <w:autoSpaceDE w:val="0"/>
        <w:autoSpaceDN w:val="0"/>
        <w:adjustRightInd w:val="0"/>
        <w:spacing w:line="360" w:lineRule="auto"/>
        <w:ind w:firstLineChars="200" w:firstLine="480"/>
        <w:jc w:val="left"/>
        <w:rPr>
          <w:rFonts w:eastAsiaTheme="minorEastAsia"/>
          <w:color w:val="000000" w:themeColor="text1"/>
          <w:sz w:val="24"/>
        </w:rPr>
      </w:pPr>
      <w:r w:rsidRPr="00575270">
        <w:rPr>
          <w:rFonts w:eastAsiaTheme="minorEastAsia" w:hint="eastAsia"/>
          <w:color w:val="000000" w:themeColor="text1"/>
          <w:sz w:val="24"/>
        </w:rPr>
        <w:t>无。</w:t>
      </w:r>
    </w:p>
    <w:p w:rsidR="005E6DF3" w:rsidRPr="00C45886" w:rsidRDefault="005E6DF3">
      <w:pPr>
        <w:spacing w:line="360" w:lineRule="auto"/>
        <w:ind w:firstLineChars="200" w:firstLine="420"/>
        <w:rPr>
          <w:rFonts w:eastAsiaTheme="minorEastAsia"/>
          <w:color w:val="000000" w:themeColor="text1"/>
          <w:szCs w:val="21"/>
        </w:rPr>
      </w:pPr>
    </w:p>
    <w:p w:rsidR="005E6DF3" w:rsidRPr="00B27A29" w:rsidRDefault="00C45886">
      <w:pPr>
        <w:pStyle w:val="1"/>
        <w:spacing w:beforeLines="100" w:before="312" w:afterLines="100" w:after="312" w:line="360" w:lineRule="auto"/>
        <w:jc w:val="center"/>
        <w:rPr>
          <w:rFonts w:eastAsiaTheme="minorEastAsia"/>
          <w:color w:val="000000" w:themeColor="text1"/>
          <w:kern w:val="0"/>
          <w:sz w:val="21"/>
          <w:szCs w:val="21"/>
        </w:rPr>
      </w:pPr>
      <w:r w:rsidRPr="005A3D62">
        <w:rPr>
          <w:rFonts w:eastAsiaTheme="minorEastAsia"/>
          <w:color w:val="000000" w:themeColor="text1"/>
          <w:kern w:val="0"/>
          <w:sz w:val="24"/>
          <w:szCs w:val="24"/>
        </w:rPr>
        <w:t>§7</w:t>
      </w:r>
      <w:r w:rsidR="005C671B" w:rsidRPr="00B27A29">
        <w:rPr>
          <w:rFonts w:eastAsiaTheme="minorEastAsia"/>
          <w:color w:val="000000" w:themeColor="text1"/>
          <w:kern w:val="0"/>
          <w:sz w:val="21"/>
          <w:szCs w:val="21"/>
        </w:rPr>
        <w:t xml:space="preserve">  </w:t>
      </w:r>
      <w:r w:rsidR="005C671B"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摩根尚睿混合</w:t>
            </w:r>
            <w:r w:rsidRPr="00B27A29">
              <w:rPr>
                <w:rFonts w:eastAsiaTheme="minorEastAsia"/>
                <w:color w:val="000000" w:themeColor="text1"/>
                <w:szCs w:val="21"/>
              </w:rPr>
              <w:t>(FOF)A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摩根尚睿混合</w:t>
            </w:r>
            <w:r w:rsidRPr="00B27A29">
              <w:rPr>
                <w:rFonts w:eastAsiaTheme="minorEastAsia"/>
                <w:color w:val="000000" w:themeColor="text1"/>
                <w:szCs w:val="21"/>
              </w:rPr>
              <w:t>(FOF)C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35,395,910.95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2,121,568.30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2,103,716.42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2,300,877.72</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4,315,758.05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185,532.94</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33,183,869.32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4,236,913.08</w:t>
            </w:r>
          </w:p>
        </w:tc>
      </w:tr>
    </w:tbl>
    <w:p w:rsidR="005E6DF3" w:rsidRPr="00B27A29" w:rsidRDefault="00C45886">
      <w:pPr>
        <w:pStyle w:val="1"/>
        <w:tabs>
          <w:tab w:val="center" w:pos="4156"/>
          <w:tab w:val="right" w:pos="8312"/>
        </w:tabs>
        <w:spacing w:beforeLines="100" w:before="312" w:afterLines="100" w:after="312" w:line="360" w:lineRule="auto"/>
        <w:jc w:val="center"/>
        <w:rPr>
          <w:color w:val="000000" w:themeColor="text1"/>
          <w:sz w:val="21"/>
          <w:szCs w:val="21"/>
        </w:rPr>
      </w:pPr>
      <w:r>
        <w:rPr>
          <w:rFonts w:eastAsiaTheme="minorEastAsia"/>
          <w:color w:val="000000" w:themeColor="text1"/>
          <w:kern w:val="0"/>
          <w:sz w:val="21"/>
          <w:szCs w:val="21"/>
        </w:rPr>
        <w:t>§</w:t>
      </w:r>
      <w:r w:rsidR="005C671B" w:rsidRPr="00B27A29">
        <w:rPr>
          <w:rFonts w:eastAsiaTheme="minorEastAsia"/>
          <w:color w:val="000000" w:themeColor="text1"/>
          <w:kern w:val="0"/>
          <w:sz w:val="21"/>
          <w:szCs w:val="21"/>
        </w:rPr>
        <w:t>8</w:t>
      </w:r>
      <w:r w:rsidR="00916691">
        <w:rPr>
          <w:rFonts w:eastAsiaTheme="minorEastAsia"/>
          <w:color w:val="000000" w:themeColor="text1"/>
          <w:kern w:val="0"/>
          <w:sz w:val="21"/>
          <w:szCs w:val="21"/>
        </w:rPr>
        <w:t xml:space="preserve">  </w:t>
      </w:r>
      <w:r w:rsidR="005C671B"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8.1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摩根尚睿混合</w:t>
            </w:r>
            <w:r w:rsidRPr="00B27A29">
              <w:rPr>
                <w:rFonts w:eastAsiaTheme="minorEastAsia"/>
                <w:color w:val="000000" w:themeColor="text1"/>
                <w:szCs w:val="21"/>
              </w:rPr>
              <w:t>(FOF)A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摩根尚睿混合</w:t>
            </w:r>
            <w:r w:rsidRPr="00B27A29">
              <w:rPr>
                <w:rFonts w:eastAsiaTheme="minorEastAsia"/>
                <w:color w:val="000000" w:themeColor="text1"/>
                <w:szCs w:val="21"/>
              </w:rPr>
              <w:t>(FOF)C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811,768.33</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811,768.33</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2.17</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644F9C" w:rsidRDefault="00644F9C" w:rsidP="00644F9C">
      <w:pPr>
        <w:spacing w:line="360" w:lineRule="auto"/>
        <w:jc w:val="left"/>
        <w:rPr>
          <w:b/>
          <w:color w:val="000000" w:themeColor="text1"/>
          <w:szCs w:val="21"/>
        </w:rPr>
      </w:pPr>
    </w:p>
    <w:p w:rsidR="00644F9C" w:rsidRDefault="00644F9C" w:rsidP="00644F9C">
      <w:pPr>
        <w:spacing w:line="360" w:lineRule="auto"/>
        <w:jc w:val="left"/>
        <w:rPr>
          <w:b/>
          <w:color w:val="000000" w:themeColor="text1"/>
          <w:szCs w:val="21"/>
        </w:rPr>
      </w:pPr>
      <w:r>
        <w:rPr>
          <w:b/>
          <w:color w:val="000000" w:themeColor="text1"/>
          <w:szCs w:val="21"/>
        </w:rPr>
        <w:t xml:space="preserve">8.2 </w:t>
      </w:r>
      <w:r>
        <w:rPr>
          <w:rFonts w:hint="eastAsia"/>
          <w:b/>
          <w:color w:val="000000" w:themeColor="text1"/>
          <w:szCs w:val="21"/>
        </w:rPr>
        <w:t>基金管理人运用固有资金投资本基金交易明细</w:t>
      </w:r>
    </w:p>
    <w:p w:rsidR="00644F9C" w:rsidRDefault="00644F9C" w:rsidP="00644F9C">
      <w:pPr>
        <w:spacing w:line="360" w:lineRule="auto"/>
        <w:jc w:val="left"/>
        <w:rPr>
          <w:color w:val="000000" w:themeColor="text1"/>
          <w:szCs w:val="21"/>
        </w:rPr>
      </w:pPr>
      <w:r>
        <w:rPr>
          <w:rFonts w:hint="eastAsia"/>
          <w:color w:val="000000" w:themeColor="text1"/>
          <w:szCs w:val="21"/>
        </w:rPr>
        <w:lastRenderedPageBreak/>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00916691">
        <w:rPr>
          <w:rFonts w:eastAsiaTheme="minorEastAsia"/>
          <w:color w:val="000000" w:themeColor="text1"/>
          <w:kern w:val="0"/>
          <w:sz w:val="21"/>
          <w:szCs w:val="21"/>
        </w:rPr>
        <w:t xml:space="preserve">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rsidR="00E77327" w:rsidRDefault="002615A4">
      <w:pPr>
        <w:spacing w:line="360" w:lineRule="auto"/>
        <w:ind w:firstLineChars="200" w:firstLine="420"/>
        <w:rPr>
          <w:rFonts w:eastAsiaTheme="minorEastAsia"/>
          <w:color w:val="000000" w:themeColor="text1"/>
          <w:szCs w:val="21"/>
        </w:rPr>
      </w:pPr>
      <w:r>
        <w:rPr>
          <w:rFonts w:eastAsiaTheme="minorEastAsia"/>
          <w:color w:val="000000" w:themeColor="text1"/>
          <w:szCs w:val="21"/>
        </w:rPr>
        <w:t>（一）中国证监会准予本基金募集注册的文件</w:t>
      </w:r>
    </w:p>
    <w:p w:rsidR="00E77327" w:rsidRDefault="002615A4">
      <w:pPr>
        <w:spacing w:line="360" w:lineRule="auto"/>
        <w:ind w:firstLineChars="200" w:firstLine="420"/>
        <w:rPr>
          <w:rFonts w:eastAsiaTheme="minorEastAsia"/>
          <w:color w:val="000000" w:themeColor="text1"/>
          <w:szCs w:val="21"/>
        </w:rPr>
      </w:pPr>
      <w:r>
        <w:rPr>
          <w:rFonts w:eastAsiaTheme="minorEastAsia"/>
          <w:color w:val="000000" w:themeColor="text1"/>
          <w:szCs w:val="21"/>
        </w:rPr>
        <w:t>（二）摩根尚睿混合型基金中基金</w:t>
      </w:r>
      <w:r>
        <w:rPr>
          <w:rFonts w:eastAsiaTheme="minorEastAsia"/>
          <w:color w:val="000000" w:themeColor="text1"/>
          <w:szCs w:val="21"/>
        </w:rPr>
        <w:t>(FOF)</w:t>
      </w:r>
      <w:r>
        <w:rPr>
          <w:rFonts w:eastAsiaTheme="minorEastAsia"/>
          <w:color w:val="000000" w:themeColor="text1"/>
          <w:szCs w:val="21"/>
        </w:rPr>
        <w:t>基金合同</w:t>
      </w:r>
    </w:p>
    <w:p w:rsidR="00E77327" w:rsidRDefault="002615A4">
      <w:pPr>
        <w:spacing w:line="360" w:lineRule="auto"/>
        <w:ind w:firstLineChars="200" w:firstLine="420"/>
        <w:rPr>
          <w:rFonts w:eastAsiaTheme="minorEastAsia"/>
          <w:color w:val="000000" w:themeColor="text1"/>
          <w:szCs w:val="21"/>
        </w:rPr>
      </w:pPr>
      <w:r>
        <w:rPr>
          <w:rFonts w:eastAsiaTheme="minorEastAsia"/>
          <w:color w:val="000000" w:themeColor="text1"/>
          <w:szCs w:val="21"/>
        </w:rPr>
        <w:t>（三）摩根尚睿混合型基金中基金</w:t>
      </w:r>
      <w:r>
        <w:rPr>
          <w:rFonts w:eastAsiaTheme="minorEastAsia"/>
          <w:color w:val="000000" w:themeColor="text1"/>
          <w:szCs w:val="21"/>
        </w:rPr>
        <w:t>(FOF)</w:t>
      </w:r>
      <w:r>
        <w:rPr>
          <w:rFonts w:eastAsiaTheme="minorEastAsia"/>
          <w:color w:val="000000" w:themeColor="text1"/>
          <w:szCs w:val="21"/>
        </w:rPr>
        <w:t>托管协议</w:t>
      </w:r>
    </w:p>
    <w:p w:rsidR="00E77327" w:rsidRDefault="002615A4">
      <w:pPr>
        <w:spacing w:line="360" w:lineRule="auto"/>
        <w:ind w:firstLineChars="200" w:firstLine="420"/>
        <w:rPr>
          <w:rFonts w:eastAsiaTheme="minorEastAsia"/>
          <w:color w:val="000000" w:themeColor="text1"/>
          <w:szCs w:val="21"/>
        </w:rPr>
      </w:pPr>
      <w:r>
        <w:rPr>
          <w:rFonts w:eastAsiaTheme="minorEastAsia"/>
          <w:color w:val="000000" w:themeColor="text1"/>
          <w:szCs w:val="21"/>
        </w:rPr>
        <w:t>（四）法律意见书</w:t>
      </w:r>
    </w:p>
    <w:p w:rsidR="00E77327" w:rsidRDefault="002615A4">
      <w:pPr>
        <w:spacing w:line="360" w:lineRule="auto"/>
        <w:ind w:firstLineChars="200" w:firstLine="420"/>
        <w:rPr>
          <w:rFonts w:eastAsiaTheme="minorEastAsia"/>
          <w:color w:val="000000" w:themeColor="text1"/>
          <w:szCs w:val="21"/>
        </w:rPr>
      </w:pPr>
      <w:r>
        <w:rPr>
          <w:rFonts w:eastAsiaTheme="minorEastAsia"/>
          <w:color w:val="000000" w:themeColor="text1"/>
          <w:szCs w:val="21"/>
        </w:rPr>
        <w:t>（五）基金管理人业务资格批件、营业执照</w:t>
      </w:r>
    </w:p>
    <w:p w:rsidR="00E77327" w:rsidRDefault="002615A4">
      <w:pPr>
        <w:spacing w:line="360" w:lineRule="auto"/>
        <w:ind w:firstLineChars="200" w:firstLine="420"/>
        <w:rPr>
          <w:rFonts w:eastAsiaTheme="minorEastAsia"/>
          <w:color w:val="000000" w:themeColor="text1"/>
          <w:szCs w:val="21"/>
        </w:rPr>
      </w:pPr>
      <w:r>
        <w:rPr>
          <w:rFonts w:eastAsiaTheme="minorEastAsia"/>
          <w:color w:val="000000" w:themeColor="text1"/>
          <w:szCs w:val="21"/>
        </w:rPr>
        <w:t>（六）基金托管人业务资格批件、营业执照</w:t>
      </w:r>
    </w:p>
    <w:p w:rsidR="00E77327" w:rsidRDefault="002615A4">
      <w:pPr>
        <w:spacing w:line="360" w:lineRule="auto"/>
        <w:ind w:firstLineChars="200" w:firstLine="420"/>
        <w:rPr>
          <w:rFonts w:eastAsiaTheme="minorEastAsia"/>
          <w:color w:val="000000" w:themeColor="text1"/>
          <w:szCs w:val="21"/>
        </w:rPr>
      </w:pPr>
      <w:r>
        <w:rPr>
          <w:rFonts w:eastAsiaTheme="minorEastAsia"/>
          <w:color w:val="000000" w:themeColor="text1"/>
          <w:szCs w:val="21"/>
        </w:rPr>
        <w:t>（七）摩根基金管理（中国）有限公司开放式基金业务规则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（八）中国证监会要求的其他文件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327" w:rsidRDefault="008B0327">
      <w:r>
        <w:separator/>
      </w:r>
    </w:p>
  </w:endnote>
  <w:endnote w:type="continuationSeparator" w:id="0">
    <w:p w:rsidR="008B0327" w:rsidRDefault="008B0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21A68">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21A68">
      <w:rPr>
        <w:noProof/>
        <w:kern w:val="0"/>
        <w:szCs w:val="21"/>
      </w:rPr>
      <w:t>16</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421A68">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327" w:rsidRDefault="008B0327">
      <w:r>
        <w:separator/>
      </w:r>
    </w:p>
  </w:footnote>
  <w:footnote w:type="continuationSeparator" w:id="0">
    <w:p w:rsidR="008B0327" w:rsidRDefault="008B0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摩根尚睿混合型基金中基金</w:t>
    </w:r>
    <w:r>
      <w:t>(FOF)2023</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5D1A"/>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0AC2"/>
    <w:rsid w:val="002615A4"/>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2C8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1A68"/>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30437"/>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36AE"/>
    <w:rsid w:val="006341E6"/>
    <w:rsid w:val="00634439"/>
    <w:rsid w:val="00634B21"/>
    <w:rsid w:val="006366C6"/>
    <w:rsid w:val="0063693D"/>
    <w:rsid w:val="00636B55"/>
    <w:rsid w:val="00636EB1"/>
    <w:rsid w:val="006373D6"/>
    <w:rsid w:val="006403D4"/>
    <w:rsid w:val="00642CBC"/>
    <w:rsid w:val="0064454A"/>
    <w:rsid w:val="00644F9C"/>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B4F9B"/>
    <w:rsid w:val="006C168D"/>
    <w:rsid w:val="006C4033"/>
    <w:rsid w:val="006C4F4B"/>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327"/>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691"/>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1100"/>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623C"/>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45886"/>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448"/>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49A"/>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2EB"/>
    <w:rsid w:val="00D873C4"/>
    <w:rsid w:val="00D90B73"/>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570"/>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77327"/>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952181">
      <w:bodyDiv w:val="1"/>
      <w:marLeft w:val="0"/>
      <w:marRight w:val="0"/>
      <w:marTop w:val="0"/>
      <w:marBottom w:val="0"/>
      <w:divBdr>
        <w:top w:val="none" w:sz="0" w:space="0" w:color="auto"/>
        <w:left w:val="none" w:sz="0" w:space="0" w:color="auto"/>
        <w:bottom w:val="none" w:sz="0" w:space="0" w:color="auto"/>
        <w:right w:val="none" w:sz="0" w:space="0" w:color="auto"/>
      </w:divBdr>
    </w:div>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175A39-4C37-4731-8052-670C462BF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57</TotalTime>
  <Pages>16</Pages>
  <Words>1404</Words>
  <Characters>8006</Characters>
  <Application>Microsoft Office Word</Application>
  <DocSecurity>0</DocSecurity>
  <Lines>66</Lines>
  <Paragraphs>18</Paragraphs>
  <ScaleCrop>false</ScaleCrop>
  <Company>TRT. Ltd. Co.</Company>
  <LinksUpToDate>false</LinksUpToDate>
  <CharactersWithSpaces>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Wenyu.Qiu@FA</cp:lastModifiedBy>
  <cp:revision>232</cp:revision>
  <cp:lastPrinted>2007-07-19T00:46:00Z</cp:lastPrinted>
  <dcterms:created xsi:type="dcterms:W3CDTF">2013-06-21T06:56:00Z</dcterms:created>
  <dcterms:modified xsi:type="dcterms:W3CDTF">2023-10-24T07:33:00Z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