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摩根尚睿混合型基金中基金</w:t>
      </w:r>
      <w:r w:rsidRPr="00B27A29">
        <w:rPr>
          <w:rFonts w:eastAsiaTheme="minorEastAsia"/>
          <w:b/>
          <w:color w:val="000000" w:themeColor="text1"/>
          <w:sz w:val="36"/>
          <w:szCs w:val="36"/>
        </w:rPr>
        <w:t>(FOF)</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034C99" w:rsidRDefault="001E56C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034C99" w:rsidRDefault="001E56C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034C99" w:rsidRDefault="001E56C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034C99" w:rsidRDefault="001E56C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034C99" w:rsidRDefault="001E56C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摩根尚睿混合</w:t>
            </w:r>
            <w:r w:rsidRPr="00B27A29">
              <w:rPr>
                <w:rFonts w:eastAsiaTheme="minorEastAsia"/>
                <w:color w:val="000000" w:themeColor="text1"/>
                <w:kern w:val="0"/>
                <w:szCs w:val="21"/>
              </w:rPr>
              <w:t>(FOF)</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006042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15</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39,139,843.33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通过优选基金，并结合严格的风险控制，实现基金资产的长期稳健增值。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034C99" w:rsidRDefault="001E56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034C99" w:rsidRDefault="001E56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在大类资产配置上，结合产品定位、风险收益特征以及管理人的长期资本市场观点确定基金的资产配置方案。</w:t>
            </w:r>
          </w:p>
          <w:p w:rsidR="00034C99" w:rsidRDefault="001E56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首先，管理人将根据基金业绩基准确定产品的风险收益特征。其次，根据投研团队的长期资本市场观点对各类型资产的风险收益特征进行判断。最后，结合本基金以及各资产类别的风险收益特征、现代投资组合理论，模拟得出各大类资产的长期战略配置比例。</w:t>
            </w:r>
          </w:p>
          <w:p w:rsidR="00034C99" w:rsidRDefault="001E56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密切关注市场风险的变化以及各资产类别的风险收益的相对变化趋势，适度调整中长期战略配置比例。当资本市场发生重大变化且管理人认为将影响各类资产的预期时，根据实际情况调整资产配置比例。</w:t>
            </w:r>
          </w:p>
          <w:p w:rsidR="00034C99" w:rsidRDefault="001E56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、主动管理型基金投资策略</w:t>
            </w:r>
          </w:p>
          <w:p w:rsidR="00034C99" w:rsidRDefault="001E56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综合运用定量分析和定性分析的方式，通过层层筛选，优选能持续创造超额收益的基金构建投资组合。</w:t>
            </w:r>
          </w:p>
          <w:p w:rsidR="00034C99" w:rsidRDefault="001E56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首先，通过初步的定量指标筛选出历史业绩表现良好、规模适中、流动性较好的基金。在初步筛选的基础上，进一步通过尽职调查在基金管理公司层面进行考察，形成基金筛选基础池。</w:t>
            </w:r>
          </w:p>
          <w:p w:rsidR="00034C99" w:rsidRDefault="001E56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其次，结合尽职调查结果以及公开数据，对基金经理进行深度访谈，筛选后将不同投资风格</w:t>
            </w:r>
            <w:r>
              <w:rPr>
                <w:rFonts w:eastAsiaTheme="minorEastAsia"/>
                <w:color w:val="000000" w:themeColor="text1"/>
                <w:kern w:val="0"/>
                <w:szCs w:val="21"/>
              </w:rPr>
              <w:t>/</w:t>
            </w:r>
            <w:r>
              <w:rPr>
                <w:rFonts w:eastAsiaTheme="minorEastAsia"/>
                <w:color w:val="000000" w:themeColor="text1"/>
                <w:kern w:val="0"/>
                <w:szCs w:val="21"/>
              </w:rPr>
              <w:t>策略的代表性基金列入未来基金构建投资组合的核心池。</w:t>
            </w:r>
          </w:p>
          <w:p w:rsidR="00034C99" w:rsidRDefault="001E56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本基金目前将主要投资于本基金管理人旗下的公募基金，并根据定量及定性分析策略优选标的基金。未来本基金管理人本着审慎尽职的原则，可将投资范围逐步扩展至其他管理人旗下的公募基金。</w:t>
            </w:r>
          </w:p>
          <w:p w:rsidR="00034C99" w:rsidRDefault="001E56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、指数基金投资策略</w:t>
            </w:r>
          </w:p>
          <w:p w:rsidR="00034C99" w:rsidRDefault="001E56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通过对国内外宏观经济、经济结构转型的方向、国家经济政策、产业政策导向的深入研究，优选中长期景气向好的指数基金进行配置。此外，基于对市场未来运行趋势和风格的预判，积极参与包括行业主题、风格或策略指数等在内的各类指数基金的投资，把握市场阶段性投资机会。</w:t>
            </w:r>
          </w:p>
          <w:p w:rsidR="00034C99" w:rsidRDefault="001E56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034C99" w:rsidRDefault="001E56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结合不同债券品种的到期收益率、流动性、市场规模等情况，并根据对债券收益率曲线形态、息差变化的预测，对债券组合进行动态调整。</w:t>
            </w:r>
          </w:p>
          <w:p w:rsidR="00034C99" w:rsidRDefault="001E56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、中小企业私募债投资策略</w:t>
            </w:r>
          </w:p>
          <w:p w:rsidR="00034C99" w:rsidRDefault="001E56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本基金对中小企业私募债的投资主要从自上而下判断景气周期和自下而上精选标的两个角度出发，结合信用分析和信用评估进行。</w:t>
            </w:r>
          </w:p>
          <w:p w:rsidR="00034C99" w:rsidRDefault="001E56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、证券公司短期公司债投资策略</w:t>
            </w:r>
          </w:p>
          <w:p w:rsidR="00034C99" w:rsidRDefault="001E56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主要从分析证券行业整体情况、证券公司基本面情况入手，分析证券公司短期公司债券的违约风险及合理的利差水平，对其进行独立、客观的价值评估。</w:t>
            </w:r>
          </w:p>
          <w:p w:rsidR="00034C99" w:rsidRDefault="001E56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、资产支持证券投资策略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综合考虑市场利率、发行条款、支持资产的构成及质量等因素，对资产支持证券的风险与收益状况进行评估，确定资产合理配置比例。</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本基金的业绩比较基准为：中证偏股型基金指数收益率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中证债券型基金指数收益率</w:t>
            </w:r>
            <w:r w:rsidRPr="00B27A29">
              <w:rPr>
                <w:rFonts w:eastAsiaTheme="minorEastAsia"/>
                <w:color w:val="000000" w:themeColor="text1"/>
                <w:kern w:val="0"/>
                <w:szCs w:val="21"/>
              </w:rPr>
              <w:t>*15%+</w:t>
            </w:r>
            <w:r w:rsidRPr="00B27A29">
              <w:rPr>
                <w:rFonts w:eastAsiaTheme="minorEastAsia"/>
                <w:color w:val="000000" w:themeColor="text1"/>
                <w:kern w:val="0"/>
                <w:szCs w:val="21"/>
              </w:rPr>
              <w:t>活期存款利率（税后）</w:t>
            </w:r>
            <w:r w:rsidRPr="00B27A29">
              <w:rPr>
                <w:rFonts w:eastAsiaTheme="minorEastAsia"/>
                <w:color w:val="000000" w:themeColor="text1"/>
                <w:kern w:val="0"/>
                <w:szCs w:val="21"/>
              </w:rPr>
              <w:t>*5%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034C99" w:rsidRDefault="001E56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本基金属于混合型基金中基金，预期风险和收益水平低于股票型基金，高于债券型和货币市场基金，属于较高风险收益水平的基金产品。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006042</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015054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32,597,768.78</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6,542,074.55</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-828,478.34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-114,032.18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-2,384,099.31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-259,680.11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-0.0726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-0.0592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35,711,810.71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7,090,656.29</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1.0955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1.0839</w:t>
            </w:r>
          </w:p>
        </w:tc>
      </w:tr>
    </w:tbl>
    <w:p w:rsidR="00034C99" w:rsidRDefault="001E56C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摩根尚睿混合</w:t>
      </w:r>
      <w:r w:rsidRPr="00B27A29">
        <w:rPr>
          <w:rFonts w:eastAsiaTheme="minorEastAsia"/>
          <w:b/>
          <w:color w:val="000000" w:themeColor="text1"/>
          <w:kern w:val="0"/>
          <w:szCs w:val="21"/>
        </w:rPr>
        <w:t>(FOF)A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34C99">
        <w:tc>
          <w:tcPr>
            <w:tcW w:w="1290" w:type="dxa"/>
            <w:vAlign w:val="center"/>
          </w:tcPr>
          <w:p w:rsidR="00034C99" w:rsidRDefault="001E56CF">
            <w:pPr>
              <w:jc w:val="left"/>
            </w:pPr>
            <w:r>
              <w:rPr>
                <w:rFonts w:eastAsiaTheme="minorEastAsia"/>
                <w:color w:val="000000" w:themeColor="text1"/>
                <w:szCs w:val="21"/>
              </w:rPr>
              <w:t>过去三个月</w:t>
            </w:r>
          </w:p>
        </w:tc>
        <w:tc>
          <w:tcPr>
            <w:tcW w:w="1291" w:type="dxa"/>
            <w:vAlign w:val="center"/>
          </w:tcPr>
          <w:p w:rsidR="00034C99" w:rsidRDefault="001E56CF">
            <w:pPr>
              <w:jc w:val="right"/>
            </w:pPr>
            <w:r>
              <w:rPr>
                <w:rFonts w:eastAsiaTheme="minorEastAsia"/>
                <w:color w:val="000000" w:themeColor="text1"/>
                <w:szCs w:val="21"/>
              </w:rPr>
              <w:t>-6.22%</w:t>
            </w:r>
          </w:p>
        </w:tc>
        <w:tc>
          <w:tcPr>
            <w:tcW w:w="1291" w:type="dxa"/>
            <w:vAlign w:val="center"/>
          </w:tcPr>
          <w:p w:rsidR="00034C99" w:rsidRDefault="001E56CF">
            <w:pPr>
              <w:jc w:val="right"/>
            </w:pPr>
            <w:r>
              <w:rPr>
                <w:rFonts w:eastAsiaTheme="minorEastAsia"/>
                <w:color w:val="000000" w:themeColor="text1"/>
                <w:szCs w:val="21"/>
              </w:rPr>
              <w:t>0.78%</w:t>
            </w:r>
          </w:p>
        </w:tc>
        <w:tc>
          <w:tcPr>
            <w:tcW w:w="1291" w:type="dxa"/>
            <w:vAlign w:val="center"/>
          </w:tcPr>
          <w:p w:rsidR="00034C99" w:rsidRDefault="001E56CF">
            <w:pPr>
              <w:jc w:val="right"/>
            </w:pPr>
            <w:r>
              <w:rPr>
                <w:rFonts w:eastAsiaTheme="minorEastAsia"/>
                <w:color w:val="000000" w:themeColor="text1"/>
                <w:szCs w:val="21"/>
              </w:rPr>
              <w:t>-4.10%</w:t>
            </w:r>
          </w:p>
        </w:tc>
        <w:tc>
          <w:tcPr>
            <w:tcW w:w="1291" w:type="dxa"/>
            <w:vAlign w:val="center"/>
          </w:tcPr>
          <w:p w:rsidR="00034C99" w:rsidRDefault="001E56CF">
            <w:pPr>
              <w:jc w:val="right"/>
            </w:pPr>
            <w:r>
              <w:rPr>
                <w:rFonts w:eastAsiaTheme="minorEastAsia"/>
                <w:color w:val="000000" w:themeColor="text1"/>
                <w:szCs w:val="21"/>
              </w:rPr>
              <w:t>0.65%</w:t>
            </w:r>
          </w:p>
        </w:tc>
        <w:tc>
          <w:tcPr>
            <w:tcW w:w="1291" w:type="dxa"/>
            <w:vAlign w:val="center"/>
          </w:tcPr>
          <w:p w:rsidR="00034C99" w:rsidRDefault="001E56CF">
            <w:pPr>
              <w:jc w:val="right"/>
            </w:pPr>
            <w:r>
              <w:rPr>
                <w:rFonts w:eastAsiaTheme="minorEastAsia"/>
                <w:color w:val="000000" w:themeColor="text1"/>
                <w:szCs w:val="21"/>
              </w:rPr>
              <w:t>-2.12%</w:t>
            </w:r>
          </w:p>
        </w:tc>
        <w:tc>
          <w:tcPr>
            <w:tcW w:w="1291" w:type="dxa"/>
            <w:vAlign w:val="center"/>
          </w:tcPr>
          <w:p w:rsidR="00034C99" w:rsidRDefault="001E56CF">
            <w:pPr>
              <w:jc w:val="right"/>
            </w:pPr>
            <w:r>
              <w:rPr>
                <w:rFonts w:eastAsiaTheme="minorEastAsia"/>
                <w:color w:val="000000" w:themeColor="text1"/>
                <w:szCs w:val="21"/>
              </w:rPr>
              <w:t>0.13%</w:t>
            </w:r>
          </w:p>
        </w:tc>
      </w:tr>
      <w:tr w:rsidR="00034C99">
        <w:tc>
          <w:tcPr>
            <w:tcW w:w="1290" w:type="dxa"/>
            <w:vAlign w:val="center"/>
          </w:tcPr>
          <w:p w:rsidR="00034C99" w:rsidRDefault="001E56CF">
            <w:pPr>
              <w:jc w:val="left"/>
            </w:pPr>
            <w:r>
              <w:rPr>
                <w:rFonts w:eastAsiaTheme="minorEastAsia"/>
                <w:color w:val="000000" w:themeColor="text1"/>
                <w:szCs w:val="21"/>
              </w:rPr>
              <w:t>过去六个月</w:t>
            </w:r>
          </w:p>
        </w:tc>
        <w:tc>
          <w:tcPr>
            <w:tcW w:w="1291" w:type="dxa"/>
            <w:vAlign w:val="center"/>
          </w:tcPr>
          <w:p w:rsidR="00034C99" w:rsidRDefault="001E56CF">
            <w:pPr>
              <w:jc w:val="right"/>
            </w:pPr>
            <w:r>
              <w:rPr>
                <w:rFonts w:eastAsiaTheme="minorEastAsia"/>
                <w:color w:val="000000" w:themeColor="text1"/>
                <w:szCs w:val="21"/>
              </w:rPr>
              <w:t>-10.81%</w:t>
            </w:r>
          </w:p>
        </w:tc>
        <w:tc>
          <w:tcPr>
            <w:tcW w:w="1291" w:type="dxa"/>
            <w:vAlign w:val="center"/>
          </w:tcPr>
          <w:p w:rsidR="00034C99" w:rsidRDefault="001E56CF">
            <w:pPr>
              <w:jc w:val="right"/>
            </w:pPr>
            <w:r>
              <w:rPr>
                <w:rFonts w:eastAsiaTheme="minorEastAsia"/>
                <w:color w:val="000000" w:themeColor="text1"/>
                <w:szCs w:val="21"/>
              </w:rPr>
              <w:t>0.81%</w:t>
            </w:r>
          </w:p>
        </w:tc>
        <w:tc>
          <w:tcPr>
            <w:tcW w:w="1291" w:type="dxa"/>
            <w:vAlign w:val="center"/>
          </w:tcPr>
          <w:p w:rsidR="00034C99" w:rsidRDefault="001E56CF">
            <w:pPr>
              <w:jc w:val="right"/>
            </w:pPr>
            <w:r>
              <w:rPr>
                <w:rFonts w:eastAsiaTheme="minorEastAsia"/>
                <w:color w:val="000000" w:themeColor="text1"/>
                <w:szCs w:val="21"/>
              </w:rPr>
              <w:t>-8.99%</w:t>
            </w:r>
          </w:p>
        </w:tc>
        <w:tc>
          <w:tcPr>
            <w:tcW w:w="1291" w:type="dxa"/>
            <w:vAlign w:val="center"/>
          </w:tcPr>
          <w:p w:rsidR="00034C99" w:rsidRDefault="001E56CF">
            <w:pPr>
              <w:jc w:val="right"/>
            </w:pPr>
            <w:r>
              <w:rPr>
                <w:rFonts w:eastAsiaTheme="minorEastAsia"/>
                <w:color w:val="000000" w:themeColor="text1"/>
                <w:szCs w:val="21"/>
              </w:rPr>
              <w:t>0.66%</w:t>
            </w:r>
          </w:p>
        </w:tc>
        <w:tc>
          <w:tcPr>
            <w:tcW w:w="1291" w:type="dxa"/>
            <w:vAlign w:val="center"/>
          </w:tcPr>
          <w:p w:rsidR="00034C99" w:rsidRDefault="001E56CF">
            <w:pPr>
              <w:jc w:val="right"/>
            </w:pPr>
            <w:r>
              <w:rPr>
                <w:rFonts w:eastAsiaTheme="minorEastAsia"/>
                <w:color w:val="000000" w:themeColor="text1"/>
                <w:szCs w:val="21"/>
              </w:rPr>
              <w:t>-1.82%</w:t>
            </w:r>
          </w:p>
        </w:tc>
        <w:tc>
          <w:tcPr>
            <w:tcW w:w="1291" w:type="dxa"/>
            <w:vAlign w:val="center"/>
          </w:tcPr>
          <w:p w:rsidR="00034C99" w:rsidRDefault="001E56CF">
            <w:pPr>
              <w:jc w:val="right"/>
            </w:pPr>
            <w:r>
              <w:rPr>
                <w:rFonts w:eastAsiaTheme="minorEastAsia"/>
                <w:color w:val="000000" w:themeColor="text1"/>
                <w:szCs w:val="21"/>
              </w:rPr>
              <w:t>0.15%</w:t>
            </w:r>
          </w:p>
        </w:tc>
      </w:tr>
      <w:tr w:rsidR="00034C99">
        <w:tc>
          <w:tcPr>
            <w:tcW w:w="1290" w:type="dxa"/>
            <w:vAlign w:val="center"/>
          </w:tcPr>
          <w:p w:rsidR="00034C99" w:rsidRDefault="001E56CF">
            <w:pPr>
              <w:jc w:val="left"/>
            </w:pPr>
            <w:r>
              <w:rPr>
                <w:rFonts w:eastAsiaTheme="minorEastAsia"/>
                <w:color w:val="000000" w:themeColor="text1"/>
                <w:szCs w:val="21"/>
              </w:rPr>
              <w:t>过去一年</w:t>
            </w:r>
          </w:p>
        </w:tc>
        <w:tc>
          <w:tcPr>
            <w:tcW w:w="1291" w:type="dxa"/>
            <w:vAlign w:val="center"/>
          </w:tcPr>
          <w:p w:rsidR="00034C99" w:rsidRDefault="001E56CF">
            <w:pPr>
              <w:jc w:val="right"/>
            </w:pPr>
            <w:r>
              <w:rPr>
                <w:rFonts w:eastAsiaTheme="minorEastAsia"/>
                <w:color w:val="000000" w:themeColor="text1"/>
                <w:szCs w:val="21"/>
              </w:rPr>
              <w:t>-10.35%</w:t>
            </w:r>
          </w:p>
        </w:tc>
        <w:tc>
          <w:tcPr>
            <w:tcW w:w="1291" w:type="dxa"/>
            <w:vAlign w:val="center"/>
          </w:tcPr>
          <w:p w:rsidR="00034C99" w:rsidRDefault="001E56CF">
            <w:pPr>
              <w:jc w:val="right"/>
            </w:pPr>
            <w:r>
              <w:rPr>
                <w:rFonts w:eastAsiaTheme="minorEastAsia"/>
                <w:color w:val="000000" w:themeColor="text1"/>
                <w:szCs w:val="21"/>
              </w:rPr>
              <w:t>0.77%</w:t>
            </w:r>
          </w:p>
        </w:tc>
        <w:tc>
          <w:tcPr>
            <w:tcW w:w="1291" w:type="dxa"/>
            <w:vAlign w:val="center"/>
          </w:tcPr>
          <w:p w:rsidR="00034C99" w:rsidRDefault="00653113">
            <w:pPr>
              <w:jc w:val="right"/>
            </w:pPr>
            <w:r w:rsidRPr="00653113">
              <w:rPr>
                <w:rFonts w:eastAsiaTheme="minorEastAsia"/>
                <w:color w:val="000000" w:themeColor="text1"/>
                <w:szCs w:val="21"/>
              </w:rPr>
              <w:t>-11.78</w:t>
            </w:r>
            <w:r w:rsidR="001E56CF">
              <w:rPr>
                <w:rFonts w:eastAsiaTheme="minorEastAsia"/>
                <w:color w:val="000000" w:themeColor="text1"/>
                <w:szCs w:val="21"/>
              </w:rPr>
              <w:t>%</w:t>
            </w:r>
          </w:p>
        </w:tc>
        <w:tc>
          <w:tcPr>
            <w:tcW w:w="1291" w:type="dxa"/>
            <w:vAlign w:val="center"/>
          </w:tcPr>
          <w:p w:rsidR="00034C99" w:rsidRDefault="001E56CF">
            <w:pPr>
              <w:jc w:val="right"/>
            </w:pPr>
            <w:r>
              <w:rPr>
                <w:rFonts w:eastAsiaTheme="minorEastAsia"/>
                <w:color w:val="000000" w:themeColor="text1"/>
                <w:szCs w:val="21"/>
              </w:rPr>
              <w:t>0.62%</w:t>
            </w:r>
          </w:p>
        </w:tc>
        <w:tc>
          <w:tcPr>
            <w:tcW w:w="1291" w:type="dxa"/>
            <w:vAlign w:val="center"/>
          </w:tcPr>
          <w:p w:rsidR="00034C99" w:rsidRDefault="00653113">
            <w:pPr>
              <w:jc w:val="right"/>
            </w:pPr>
            <w:r w:rsidRPr="00653113">
              <w:rPr>
                <w:rFonts w:eastAsiaTheme="minorEastAsia"/>
                <w:color w:val="000000" w:themeColor="text1"/>
                <w:szCs w:val="21"/>
              </w:rPr>
              <w:t>1.43</w:t>
            </w:r>
            <w:r w:rsidR="001E56CF">
              <w:rPr>
                <w:rFonts w:eastAsiaTheme="minorEastAsia"/>
                <w:color w:val="000000" w:themeColor="text1"/>
                <w:szCs w:val="21"/>
              </w:rPr>
              <w:t>%</w:t>
            </w:r>
          </w:p>
        </w:tc>
        <w:tc>
          <w:tcPr>
            <w:tcW w:w="1291" w:type="dxa"/>
            <w:vAlign w:val="center"/>
          </w:tcPr>
          <w:p w:rsidR="00034C99" w:rsidRDefault="001E56CF">
            <w:pPr>
              <w:jc w:val="right"/>
            </w:pPr>
            <w:r>
              <w:rPr>
                <w:rFonts w:eastAsiaTheme="minorEastAsia"/>
                <w:color w:val="000000" w:themeColor="text1"/>
                <w:szCs w:val="21"/>
              </w:rPr>
              <w:t>0.15%</w:t>
            </w:r>
          </w:p>
        </w:tc>
      </w:tr>
      <w:tr w:rsidR="00034C99">
        <w:tc>
          <w:tcPr>
            <w:tcW w:w="1290" w:type="dxa"/>
            <w:vAlign w:val="center"/>
          </w:tcPr>
          <w:p w:rsidR="00034C99" w:rsidRDefault="001E56CF">
            <w:pPr>
              <w:jc w:val="left"/>
            </w:pPr>
            <w:r>
              <w:rPr>
                <w:rFonts w:eastAsiaTheme="minorEastAsia"/>
                <w:color w:val="000000" w:themeColor="text1"/>
                <w:szCs w:val="21"/>
              </w:rPr>
              <w:t>过去三年</w:t>
            </w:r>
          </w:p>
        </w:tc>
        <w:tc>
          <w:tcPr>
            <w:tcW w:w="1291" w:type="dxa"/>
            <w:vAlign w:val="center"/>
          </w:tcPr>
          <w:p w:rsidR="00034C99" w:rsidRDefault="001E56CF">
            <w:pPr>
              <w:jc w:val="right"/>
            </w:pPr>
            <w:r>
              <w:rPr>
                <w:rFonts w:eastAsiaTheme="minorEastAsia"/>
                <w:color w:val="000000" w:themeColor="text1"/>
                <w:szCs w:val="21"/>
              </w:rPr>
              <w:t>-23.74%</w:t>
            </w:r>
          </w:p>
        </w:tc>
        <w:tc>
          <w:tcPr>
            <w:tcW w:w="1291" w:type="dxa"/>
            <w:vAlign w:val="center"/>
          </w:tcPr>
          <w:p w:rsidR="00034C99" w:rsidRDefault="001E56CF">
            <w:pPr>
              <w:jc w:val="right"/>
            </w:pPr>
            <w:r>
              <w:rPr>
                <w:rFonts w:eastAsiaTheme="minorEastAsia"/>
                <w:color w:val="000000" w:themeColor="text1"/>
                <w:szCs w:val="21"/>
              </w:rPr>
              <w:t>0.84%</w:t>
            </w:r>
          </w:p>
        </w:tc>
        <w:tc>
          <w:tcPr>
            <w:tcW w:w="1291" w:type="dxa"/>
            <w:vAlign w:val="center"/>
          </w:tcPr>
          <w:p w:rsidR="00034C99" w:rsidRDefault="00653113">
            <w:pPr>
              <w:jc w:val="right"/>
            </w:pPr>
            <w:r w:rsidRPr="00653113">
              <w:rPr>
                <w:rFonts w:eastAsiaTheme="minorEastAsia"/>
                <w:color w:val="000000" w:themeColor="text1"/>
                <w:szCs w:val="21"/>
              </w:rPr>
              <w:t>-20.74</w:t>
            </w:r>
            <w:r w:rsidR="001E56CF">
              <w:rPr>
                <w:rFonts w:eastAsiaTheme="minorEastAsia"/>
                <w:color w:val="000000" w:themeColor="text1"/>
                <w:szCs w:val="21"/>
              </w:rPr>
              <w:t>%</w:t>
            </w:r>
          </w:p>
        </w:tc>
        <w:tc>
          <w:tcPr>
            <w:tcW w:w="1291" w:type="dxa"/>
            <w:vAlign w:val="center"/>
          </w:tcPr>
          <w:p w:rsidR="00034C99" w:rsidRDefault="001E56CF">
            <w:pPr>
              <w:jc w:val="right"/>
            </w:pPr>
            <w:r>
              <w:rPr>
                <w:rFonts w:eastAsiaTheme="minorEastAsia"/>
                <w:color w:val="000000" w:themeColor="text1"/>
                <w:szCs w:val="21"/>
              </w:rPr>
              <w:t>0.68%</w:t>
            </w:r>
          </w:p>
        </w:tc>
        <w:tc>
          <w:tcPr>
            <w:tcW w:w="1291" w:type="dxa"/>
            <w:vAlign w:val="center"/>
          </w:tcPr>
          <w:p w:rsidR="00034C99" w:rsidRDefault="00653113">
            <w:pPr>
              <w:jc w:val="right"/>
            </w:pPr>
            <w:r w:rsidRPr="00653113">
              <w:rPr>
                <w:rFonts w:eastAsiaTheme="minorEastAsia"/>
                <w:color w:val="000000" w:themeColor="text1"/>
                <w:szCs w:val="21"/>
              </w:rPr>
              <w:t>-3.00</w:t>
            </w:r>
            <w:r w:rsidR="001E56CF">
              <w:rPr>
                <w:rFonts w:eastAsiaTheme="minorEastAsia"/>
                <w:color w:val="000000" w:themeColor="text1"/>
                <w:szCs w:val="21"/>
              </w:rPr>
              <w:t>%</w:t>
            </w:r>
          </w:p>
        </w:tc>
        <w:tc>
          <w:tcPr>
            <w:tcW w:w="1291" w:type="dxa"/>
            <w:vAlign w:val="center"/>
          </w:tcPr>
          <w:p w:rsidR="00034C99" w:rsidRDefault="001E56CF">
            <w:pPr>
              <w:jc w:val="right"/>
            </w:pPr>
            <w:r>
              <w:rPr>
                <w:rFonts w:eastAsiaTheme="minorEastAsia"/>
                <w:color w:val="000000" w:themeColor="text1"/>
                <w:szCs w:val="21"/>
              </w:rPr>
              <w:t>0.16%</w:t>
            </w:r>
          </w:p>
        </w:tc>
      </w:tr>
      <w:tr w:rsidR="00034C99">
        <w:tc>
          <w:tcPr>
            <w:tcW w:w="1290" w:type="dxa"/>
            <w:vAlign w:val="center"/>
          </w:tcPr>
          <w:p w:rsidR="00034C99" w:rsidRDefault="001E56CF">
            <w:pPr>
              <w:jc w:val="left"/>
            </w:pPr>
            <w:r>
              <w:rPr>
                <w:rFonts w:eastAsiaTheme="minorEastAsia"/>
                <w:color w:val="000000" w:themeColor="text1"/>
                <w:szCs w:val="21"/>
              </w:rPr>
              <w:t>过去五年</w:t>
            </w:r>
          </w:p>
        </w:tc>
        <w:tc>
          <w:tcPr>
            <w:tcW w:w="1291" w:type="dxa"/>
            <w:vAlign w:val="center"/>
          </w:tcPr>
          <w:p w:rsidR="00034C99" w:rsidRDefault="001E56CF">
            <w:pPr>
              <w:jc w:val="right"/>
            </w:pPr>
            <w:r>
              <w:rPr>
                <w:rFonts w:eastAsiaTheme="minorEastAsia"/>
                <w:color w:val="000000" w:themeColor="text1"/>
                <w:szCs w:val="21"/>
              </w:rPr>
              <w:t>11.59%</w:t>
            </w:r>
          </w:p>
        </w:tc>
        <w:tc>
          <w:tcPr>
            <w:tcW w:w="1291" w:type="dxa"/>
            <w:vAlign w:val="center"/>
          </w:tcPr>
          <w:p w:rsidR="00034C99" w:rsidRDefault="001E56CF">
            <w:pPr>
              <w:jc w:val="right"/>
            </w:pPr>
            <w:r>
              <w:rPr>
                <w:rFonts w:eastAsiaTheme="minorEastAsia"/>
                <w:color w:val="000000" w:themeColor="text1"/>
                <w:szCs w:val="21"/>
              </w:rPr>
              <w:t>0.83%</w:t>
            </w:r>
          </w:p>
        </w:tc>
        <w:tc>
          <w:tcPr>
            <w:tcW w:w="1291" w:type="dxa"/>
            <w:vAlign w:val="center"/>
          </w:tcPr>
          <w:p w:rsidR="00034C99" w:rsidRDefault="00653113">
            <w:pPr>
              <w:jc w:val="right"/>
            </w:pPr>
            <w:r w:rsidRPr="00653113">
              <w:rPr>
                <w:rFonts w:eastAsiaTheme="minorEastAsia"/>
                <w:color w:val="000000" w:themeColor="text1"/>
                <w:szCs w:val="21"/>
              </w:rPr>
              <w:t>11.07</w:t>
            </w:r>
            <w:r w:rsidR="001E56CF">
              <w:rPr>
                <w:rFonts w:eastAsiaTheme="minorEastAsia"/>
                <w:color w:val="000000" w:themeColor="text1"/>
                <w:szCs w:val="21"/>
              </w:rPr>
              <w:t>%</w:t>
            </w:r>
          </w:p>
        </w:tc>
        <w:tc>
          <w:tcPr>
            <w:tcW w:w="1291" w:type="dxa"/>
            <w:vAlign w:val="center"/>
          </w:tcPr>
          <w:p w:rsidR="00034C99" w:rsidRDefault="001E56CF">
            <w:pPr>
              <w:jc w:val="right"/>
            </w:pPr>
            <w:r>
              <w:rPr>
                <w:rFonts w:eastAsiaTheme="minorEastAsia"/>
                <w:color w:val="000000" w:themeColor="text1"/>
                <w:szCs w:val="21"/>
              </w:rPr>
              <w:t>0.73%</w:t>
            </w:r>
          </w:p>
        </w:tc>
        <w:tc>
          <w:tcPr>
            <w:tcW w:w="1291" w:type="dxa"/>
            <w:vAlign w:val="center"/>
          </w:tcPr>
          <w:p w:rsidR="00034C99" w:rsidRDefault="00653113">
            <w:pPr>
              <w:jc w:val="right"/>
            </w:pPr>
            <w:r w:rsidRPr="00653113">
              <w:rPr>
                <w:rFonts w:eastAsiaTheme="minorEastAsia"/>
                <w:color w:val="000000" w:themeColor="text1"/>
                <w:szCs w:val="21"/>
              </w:rPr>
              <w:t>0.52</w:t>
            </w:r>
            <w:r w:rsidR="001E56CF">
              <w:rPr>
                <w:rFonts w:eastAsiaTheme="minorEastAsia"/>
                <w:color w:val="000000" w:themeColor="text1"/>
                <w:szCs w:val="21"/>
              </w:rPr>
              <w:t>%</w:t>
            </w:r>
          </w:p>
        </w:tc>
        <w:tc>
          <w:tcPr>
            <w:tcW w:w="1291" w:type="dxa"/>
            <w:vAlign w:val="center"/>
          </w:tcPr>
          <w:p w:rsidR="00034C99" w:rsidRDefault="001E56CF">
            <w:pPr>
              <w:jc w:val="right"/>
            </w:pPr>
            <w:r>
              <w:rPr>
                <w:rFonts w:eastAsiaTheme="minorEastAsia"/>
                <w:color w:val="000000" w:themeColor="text1"/>
                <w:szCs w:val="21"/>
              </w:rPr>
              <w:t>0.10%</w:t>
            </w:r>
          </w:p>
        </w:tc>
      </w:tr>
      <w:tr w:rsidR="00034C99">
        <w:tc>
          <w:tcPr>
            <w:tcW w:w="1290" w:type="dxa"/>
            <w:vAlign w:val="center"/>
          </w:tcPr>
          <w:p w:rsidR="00034C99" w:rsidRDefault="001E56CF">
            <w:pPr>
              <w:jc w:val="left"/>
            </w:pPr>
            <w:r>
              <w:rPr>
                <w:rFonts w:eastAsiaTheme="minorEastAsia"/>
                <w:color w:val="000000" w:themeColor="text1"/>
                <w:szCs w:val="21"/>
              </w:rPr>
              <w:t>自基金合同生效起至今</w:t>
            </w:r>
          </w:p>
        </w:tc>
        <w:tc>
          <w:tcPr>
            <w:tcW w:w="1291" w:type="dxa"/>
            <w:vAlign w:val="center"/>
          </w:tcPr>
          <w:p w:rsidR="00034C99" w:rsidRDefault="001E56CF">
            <w:pPr>
              <w:jc w:val="right"/>
            </w:pPr>
            <w:r>
              <w:rPr>
                <w:rFonts w:eastAsiaTheme="minorEastAsia"/>
                <w:color w:val="000000" w:themeColor="text1"/>
                <w:szCs w:val="21"/>
              </w:rPr>
              <w:t>9.55%</w:t>
            </w:r>
          </w:p>
        </w:tc>
        <w:tc>
          <w:tcPr>
            <w:tcW w:w="1291" w:type="dxa"/>
            <w:vAlign w:val="center"/>
          </w:tcPr>
          <w:p w:rsidR="00034C99" w:rsidRDefault="001E56CF">
            <w:pPr>
              <w:jc w:val="right"/>
            </w:pPr>
            <w:r>
              <w:rPr>
                <w:rFonts w:eastAsiaTheme="minorEastAsia"/>
                <w:color w:val="000000" w:themeColor="text1"/>
                <w:szCs w:val="21"/>
              </w:rPr>
              <w:t>0.80%</w:t>
            </w:r>
          </w:p>
        </w:tc>
        <w:tc>
          <w:tcPr>
            <w:tcW w:w="1291" w:type="dxa"/>
            <w:vAlign w:val="center"/>
          </w:tcPr>
          <w:p w:rsidR="00034C99" w:rsidRDefault="00653113">
            <w:pPr>
              <w:jc w:val="right"/>
            </w:pPr>
            <w:r w:rsidRPr="00653113">
              <w:rPr>
                <w:rFonts w:eastAsiaTheme="minorEastAsia"/>
                <w:color w:val="000000" w:themeColor="text1"/>
                <w:szCs w:val="21"/>
              </w:rPr>
              <w:t>3.33</w:t>
            </w:r>
            <w:r w:rsidR="001E56CF">
              <w:rPr>
                <w:rFonts w:eastAsiaTheme="minorEastAsia"/>
                <w:color w:val="000000" w:themeColor="text1"/>
                <w:szCs w:val="21"/>
              </w:rPr>
              <w:t>%</w:t>
            </w:r>
          </w:p>
        </w:tc>
        <w:tc>
          <w:tcPr>
            <w:tcW w:w="1291" w:type="dxa"/>
            <w:vAlign w:val="center"/>
          </w:tcPr>
          <w:p w:rsidR="00034C99" w:rsidRDefault="001E56CF">
            <w:pPr>
              <w:jc w:val="right"/>
            </w:pPr>
            <w:r>
              <w:rPr>
                <w:rFonts w:eastAsiaTheme="minorEastAsia"/>
                <w:color w:val="000000" w:themeColor="text1"/>
                <w:szCs w:val="21"/>
              </w:rPr>
              <w:t>0.75%</w:t>
            </w:r>
          </w:p>
        </w:tc>
        <w:tc>
          <w:tcPr>
            <w:tcW w:w="1291" w:type="dxa"/>
            <w:vAlign w:val="center"/>
          </w:tcPr>
          <w:p w:rsidR="00034C99" w:rsidRDefault="00653113">
            <w:pPr>
              <w:jc w:val="right"/>
            </w:pPr>
            <w:r w:rsidRPr="00653113">
              <w:rPr>
                <w:rFonts w:eastAsiaTheme="minorEastAsia"/>
                <w:color w:val="000000" w:themeColor="text1"/>
                <w:szCs w:val="21"/>
              </w:rPr>
              <w:t>6.22</w:t>
            </w:r>
            <w:r w:rsidR="001E56CF">
              <w:rPr>
                <w:rFonts w:eastAsiaTheme="minorEastAsia"/>
                <w:color w:val="000000" w:themeColor="text1"/>
                <w:szCs w:val="21"/>
              </w:rPr>
              <w:t>%</w:t>
            </w:r>
          </w:p>
        </w:tc>
        <w:tc>
          <w:tcPr>
            <w:tcW w:w="1291" w:type="dxa"/>
            <w:vAlign w:val="center"/>
          </w:tcPr>
          <w:p w:rsidR="00034C99" w:rsidRDefault="001E56CF">
            <w:pPr>
              <w:jc w:val="right"/>
            </w:pPr>
            <w:r>
              <w:rPr>
                <w:rFonts w:eastAsiaTheme="minorEastAsia"/>
                <w:color w:val="000000" w:themeColor="text1"/>
                <w:szCs w:val="21"/>
              </w:rPr>
              <w:t>0.05%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摩根尚睿混合</w:t>
      </w:r>
      <w:r w:rsidRPr="00B27A29">
        <w:rPr>
          <w:rFonts w:eastAsiaTheme="minorEastAsia"/>
          <w:b/>
          <w:color w:val="000000" w:themeColor="text1"/>
          <w:kern w:val="0"/>
          <w:szCs w:val="21"/>
        </w:rPr>
        <w:t>(FOF)C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34C99">
        <w:tc>
          <w:tcPr>
            <w:tcW w:w="1290" w:type="dxa"/>
            <w:vAlign w:val="center"/>
          </w:tcPr>
          <w:p w:rsidR="00034C99" w:rsidRDefault="001E56CF">
            <w:pPr>
              <w:jc w:val="left"/>
            </w:pPr>
            <w:r>
              <w:rPr>
                <w:rFonts w:eastAsiaTheme="minorEastAsia"/>
                <w:color w:val="000000" w:themeColor="text1"/>
                <w:szCs w:val="21"/>
              </w:rPr>
              <w:t>过去三个月</w:t>
            </w:r>
          </w:p>
        </w:tc>
        <w:tc>
          <w:tcPr>
            <w:tcW w:w="1291" w:type="dxa"/>
            <w:vAlign w:val="center"/>
          </w:tcPr>
          <w:p w:rsidR="00034C99" w:rsidRDefault="001E56CF">
            <w:pPr>
              <w:jc w:val="right"/>
            </w:pPr>
            <w:r>
              <w:rPr>
                <w:rFonts w:eastAsiaTheme="minorEastAsia"/>
                <w:color w:val="000000" w:themeColor="text1"/>
                <w:szCs w:val="21"/>
              </w:rPr>
              <w:t>-6.35%</w:t>
            </w:r>
          </w:p>
        </w:tc>
        <w:tc>
          <w:tcPr>
            <w:tcW w:w="1291" w:type="dxa"/>
            <w:vAlign w:val="center"/>
          </w:tcPr>
          <w:p w:rsidR="00034C99" w:rsidRDefault="001E56CF">
            <w:pPr>
              <w:jc w:val="right"/>
            </w:pPr>
            <w:r>
              <w:rPr>
                <w:rFonts w:eastAsiaTheme="minorEastAsia"/>
                <w:color w:val="000000" w:themeColor="text1"/>
                <w:szCs w:val="21"/>
              </w:rPr>
              <w:t>0.78%</w:t>
            </w:r>
          </w:p>
        </w:tc>
        <w:tc>
          <w:tcPr>
            <w:tcW w:w="1291" w:type="dxa"/>
            <w:vAlign w:val="center"/>
          </w:tcPr>
          <w:p w:rsidR="00034C99" w:rsidRDefault="001E56CF">
            <w:pPr>
              <w:jc w:val="right"/>
            </w:pPr>
            <w:r>
              <w:rPr>
                <w:rFonts w:eastAsiaTheme="minorEastAsia"/>
                <w:color w:val="000000" w:themeColor="text1"/>
                <w:szCs w:val="21"/>
              </w:rPr>
              <w:t>-4.10%</w:t>
            </w:r>
          </w:p>
        </w:tc>
        <w:tc>
          <w:tcPr>
            <w:tcW w:w="1291" w:type="dxa"/>
            <w:vAlign w:val="center"/>
          </w:tcPr>
          <w:p w:rsidR="00034C99" w:rsidRDefault="001E56CF">
            <w:pPr>
              <w:jc w:val="right"/>
            </w:pPr>
            <w:r>
              <w:rPr>
                <w:rFonts w:eastAsiaTheme="minorEastAsia"/>
                <w:color w:val="000000" w:themeColor="text1"/>
                <w:szCs w:val="21"/>
              </w:rPr>
              <w:t>0.65%</w:t>
            </w:r>
          </w:p>
        </w:tc>
        <w:tc>
          <w:tcPr>
            <w:tcW w:w="1291" w:type="dxa"/>
            <w:vAlign w:val="center"/>
          </w:tcPr>
          <w:p w:rsidR="00034C99" w:rsidRDefault="001E56CF">
            <w:pPr>
              <w:jc w:val="right"/>
            </w:pPr>
            <w:r>
              <w:rPr>
                <w:rFonts w:eastAsiaTheme="minorEastAsia"/>
                <w:color w:val="000000" w:themeColor="text1"/>
                <w:szCs w:val="21"/>
              </w:rPr>
              <w:t>-2.25%</w:t>
            </w:r>
          </w:p>
        </w:tc>
        <w:tc>
          <w:tcPr>
            <w:tcW w:w="1291" w:type="dxa"/>
            <w:vAlign w:val="center"/>
          </w:tcPr>
          <w:p w:rsidR="00034C99" w:rsidRDefault="001E56CF">
            <w:pPr>
              <w:jc w:val="right"/>
            </w:pPr>
            <w:r>
              <w:rPr>
                <w:rFonts w:eastAsiaTheme="minorEastAsia"/>
                <w:color w:val="000000" w:themeColor="text1"/>
                <w:szCs w:val="21"/>
              </w:rPr>
              <w:t>0.13%</w:t>
            </w:r>
          </w:p>
        </w:tc>
      </w:tr>
      <w:tr w:rsidR="00034C99">
        <w:tc>
          <w:tcPr>
            <w:tcW w:w="1290" w:type="dxa"/>
            <w:vAlign w:val="center"/>
          </w:tcPr>
          <w:p w:rsidR="00034C99" w:rsidRDefault="001E56CF">
            <w:pPr>
              <w:jc w:val="left"/>
            </w:pPr>
            <w:r>
              <w:rPr>
                <w:rFonts w:eastAsiaTheme="minorEastAsia"/>
                <w:color w:val="000000" w:themeColor="text1"/>
                <w:szCs w:val="21"/>
              </w:rPr>
              <w:t>过去六个月</w:t>
            </w:r>
          </w:p>
        </w:tc>
        <w:tc>
          <w:tcPr>
            <w:tcW w:w="1291" w:type="dxa"/>
            <w:vAlign w:val="center"/>
          </w:tcPr>
          <w:p w:rsidR="00034C99" w:rsidRDefault="001E56CF">
            <w:pPr>
              <w:jc w:val="right"/>
            </w:pPr>
            <w:r>
              <w:rPr>
                <w:rFonts w:eastAsiaTheme="minorEastAsia"/>
                <w:color w:val="000000" w:themeColor="text1"/>
                <w:szCs w:val="21"/>
              </w:rPr>
              <w:t>-11.08%</w:t>
            </w:r>
          </w:p>
        </w:tc>
        <w:tc>
          <w:tcPr>
            <w:tcW w:w="1291" w:type="dxa"/>
            <w:vAlign w:val="center"/>
          </w:tcPr>
          <w:p w:rsidR="00034C99" w:rsidRDefault="001E56CF">
            <w:pPr>
              <w:jc w:val="right"/>
            </w:pPr>
            <w:r>
              <w:rPr>
                <w:rFonts w:eastAsiaTheme="minorEastAsia"/>
                <w:color w:val="000000" w:themeColor="text1"/>
                <w:szCs w:val="21"/>
              </w:rPr>
              <w:t>0.81%</w:t>
            </w:r>
          </w:p>
        </w:tc>
        <w:tc>
          <w:tcPr>
            <w:tcW w:w="1291" w:type="dxa"/>
            <w:vAlign w:val="center"/>
          </w:tcPr>
          <w:p w:rsidR="00034C99" w:rsidRDefault="001E56CF">
            <w:pPr>
              <w:jc w:val="right"/>
            </w:pPr>
            <w:r>
              <w:rPr>
                <w:rFonts w:eastAsiaTheme="minorEastAsia"/>
                <w:color w:val="000000" w:themeColor="text1"/>
                <w:szCs w:val="21"/>
              </w:rPr>
              <w:t>-8.99%</w:t>
            </w:r>
          </w:p>
        </w:tc>
        <w:tc>
          <w:tcPr>
            <w:tcW w:w="1291" w:type="dxa"/>
            <w:vAlign w:val="center"/>
          </w:tcPr>
          <w:p w:rsidR="00034C99" w:rsidRDefault="001E56CF">
            <w:pPr>
              <w:jc w:val="right"/>
            </w:pPr>
            <w:r>
              <w:rPr>
                <w:rFonts w:eastAsiaTheme="minorEastAsia"/>
                <w:color w:val="000000" w:themeColor="text1"/>
                <w:szCs w:val="21"/>
              </w:rPr>
              <w:t>0.66%</w:t>
            </w:r>
          </w:p>
        </w:tc>
        <w:tc>
          <w:tcPr>
            <w:tcW w:w="1291" w:type="dxa"/>
            <w:vAlign w:val="center"/>
          </w:tcPr>
          <w:p w:rsidR="00034C99" w:rsidRDefault="001E56CF">
            <w:pPr>
              <w:jc w:val="right"/>
            </w:pPr>
            <w:r>
              <w:rPr>
                <w:rFonts w:eastAsiaTheme="minorEastAsia"/>
                <w:color w:val="000000" w:themeColor="text1"/>
                <w:szCs w:val="21"/>
              </w:rPr>
              <w:t>-2.09%</w:t>
            </w:r>
          </w:p>
        </w:tc>
        <w:tc>
          <w:tcPr>
            <w:tcW w:w="1291" w:type="dxa"/>
            <w:vAlign w:val="center"/>
          </w:tcPr>
          <w:p w:rsidR="00034C99" w:rsidRDefault="001E56CF">
            <w:pPr>
              <w:jc w:val="right"/>
            </w:pPr>
            <w:r>
              <w:rPr>
                <w:rFonts w:eastAsiaTheme="minorEastAsia"/>
                <w:color w:val="000000" w:themeColor="text1"/>
                <w:szCs w:val="21"/>
              </w:rPr>
              <w:t>0.15%</w:t>
            </w:r>
          </w:p>
        </w:tc>
      </w:tr>
      <w:tr w:rsidR="00034C99">
        <w:tc>
          <w:tcPr>
            <w:tcW w:w="1290" w:type="dxa"/>
            <w:vAlign w:val="center"/>
          </w:tcPr>
          <w:p w:rsidR="00034C99" w:rsidRDefault="001E56CF">
            <w:pPr>
              <w:jc w:val="left"/>
            </w:pPr>
            <w:r>
              <w:rPr>
                <w:rFonts w:eastAsiaTheme="minorEastAsia"/>
                <w:color w:val="000000" w:themeColor="text1"/>
                <w:szCs w:val="21"/>
              </w:rPr>
              <w:t>过去一年</w:t>
            </w:r>
          </w:p>
        </w:tc>
        <w:tc>
          <w:tcPr>
            <w:tcW w:w="1291" w:type="dxa"/>
            <w:vAlign w:val="center"/>
          </w:tcPr>
          <w:p w:rsidR="00034C99" w:rsidRDefault="001E56CF">
            <w:pPr>
              <w:jc w:val="right"/>
            </w:pPr>
            <w:r>
              <w:rPr>
                <w:rFonts w:eastAsiaTheme="minorEastAsia"/>
                <w:color w:val="000000" w:themeColor="text1"/>
                <w:szCs w:val="21"/>
              </w:rPr>
              <w:t>-10.88%</w:t>
            </w:r>
          </w:p>
        </w:tc>
        <w:tc>
          <w:tcPr>
            <w:tcW w:w="1291" w:type="dxa"/>
            <w:vAlign w:val="center"/>
          </w:tcPr>
          <w:p w:rsidR="00034C99" w:rsidRDefault="001E56CF">
            <w:pPr>
              <w:jc w:val="right"/>
            </w:pPr>
            <w:r>
              <w:rPr>
                <w:rFonts w:eastAsiaTheme="minorEastAsia"/>
                <w:color w:val="000000" w:themeColor="text1"/>
                <w:szCs w:val="21"/>
              </w:rPr>
              <w:t>0.77%</w:t>
            </w:r>
          </w:p>
        </w:tc>
        <w:tc>
          <w:tcPr>
            <w:tcW w:w="1291" w:type="dxa"/>
            <w:vAlign w:val="center"/>
          </w:tcPr>
          <w:p w:rsidR="00034C99" w:rsidRDefault="00653113">
            <w:pPr>
              <w:jc w:val="right"/>
            </w:pPr>
            <w:r w:rsidRPr="00653113">
              <w:rPr>
                <w:rFonts w:eastAsiaTheme="minorEastAsia"/>
                <w:color w:val="000000" w:themeColor="text1"/>
                <w:szCs w:val="21"/>
              </w:rPr>
              <w:t>-11.78</w:t>
            </w:r>
            <w:r w:rsidR="001E56CF">
              <w:rPr>
                <w:rFonts w:eastAsiaTheme="minorEastAsia"/>
                <w:color w:val="000000" w:themeColor="text1"/>
                <w:szCs w:val="21"/>
              </w:rPr>
              <w:t>%</w:t>
            </w:r>
          </w:p>
        </w:tc>
        <w:tc>
          <w:tcPr>
            <w:tcW w:w="1291" w:type="dxa"/>
            <w:vAlign w:val="center"/>
          </w:tcPr>
          <w:p w:rsidR="00034C99" w:rsidRDefault="001E56CF">
            <w:pPr>
              <w:jc w:val="right"/>
            </w:pPr>
            <w:r>
              <w:rPr>
                <w:rFonts w:eastAsiaTheme="minorEastAsia"/>
                <w:color w:val="000000" w:themeColor="text1"/>
                <w:szCs w:val="21"/>
              </w:rPr>
              <w:t>0.62%</w:t>
            </w:r>
          </w:p>
        </w:tc>
        <w:tc>
          <w:tcPr>
            <w:tcW w:w="1291" w:type="dxa"/>
            <w:vAlign w:val="center"/>
          </w:tcPr>
          <w:p w:rsidR="00034C99" w:rsidRDefault="00653113">
            <w:pPr>
              <w:jc w:val="right"/>
            </w:pPr>
            <w:r w:rsidRPr="00653113">
              <w:rPr>
                <w:rFonts w:eastAsiaTheme="minorEastAsia"/>
                <w:color w:val="000000" w:themeColor="text1"/>
                <w:szCs w:val="21"/>
              </w:rPr>
              <w:t>0.90</w:t>
            </w:r>
            <w:r w:rsidR="001E56CF">
              <w:rPr>
                <w:rFonts w:eastAsiaTheme="minorEastAsia"/>
                <w:color w:val="000000" w:themeColor="text1"/>
                <w:szCs w:val="21"/>
              </w:rPr>
              <w:t>%</w:t>
            </w:r>
          </w:p>
        </w:tc>
        <w:tc>
          <w:tcPr>
            <w:tcW w:w="1291" w:type="dxa"/>
            <w:vAlign w:val="center"/>
          </w:tcPr>
          <w:p w:rsidR="00034C99" w:rsidRDefault="001E56CF">
            <w:pPr>
              <w:jc w:val="right"/>
            </w:pPr>
            <w:r>
              <w:rPr>
                <w:rFonts w:eastAsiaTheme="minorEastAsia"/>
                <w:color w:val="000000" w:themeColor="text1"/>
                <w:szCs w:val="21"/>
              </w:rPr>
              <w:t>0.15%</w:t>
            </w:r>
          </w:p>
        </w:tc>
      </w:tr>
      <w:tr w:rsidR="00034C99">
        <w:tc>
          <w:tcPr>
            <w:tcW w:w="1290" w:type="dxa"/>
            <w:vAlign w:val="center"/>
          </w:tcPr>
          <w:p w:rsidR="00034C99" w:rsidRDefault="001E56CF">
            <w:pPr>
              <w:jc w:val="left"/>
            </w:pPr>
            <w:r>
              <w:rPr>
                <w:rFonts w:eastAsiaTheme="minorEastAsia"/>
                <w:color w:val="000000" w:themeColor="text1"/>
                <w:szCs w:val="21"/>
              </w:rPr>
              <w:t>过去三年</w:t>
            </w:r>
          </w:p>
        </w:tc>
        <w:tc>
          <w:tcPr>
            <w:tcW w:w="1291" w:type="dxa"/>
            <w:vAlign w:val="center"/>
          </w:tcPr>
          <w:p w:rsidR="00034C99" w:rsidRDefault="001E56CF">
            <w:pPr>
              <w:jc w:val="right"/>
            </w:pPr>
            <w:r>
              <w:rPr>
                <w:rFonts w:eastAsiaTheme="minorEastAsia"/>
                <w:color w:val="000000" w:themeColor="text1"/>
                <w:szCs w:val="21"/>
              </w:rPr>
              <w:t>-</w:t>
            </w:r>
          </w:p>
        </w:tc>
        <w:tc>
          <w:tcPr>
            <w:tcW w:w="1291" w:type="dxa"/>
            <w:vAlign w:val="center"/>
          </w:tcPr>
          <w:p w:rsidR="00034C99" w:rsidRDefault="001E56CF">
            <w:pPr>
              <w:jc w:val="right"/>
            </w:pPr>
            <w:r>
              <w:rPr>
                <w:rFonts w:eastAsiaTheme="minorEastAsia"/>
                <w:color w:val="000000" w:themeColor="text1"/>
                <w:szCs w:val="21"/>
              </w:rPr>
              <w:t>-</w:t>
            </w:r>
          </w:p>
        </w:tc>
        <w:tc>
          <w:tcPr>
            <w:tcW w:w="1291" w:type="dxa"/>
            <w:vAlign w:val="center"/>
          </w:tcPr>
          <w:p w:rsidR="00034C99" w:rsidRDefault="001E56CF">
            <w:pPr>
              <w:jc w:val="right"/>
            </w:pPr>
            <w:r>
              <w:rPr>
                <w:rFonts w:eastAsiaTheme="minorEastAsia"/>
                <w:color w:val="000000" w:themeColor="text1"/>
                <w:szCs w:val="21"/>
              </w:rPr>
              <w:t>-</w:t>
            </w:r>
          </w:p>
        </w:tc>
        <w:tc>
          <w:tcPr>
            <w:tcW w:w="1291" w:type="dxa"/>
            <w:vAlign w:val="center"/>
          </w:tcPr>
          <w:p w:rsidR="00034C99" w:rsidRDefault="001E56CF">
            <w:pPr>
              <w:jc w:val="right"/>
            </w:pPr>
            <w:r>
              <w:rPr>
                <w:rFonts w:eastAsiaTheme="minorEastAsia"/>
                <w:color w:val="000000" w:themeColor="text1"/>
                <w:szCs w:val="21"/>
              </w:rPr>
              <w:t>-</w:t>
            </w:r>
          </w:p>
        </w:tc>
        <w:tc>
          <w:tcPr>
            <w:tcW w:w="1291" w:type="dxa"/>
            <w:vAlign w:val="center"/>
          </w:tcPr>
          <w:p w:rsidR="00034C99" w:rsidRDefault="001E56CF">
            <w:pPr>
              <w:jc w:val="right"/>
            </w:pPr>
            <w:r>
              <w:rPr>
                <w:rFonts w:eastAsiaTheme="minorEastAsia"/>
                <w:color w:val="000000" w:themeColor="text1"/>
                <w:szCs w:val="21"/>
              </w:rPr>
              <w:t>-</w:t>
            </w:r>
          </w:p>
        </w:tc>
        <w:tc>
          <w:tcPr>
            <w:tcW w:w="1291" w:type="dxa"/>
            <w:vAlign w:val="center"/>
          </w:tcPr>
          <w:p w:rsidR="00034C99" w:rsidRDefault="001E56CF">
            <w:pPr>
              <w:jc w:val="right"/>
            </w:pPr>
            <w:r>
              <w:rPr>
                <w:rFonts w:eastAsiaTheme="minorEastAsia"/>
                <w:color w:val="000000" w:themeColor="text1"/>
                <w:szCs w:val="21"/>
              </w:rPr>
              <w:t>-</w:t>
            </w:r>
          </w:p>
        </w:tc>
      </w:tr>
      <w:tr w:rsidR="00034C99">
        <w:tc>
          <w:tcPr>
            <w:tcW w:w="1290" w:type="dxa"/>
            <w:vAlign w:val="center"/>
          </w:tcPr>
          <w:p w:rsidR="00034C99" w:rsidRDefault="001E56CF">
            <w:pPr>
              <w:jc w:val="left"/>
            </w:pPr>
            <w:r>
              <w:rPr>
                <w:rFonts w:eastAsiaTheme="minorEastAsia"/>
                <w:color w:val="000000" w:themeColor="text1"/>
                <w:szCs w:val="21"/>
              </w:rPr>
              <w:t>过去五年</w:t>
            </w:r>
          </w:p>
        </w:tc>
        <w:tc>
          <w:tcPr>
            <w:tcW w:w="1291" w:type="dxa"/>
            <w:vAlign w:val="center"/>
          </w:tcPr>
          <w:p w:rsidR="00034C99" w:rsidRDefault="001E56CF">
            <w:pPr>
              <w:jc w:val="right"/>
            </w:pPr>
            <w:r>
              <w:rPr>
                <w:rFonts w:eastAsiaTheme="minorEastAsia"/>
                <w:color w:val="000000" w:themeColor="text1"/>
                <w:szCs w:val="21"/>
              </w:rPr>
              <w:t>-</w:t>
            </w:r>
          </w:p>
        </w:tc>
        <w:tc>
          <w:tcPr>
            <w:tcW w:w="1291" w:type="dxa"/>
            <w:vAlign w:val="center"/>
          </w:tcPr>
          <w:p w:rsidR="00034C99" w:rsidRDefault="001E56CF">
            <w:pPr>
              <w:jc w:val="right"/>
            </w:pPr>
            <w:r>
              <w:rPr>
                <w:rFonts w:eastAsiaTheme="minorEastAsia"/>
                <w:color w:val="000000" w:themeColor="text1"/>
                <w:szCs w:val="21"/>
              </w:rPr>
              <w:t>-</w:t>
            </w:r>
          </w:p>
        </w:tc>
        <w:tc>
          <w:tcPr>
            <w:tcW w:w="1291" w:type="dxa"/>
            <w:vAlign w:val="center"/>
          </w:tcPr>
          <w:p w:rsidR="00034C99" w:rsidRDefault="001E56CF">
            <w:pPr>
              <w:jc w:val="right"/>
            </w:pPr>
            <w:r>
              <w:rPr>
                <w:rFonts w:eastAsiaTheme="minorEastAsia"/>
                <w:color w:val="000000" w:themeColor="text1"/>
                <w:szCs w:val="21"/>
              </w:rPr>
              <w:t>-</w:t>
            </w:r>
          </w:p>
        </w:tc>
        <w:tc>
          <w:tcPr>
            <w:tcW w:w="1291" w:type="dxa"/>
            <w:vAlign w:val="center"/>
          </w:tcPr>
          <w:p w:rsidR="00034C99" w:rsidRDefault="001E56CF">
            <w:pPr>
              <w:jc w:val="right"/>
            </w:pPr>
            <w:r>
              <w:rPr>
                <w:rFonts w:eastAsiaTheme="minorEastAsia"/>
                <w:color w:val="000000" w:themeColor="text1"/>
                <w:szCs w:val="21"/>
              </w:rPr>
              <w:t>-</w:t>
            </w:r>
          </w:p>
        </w:tc>
        <w:tc>
          <w:tcPr>
            <w:tcW w:w="1291" w:type="dxa"/>
            <w:vAlign w:val="center"/>
          </w:tcPr>
          <w:p w:rsidR="00034C99" w:rsidRDefault="001E56CF">
            <w:pPr>
              <w:jc w:val="right"/>
            </w:pPr>
            <w:r>
              <w:rPr>
                <w:rFonts w:eastAsiaTheme="minorEastAsia"/>
                <w:color w:val="000000" w:themeColor="text1"/>
                <w:szCs w:val="21"/>
              </w:rPr>
              <w:t>-</w:t>
            </w:r>
          </w:p>
        </w:tc>
        <w:tc>
          <w:tcPr>
            <w:tcW w:w="1291" w:type="dxa"/>
            <w:vAlign w:val="center"/>
          </w:tcPr>
          <w:p w:rsidR="00034C99" w:rsidRDefault="001E56CF">
            <w:pPr>
              <w:jc w:val="right"/>
            </w:pPr>
            <w:r>
              <w:rPr>
                <w:rFonts w:eastAsiaTheme="minorEastAsia"/>
                <w:color w:val="000000" w:themeColor="text1"/>
                <w:szCs w:val="21"/>
              </w:rPr>
              <w:t>-</w:t>
            </w:r>
          </w:p>
        </w:tc>
      </w:tr>
      <w:tr w:rsidR="00034C99">
        <w:tc>
          <w:tcPr>
            <w:tcW w:w="1290" w:type="dxa"/>
            <w:vAlign w:val="center"/>
          </w:tcPr>
          <w:p w:rsidR="00034C99" w:rsidRDefault="001E56CF">
            <w:pPr>
              <w:jc w:val="left"/>
            </w:pPr>
            <w:r>
              <w:rPr>
                <w:rFonts w:eastAsiaTheme="minorEastAsia"/>
                <w:color w:val="000000" w:themeColor="text1"/>
                <w:szCs w:val="21"/>
              </w:rPr>
              <w:t>自基金合同生效起至今</w:t>
            </w:r>
          </w:p>
        </w:tc>
        <w:tc>
          <w:tcPr>
            <w:tcW w:w="1291" w:type="dxa"/>
            <w:vAlign w:val="center"/>
          </w:tcPr>
          <w:p w:rsidR="00034C99" w:rsidRDefault="001E56CF">
            <w:pPr>
              <w:jc w:val="right"/>
            </w:pPr>
            <w:r>
              <w:rPr>
                <w:rFonts w:eastAsiaTheme="minorEastAsia"/>
                <w:color w:val="000000" w:themeColor="text1"/>
                <w:szCs w:val="21"/>
              </w:rPr>
              <w:t>-23.31%</w:t>
            </w:r>
          </w:p>
        </w:tc>
        <w:tc>
          <w:tcPr>
            <w:tcW w:w="1291" w:type="dxa"/>
            <w:vAlign w:val="center"/>
          </w:tcPr>
          <w:p w:rsidR="00034C99" w:rsidRDefault="001E56CF">
            <w:pPr>
              <w:jc w:val="right"/>
            </w:pPr>
            <w:r>
              <w:rPr>
                <w:rFonts w:eastAsiaTheme="minorEastAsia"/>
                <w:color w:val="000000" w:themeColor="text1"/>
                <w:szCs w:val="21"/>
              </w:rPr>
              <w:t>0.87%</w:t>
            </w:r>
          </w:p>
        </w:tc>
        <w:tc>
          <w:tcPr>
            <w:tcW w:w="1291" w:type="dxa"/>
            <w:vAlign w:val="center"/>
          </w:tcPr>
          <w:p w:rsidR="00034C99" w:rsidRDefault="00653113">
            <w:pPr>
              <w:jc w:val="right"/>
            </w:pPr>
            <w:r w:rsidRPr="00653113">
              <w:rPr>
                <w:rFonts w:eastAsiaTheme="minorEastAsia"/>
                <w:color w:val="000000" w:themeColor="text1"/>
                <w:szCs w:val="21"/>
              </w:rPr>
              <w:t>-19.70</w:t>
            </w:r>
            <w:r w:rsidR="001E56CF">
              <w:rPr>
                <w:rFonts w:eastAsiaTheme="minorEastAsia"/>
                <w:color w:val="000000" w:themeColor="text1"/>
                <w:szCs w:val="21"/>
              </w:rPr>
              <w:t>%</w:t>
            </w:r>
          </w:p>
        </w:tc>
        <w:tc>
          <w:tcPr>
            <w:tcW w:w="1291" w:type="dxa"/>
            <w:vAlign w:val="center"/>
          </w:tcPr>
          <w:p w:rsidR="00034C99" w:rsidRDefault="001E56CF">
            <w:pPr>
              <w:jc w:val="right"/>
            </w:pPr>
            <w:r>
              <w:rPr>
                <w:rFonts w:eastAsiaTheme="minorEastAsia"/>
                <w:color w:val="000000" w:themeColor="text1"/>
                <w:szCs w:val="21"/>
              </w:rPr>
              <w:t>0.70%</w:t>
            </w:r>
          </w:p>
        </w:tc>
        <w:tc>
          <w:tcPr>
            <w:tcW w:w="1291" w:type="dxa"/>
            <w:vAlign w:val="center"/>
          </w:tcPr>
          <w:p w:rsidR="00034C99" w:rsidRDefault="00653113">
            <w:pPr>
              <w:jc w:val="right"/>
            </w:pPr>
            <w:r w:rsidRPr="00653113">
              <w:rPr>
                <w:rFonts w:eastAsiaTheme="minorEastAsia"/>
                <w:color w:val="000000" w:themeColor="text1"/>
                <w:szCs w:val="21"/>
              </w:rPr>
              <w:t>-3.61</w:t>
            </w:r>
            <w:r w:rsidR="001E56CF">
              <w:rPr>
                <w:rFonts w:eastAsiaTheme="minorEastAsia"/>
                <w:color w:val="000000" w:themeColor="text1"/>
                <w:szCs w:val="21"/>
              </w:rPr>
              <w:t>%</w:t>
            </w:r>
          </w:p>
        </w:tc>
        <w:tc>
          <w:tcPr>
            <w:tcW w:w="1291" w:type="dxa"/>
            <w:vAlign w:val="center"/>
          </w:tcPr>
          <w:p w:rsidR="00034C99" w:rsidRDefault="001E56CF">
            <w:pPr>
              <w:jc w:val="right"/>
            </w:pPr>
            <w:r>
              <w:rPr>
                <w:rFonts w:eastAsiaTheme="minorEastAsia"/>
                <w:color w:val="000000" w:themeColor="text1"/>
                <w:szCs w:val="21"/>
              </w:rPr>
              <w:t>0.17%</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摩根尚睿混合型基金中基金</w:t>
      </w:r>
      <w:r w:rsidRPr="00B27A29">
        <w:rPr>
          <w:rFonts w:eastAsiaTheme="minorEastAsia"/>
          <w:color w:val="000000" w:themeColor="text1"/>
          <w:szCs w:val="21"/>
        </w:rPr>
        <w:t>(FOF)</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．摩根尚睿混合</w:t>
      </w:r>
      <w:r w:rsidRPr="00B27A29">
        <w:rPr>
          <w:rFonts w:eastAsiaTheme="minorEastAsia"/>
          <w:color w:val="000000" w:themeColor="text1"/>
          <w:szCs w:val="21"/>
        </w:rPr>
        <w:t>(FOF)A</w:t>
      </w:r>
      <w:r w:rsidRPr="00B27A29">
        <w:rPr>
          <w:rFonts w:eastAsiaTheme="minorEastAsia"/>
          <w:color w:val="000000" w:themeColor="text1"/>
          <w:szCs w:val="21"/>
        </w:rPr>
        <w:t>：</w:t>
      </w:r>
    </w:p>
    <w:p w:rsidR="005E6DF3" w:rsidRPr="00B27A29" w:rsidRDefault="00781573">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78873C9" wp14:editId="28CEC82D">
            <wp:extent cx="5591175" cy="3276600"/>
            <wp:effectExtent l="0" t="0" r="0" b="0"/>
            <wp:docPr id="4" name="图片 4"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34C99" w:rsidRDefault="001E56C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日，图示的时间段为合同生效日至本报告期末。</w:t>
      </w:r>
    </w:p>
    <w:p w:rsidR="00034C99" w:rsidRDefault="001E56C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2</w:t>
      </w:r>
      <w:r w:rsidRPr="00B27A29">
        <w:rPr>
          <w:rFonts w:eastAsiaTheme="minorEastAsia"/>
          <w:color w:val="000000" w:themeColor="text1"/>
          <w:szCs w:val="21"/>
        </w:rPr>
        <w:t>月</w:t>
      </w:r>
      <w:r w:rsidRPr="00B27A29">
        <w:rPr>
          <w:rFonts w:eastAsiaTheme="minorEastAsia"/>
          <w:color w:val="000000" w:themeColor="text1"/>
          <w:szCs w:val="21"/>
        </w:rPr>
        <w:t>14</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中证</w:t>
      </w:r>
      <w:r w:rsidRPr="00B27A29">
        <w:rPr>
          <w:rFonts w:eastAsiaTheme="minorEastAsia"/>
          <w:color w:val="000000" w:themeColor="text1"/>
          <w:szCs w:val="21"/>
        </w:rPr>
        <w:t xml:space="preserve"> 800 </w:t>
      </w:r>
      <w:r w:rsidRPr="00B27A29">
        <w:rPr>
          <w:rFonts w:eastAsiaTheme="minorEastAsia"/>
          <w:color w:val="000000" w:themeColor="text1"/>
          <w:szCs w:val="21"/>
        </w:rPr>
        <w:t>指数收益率</w:t>
      </w:r>
      <w:r w:rsidRPr="00B27A29">
        <w:rPr>
          <w:rFonts w:eastAsiaTheme="minorEastAsia"/>
          <w:color w:val="000000" w:themeColor="text1"/>
          <w:szCs w:val="21"/>
        </w:rPr>
        <w:t>*60%+</w:t>
      </w:r>
      <w:r w:rsidRPr="00B27A29">
        <w:rPr>
          <w:rFonts w:eastAsiaTheme="minorEastAsia"/>
          <w:color w:val="000000" w:themeColor="text1"/>
          <w:szCs w:val="21"/>
        </w:rPr>
        <w:t>中证综合债指数收益率</w:t>
      </w:r>
      <w:r w:rsidRPr="00B27A29">
        <w:rPr>
          <w:rFonts w:eastAsiaTheme="minorEastAsia"/>
          <w:color w:val="000000" w:themeColor="text1"/>
          <w:szCs w:val="21"/>
        </w:rPr>
        <w:t>*40%”</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中证偏股型基金指数收益率</w:t>
      </w:r>
      <w:r w:rsidRPr="00B27A29">
        <w:rPr>
          <w:rFonts w:eastAsiaTheme="minorEastAsia"/>
          <w:color w:val="000000" w:themeColor="text1"/>
          <w:szCs w:val="21"/>
        </w:rPr>
        <w:t>*80%+</w:t>
      </w:r>
      <w:r w:rsidRPr="00B27A29">
        <w:rPr>
          <w:rFonts w:eastAsiaTheme="minorEastAsia"/>
          <w:color w:val="000000" w:themeColor="text1"/>
          <w:szCs w:val="21"/>
        </w:rPr>
        <w:t>中证债券型基金指数收益率</w:t>
      </w:r>
      <w:r w:rsidRPr="00B27A29">
        <w:rPr>
          <w:rFonts w:eastAsiaTheme="minorEastAsia"/>
          <w:color w:val="000000" w:themeColor="text1"/>
          <w:szCs w:val="21"/>
        </w:rPr>
        <w:t>*15%+</w:t>
      </w:r>
      <w:r w:rsidRPr="00B27A29">
        <w:rPr>
          <w:rFonts w:eastAsiaTheme="minorEastAsia"/>
          <w:color w:val="000000" w:themeColor="text1"/>
          <w:szCs w:val="21"/>
        </w:rPr>
        <w:t>活期存款利率（税后）</w:t>
      </w:r>
      <w:r w:rsidRPr="00B27A29">
        <w:rPr>
          <w:rFonts w:eastAsiaTheme="minorEastAsia"/>
          <w:color w:val="000000" w:themeColor="text1"/>
          <w:szCs w:val="21"/>
        </w:rPr>
        <w:t>*5%”</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．摩根尚睿混合</w:t>
      </w:r>
      <w:r w:rsidRPr="00B27A29">
        <w:rPr>
          <w:rFonts w:eastAsiaTheme="minorEastAsia"/>
          <w:color w:val="000000" w:themeColor="text1"/>
          <w:szCs w:val="21"/>
        </w:rPr>
        <w:t>(FOF)C</w:t>
      </w:r>
      <w:r w:rsidRPr="00B27A29">
        <w:rPr>
          <w:rFonts w:eastAsiaTheme="minorEastAsia"/>
          <w:color w:val="000000" w:themeColor="text1"/>
          <w:szCs w:val="21"/>
        </w:rPr>
        <w:t>：</w:t>
      </w:r>
    </w:p>
    <w:p w:rsidR="005E6DF3" w:rsidRPr="00B27A29" w:rsidRDefault="00781573">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743D4BCD" wp14:editId="6E91E3AB">
            <wp:extent cx="5591175" cy="3276600"/>
            <wp:effectExtent l="0" t="0" r="0" b="0"/>
            <wp:docPr id="1" name="图片 1"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34C99" w:rsidRDefault="001E56C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034C99" w:rsidRDefault="001E56C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2</w:t>
      </w:r>
      <w:r w:rsidRPr="00B27A29">
        <w:rPr>
          <w:rFonts w:eastAsiaTheme="minorEastAsia"/>
          <w:color w:val="000000" w:themeColor="text1"/>
          <w:szCs w:val="21"/>
        </w:rPr>
        <w:t>月</w:t>
      </w:r>
      <w:r w:rsidRPr="00B27A29">
        <w:rPr>
          <w:rFonts w:eastAsiaTheme="minorEastAsia"/>
          <w:color w:val="000000" w:themeColor="text1"/>
          <w:szCs w:val="21"/>
        </w:rPr>
        <w:t>14</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中证</w:t>
      </w:r>
      <w:r w:rsidRPr="00B27A29">
        <w:rPr>
          <w:rFonts w:eastAsiaTheme="minorEastAsia"/>
          <w:color w:val="000000" w:themeColor="text1"/>
          <w:szCs w:val="21"/>
        </w:rPr>
        <w:t xml:space="preserve"> 800 </w:t>
      </w:r>
      <w:r w:rsidRPr="00B27A29">
        <w:rPr>
          <w:rFonts w:eastAsiaTheme="minorEastAsia"/>
          <w:color w:val="000000" w:themeColor="text1"/>
          <w:szCs w:val="21"/>
        </w:rPr>
        <w:t>指数收益率</w:t>
      </w:r>
      <w:r w:rsidRPr="00B27A29">
        <w:rPr>
          <w:rFonts w:eastAsiaTheme="minorEastAsia"/>
          <w:color w:val="000000" w:themeColor="text1"/>
          <w:szCs w:val="21"/>
        </w:rPr>
        <w:t>*60%+</w:t>
      </w:r>
      <w:r w:rsidRPr="00B27A29">
        <w:rPr>
          <w:rFonts w:eastAsiaTheme="minorEastAsia"/>
          <w:color w:val="000000" w:themeColor="text1"/>
          <w:szCs w:val="21"/>
        </w:rPr>
        <w:t>中证综合债指数收益率</w:t>
      </w:r>
      <w:r w:rsidRPr="00B27A29">
        <w:rPr>
          <w:rFonts w:eastAsiaTheme="minorEastAsia"/>
          <w:color w:val="000000" w:themeColor="text1"/>
          <w:szCs w:val="21"/>
        </w:rPr>
        <w:t>*40%”</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中证偏股型基金指数收益率</w:t>
      </w:r>
      <w:r w:rsidRPr="00B27A29">
        <w:rPr>
          <w:rFonts w:eastAsiaTheme="minorEastAsia"/>
          <w:color w:val="000000" w:themeColor="text1"/>
          <w:szCs w:val="21"/>
        </w:rPr>
        <w:t>*80%+</w:t>
      </w:r>
      <w:r w:rsidRPr="00B27A29">
        <w:rPr>
          <w:rFonts w:eastAsiaTheme="minorEastAsia"/>
          <w:color w:val="000000" w:themeColor="text1"/>
          <w:szCs w:val="21"/>
        </w:rPr>
        <w:t>中证债券型基金指数收益率</w:t>
      </w:r>
      <w:r w:rsidRPr="00B27A29">
        <w:rPr>
          <w:rFonts w:eastAsiaTheme="minorEastAsia"/>
          <w:color w:val="000000" w:themeColor="text1"/>
          <w:szCs w:val="21"/>
        </w:rPr>
        <w:t>*15%+</w:t>
      </w:r>
      <w:r w:rsidRPr="00B27A29">
        <w:rPr>
          <w:rFonts w:eastAsiaTheme="minorEastAsia"/>
          <w:color w:val="000000" w:themeColor="text1"/>
          <w:szCs w:val="21"/>
        </w:rPr>
        <w:t>活期存款利率（税后）</w:t>
      </w:r>
      <w:r w:rsidRPr="00B27A29">
        <w:rPr>
          <w:rFonts w:eastAsiaTheme="minorEastAsia"/>
          <w:color w:val="000000" w:themeColor="text1"/>
          <w:szCs w:val="21"/>
        </w:rPr>
        <w:t>*5%”</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034C99">
        <w:tc>
          <w:tcPr>
            <w:tcW w:w="952" w:type="dxa"/>
            <w:vAlign w:val="center"/>
          </w:tcPr>
          <w:p w:rsidR="00034C99" w:rsidRDefault="001E56CF">
            <w:pPr>
              <w:jc w:val="center"/>
            </w:pPr>
            <w:r>
              <w:rPr>
                <w:rFonts w:eastAsiaTheme="minorEastAsia"/>
                <w:color w:val="000000" w:themeColor="text1"/>
                <w:szCs w:val="21"/>
              </w:rPr>
              <w:t>刘凌云</w:t>
            </w:r>
          </w:p>
        </w:tc>
        <w:tc>
          <w:tcPr>
            <w:tcW w:w="930" w:type="dxa"/>
            <w:vAlign w:val="center"/>
          </w:tcPr>
          <w:p w:rsidR="00034C99" w:rsidRDefault="001E56CF">
            <w:pPr>
              <w:jc w:val="center"/>
            </w:pPr>
            <w:r>
              <w:rPr>
                <w:rFonts w:eastAsiaTheme="minorEastAsia"/>
                <w:color w:val="000000" w:themeColor="text1"/>
                <w:szCs w:val="21"/>
              </w:rPr>
              <w:t>本基金基金经理、组合基金投资部总监</w:t>
            </w:r>
          </w:p>
        </w:tc>
        <w:tc>
          <w:tcPr>
            <w:tcW w:w="1210" w:type="dxa"/>
            <w:vAlign w:val="center"/>
          </w:tcPr>
          <w:p w:rsidR="00034C99" w:rsidRDefault="001E56CF">
            <w:pPr>
              <w:jc w:val="center"/>
            </w:pPr>
            <w:r>
              <w:rPr>
                <w:rFonts w:eastAsiaTheme="minorEastAsia"/>
                <w:color w:val="000000" w:themeColor="text1"/>
                <w:szCs w:val="21"/>
              </w:rPr>
              <w:t>2018-08-15</w:t>
            </w:r>
          </w:p>
        </w:tc>
        <w:tc>
          <w:tcPr>
            <w:tcW w:w="1309" w:type="dxa"/>
            <w:vAlign w:val="center"/>
          </w:tcPr>
          <w:p w:rsidR="00034C99" w:rsidRDefault="001E56CF">
            <w:pPr>
              <w:jc w:val="center"/>
            </w:pPr>
            <w:r>
              <w:rPr>
                <w:rFonts w:eastAsiaTheme="minorEastAsia"/>
                <w:color w:val="000000" w:themeColor="text1"/>
                <w:szCs w:val="21"/>
              </w:rPr>
              <w:t>2023-11-10</w:t>
            </w:r>
          </w:p>
        </w:tc>
        <w:tc>
          <w:tcPr>
            <w:tcW w:w="1254" w:type="dxa"/>
            <w:vAlign w:val="center"/>
          </w:tcPr>
          <w:p w:rsidR="00034C99" w:rsidRDefault="001E56CF" w:rsidP="001E56CF">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034C99" w:rsidRDefault="001E56CF">
            <w:r>
              <w:rPr>
                <w:rFonts w:eastAsiaTheme="minorEastAsia"/>
                <w:color w:val="000000" w:themeColor="text1"/>
                <w:szCs w:val="21"/>
              </w:rPr>
              <w:t>刘凌云女士曾任中海基金管理有限公司产品研发经理。</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月起加入摩根基金管理（中国）有限公司（原上投摩根基金管理有限公司），历任产品经理、高级投资组合经理、客户投资组合总监、组合基金投资部总监、组合基金投资部总监兼基金经理。</w:t>
            </w:r>
          </w:p>
        </w:tc>
      </w:tr>
      <w:tr w:rsidR="00034C99">
        <w:tc>
          <w:tcPr>
            <w:tcW w:w="952" w:type="dxa"/>
            <w:vAlign w:val="center"/>
          </w:tcPr>
          <w:p w:rsidR="00034C99" w:rsidRDefault="001E56CF">
            <w:pPr>
              <w:jc w:val="center"/>
            </w:pPr>
            <w:r>
              <w:rPr>
                <w:rFonts w:eastAsiaTheme="minorEastAsia"/>
                <w:color w:val="000000" w:themeColor="text1"/>
                <w:szCs w:val="21"/>
              </w:rPr>
              <w:t>杜习杰</w:t>
            </w:r>
          </w:p>
        </w:tc>
        <w:tc>
          <w:tcPr>
            <w:tcW w:w="930" w:type="dxa"/>
            <w:vAlign w:val="center"/>
          </w:tcPr>
          <w:p w:rsidR="00034C99" w:rsidRDefault="001E56CF">
            <w:pPr>
              <w:jc w:val="center"/>
            </w:pPr>
            <w:r>
              <w:rPr>
                <w:rFonts w:eastAsiaTheme="minorEastAsia"/>
                <w:color w:val="000000" w:themeColor="text1"/>
                <w:szCs w:val="21"/>
              </w:rPr>
              <w:t>本基金基金经理</w:t>
            </w:r>
          </w:p>
        </w:tc>
        <w:tc>
          <w:tcPr>
            <w:tcW w:w="1210" w:type="dxa"/>
            <w:vAlign w:val="center"/>
          </w:tcPr>
          <w:p w:rsidR="00034C99" w:rsidRDefault="001E56CF">
            <w:pPr>
              <w:jc w:val="center"/>
            </w:pPr>
            <w:r>
              <w:rPr>
                <w:rFonts w:eastAsiaTheme="minorEastAsia"/>
                <w:color w:val="000000" w:themeColor="text1"/>
                <w:szCs w:val="21"/>
              </w:rPr>
              <w:t>2020-12-11</w:t>
            </w:r>
          </w:p>
        </w:tc>
        <w:tc>
          <w:tcPr>
            <w:tcW w:w="1309" w:type="dxa"/>
            <w:vAlign w:val="center"/>
          </w:tcPr>
          <w:p w:rsidR="00034C99" w:rsidRDefault="001E56CF">
            <w:pPr>
              <w:jc w:val="center"/>
            </w:pPr>
            <w:r>
              <w:rPr>
                <w:rFonts w:eastAsiaTheme="minorEastAsia"/>
                <w:color w:val="000000" w:themeColor="text1"/>
                <w:szCs w:val="21"/>
              </w:rPr>
              <w:t>-</w:t>
            </w:r>
          </w:p>
        </w:tc>
        <w:tc>
          <w:tcPr>
            <w:tcW w:w="1254" w:type="dxa"/>
            <w:vAlign w:val="center"/>
          </w:tcPr>
          <w:p w:rsidR="00034C99" w:rsidRDefault="001E56CF">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034C99" w:rsidRDefault="001E56CF">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月起加入摩根基金管理（中国）有限公司（原上投摩根基金管理有限公司），历任研究员、投资经理兼研究员，现任组合基金投资部基金经理。</w:t>
            </w:r>
          </w:p>
        </w:tc>
      </w:tr>
      <w:tr w:rsidR="00034C99">
        <w:tc>
          <w:tcPr>
            <w:tcW w:w="952" w:type="dxa"/>
            <w:vAlign w:val="center"/>
          </w:tcPr>
          <w:p w:rsidR="00034C99" w:rsidRDefault="001E56CF">
            <w:pPr>
              <w:jc w:val="center"/>
            </w:pPr>
            <w:r>
              <w:rPr>
                <w:rFonts w:eastAsiaTheme="minorEastAsia"/>
                <w:color w:val="000000" w:themeColor="text1"/>
                <w:szCs w:val="21"/>
              </w:rPr>
              <w:t>吴春杰</w:t>
            </w:r>
          </w:p>
        </w:tc>
        <w:tc>
          <w:tcPr>
            <w:tcW w:w="930" w:type="dxa"/>
            <w:vAlign w:val="center"/>
          </w:tcPr>
          <w:p w:rsidR="00034C99" w:rsidRDefault="001E56CF">
            <w:pPr>
              <w:jc w:val="center"/>
            </w:pPr>
            <w:r>
              <w:rPr>
                <w:rFonts w:eastAsiaTheme="minorEastAsia"/>
                <w:color w:val="000000" w:themeColor="text1"/>
                <w:szCs w:val="21"/>
              </w:rPr>
              <w:t>本基金基金经理</w:t>
            </w:r>
          </w:p>
        </w:tc>
        <w:tc>
          <w:tcPr>
            <w:tcW w:w="1210" w:type="dxa"/>
            <w:vAlign w:val="center"/>
          </w:tcPr>
          <w:p w:rsidR="00034C99" w:rsidRDefault="001E56CF">
            <w:pPr>
              <w:jc w:val="center"/>
            </w:pPr>
            <w:r>
              <w:rPr>
                <w:rFonts w:eastAsiaTheme="minorEastAsia"/>
                <w:color w:val="000000" w:themeColor="text1"/>
                <w:szCs w:val="21"/>
              </w:rPr>
              <w:t>2022-03-04</w:t>
            </w:r>
          </w:p>
        </w:tc>
        <w:tc>
          <w:tcPr>
            <w:tcW w:w="1309" w:type="dxa"/>
            <w:vAlign w:val="center"/>
          </w:tcPr>
          <w:p w:rsidR="00034C99" w:rsidRDefault="001E56CF">
            <w:pPr>
              <w:jc w:val="center"/>
            </w:pPr>
            <w:r>
              <w:rPr>
                <w:rFonts w:eastAsiaTheme="minorEastAsia"/>
                <w:color w:val="000000" w:themeColor="text1"/>
                <w:szCs w:val="21"/>
              </w:rPr>
              <w:t>-</w:t>
            </w:r>
          </w:p>
        </w:tc>
        <w:tc>
          <w:tcPr>
            <w:tcW w:w="1254" w:type="dxa"/>
            <w:vAlign w:val="center"/>
          </w:tcPr>
          <w:p w:rsidR="00034C99" w:rsidRDefault="001E56CF">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034C99" w:rsidRDefault="001E56CF">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月加入摩根基金管理（中国）有限公司（原上投摩根基金管理有限公司），历任宏观研究员，现任高级基金经理。</w:t>
            </w:r>
          </w:p>
        </w:tc>
      </w:tr>
    </w:tbl>
    <w:p w:rsidR="00034C99" w:rsidRDefault="001E56C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034C99" w:rsidRDefault="001E56C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刘凌云女士为本基金首任基金经理，其任职日期为本基金基金合同生效之日；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034C99" w:rsidRDefault="001E56C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34C99" w:rsidRDefault="001E56C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034C99" w:rsidRDefault="001E56C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034C99" w:rsidRDefault="001E56CF">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四季度，国内经济总体平稳运行，结构上，工业生产同比回升，消费数据在去年低基数下反弹，但同时，部分投资与新开工进入季节性淡季；出口增速负值修复，通胀低位震荡略不及预期，反映出当前内、外需存在的压力。随着金融工作会议、中央经济工作会议的召开，政策面发力扩内需、防范化解风险的信号更加明朗，包括财政方面超</w:t>
      </w:r>
      <w:r>
        <w:rPr>
          <w:rFonts w:eastAsiaTheme="minorEastAsia"/>
          <w:color w:val="000000" w:themeColor="text1"/>
          <w:szCs w:val="21"/>
        </w:rPr>
        <w:t>1.3</w:t>
      </w:r>
      <w:r>
        <w:rPr>
          <w:rFonts w:eastAsiaTheme="minorEastAsia"/>
          <w:color w:val="000000" w:themeColor="text1"/>
          <w:szCs w:val="21"/>
        </w:rPr>
        <w:t>万亿的特别再融资债发行、增发</w:t>
      </w:r>
      <w:r>
        <w:rPr>
          <w:rFonts w:eastAsiaTheme="minorEastAsia"/>
          <w:color w:val="000000" w:themeColor="text1"/>
          <w:szCs w:val="21"/>
        </w:rPr>
        <w:t>1</w:t>
      </w:r>
      <w:r>
        <w:rPr>
          <w:rFonts w:eastAsiaTheme="minorEastAsia"/>
          <w:color w:val="000000" w:themeColor="text1"/>
          <w:szCs w:val="21"/>
        </w:rPr>
        <w:t>万亿特别国债，以及货币政策在量、价工具上的积极操作等，总体来讲，有助于</w:t>
      </w:r>
      <w:r>
        <w:rPr>
          <w:rFonts w:eastAsiaTheme="minorEastAsia"/>
          <w:color w:val="000000" w:themeColor="text1"/>
          <w:szCs w:val="21"/>
        </w:rPr>
        <w:t>2024</w:t>
      </w:r>
      <w:r>
        <w:rPr>
          <w:rFonts w:eastAsiaTheme="minorEastAsia"/>
          <w:color w:val="000000" w:themeColor="text1"/>
          <w:szCs w:val="21"/>
        </w:rPr>
        <w:t>年经济修复动力的积蓄。</w:t>
      </w:r>
    </w:p>
    <w:p w:rsidR="00034C99" w:rsidRDefault="001E56CF">
      <w:pPr>
        <w:spacing w:line="360" w:lineRule="auto"/>
        <w:ind w:firstLineChars="200" w:firstLine="420"/>
        <w:rPr>
          <w:rFonts w:eastAsiaTheme="minorEastAsia"/>
          <w:color w:val="000000" w:themeColor="text1"/>
          <w:szCs w:val="21"/>
        </w:rPr>
      </w:pPr>
      <w:r>
        <w:rPr>
          <w:rFonts w:eastAsiaTheme="minorEastAsia"/>
          <w:color w:val="000000" w:themeColor="text1"/>
          <w:szCs w:val="21"/>
        </w:rPr>
        <w:t>国内股票市场震荡走弱，中证</w:t>
      </w:r>
      <w:r>
        <w:rPr>
          <w:rFonts w:eastAsiaTheme="minorEastAsia"/>
          <w:color w:val="000000" w:themeColor="text1"/>
          <w:szCs w:val="21"/>
        </w:rPr>
        <w:t>800</w:t>
      </w:r>
      <w:r>
        <w:rPr>
          <w:rFonts w:eastAsiaTheme="minorEastAsia"/>
          <w:color w:val="000000" w:themeColor="text1"/>
          <w:szCs w:val="21"/>
        </w:rPr>
        <w:t>指数全季下跌</w:t>
      </w:r>
      <w:r>
        <w:rPr>
          <w:rFonts w:eastAsiaTheme="minorEastAsia"/>
          <w:color w:val="000000" w:themeColor="text1"/>
          <w:szCs w:val="21"/>
        </w:rPr>
        <w:t>6.4%</w:t>
      </w:r>
      <w:r>
        <w:rPr>
          <w:rFonts w:eastAsiaTheme="minorEastAsia"/>
          <w:color w:val="000000" w:themeColor="text1"/>
          <w:szCs w:val="21"/>
        </w:rPr>
        <w:t>。一方面，市场在经济基本面数据未出现持续改善前，对政策面持续加码的预期强于现实；另一方面，北上资金仍延续了三季度的流出态势。市场对于央行后续继续降准、降息保持乐观预期下，国内债券收益率曲线整体下移，</w:t>
      </w:r>
      <w:r>
        <w:rPr>
          <w:rFonts w:eastAsiaTheme="minorEastAsia"/>
          <w:color w:val="000000" w:themeColor="text1"/>
          <w:szCs w:val="21"/>
        </w:rPr>
        <w:t>10</w:t>
      </w:r>
      <w:r>
        <w:rPr>
          <w:rFonts w:eastAsiaTheme="minorEastAsia"/>
          <w:color w:val="000000" w:themeColor="text1"/>
          <w:szCs w:val="21"/>
        </w:rPr>
        <w:t>年国债到期收益率下降</w:t>
      </w:r>
      <w:r>
        <w:rPr>
          <w:rFonts w:eastAsiaTheme="minorEastAsia"/>
          <w:color w:val="000000" w:themeColor="text1"/>
          <w:szCs w:val="21"/>
        </w:rPr>
        <w:t>12BP</w:t>
      </w:r>
      <w:r>
        <w:rPr>
          <w:rFonts w:eastAsiaTheme="minorEastAsia"/>
          <w:color w:val="000000" w:themeColor="text1"/>
          <w:szCs w:val="21"/>
        </w:rPr>
        <w:t>至</w:t>
      </w:r>
      <w:r>
        <w:rPr>
          <w:rFonts w:eastAsiaTheme="minorEastAsia"/>
          <w:color w:val="000000" w:themeColor="text1"/>
          <w:szCs w:val="21"/>
        </w:rPr>
        <w:t>2.56%</w:t>
      </w:r>
      <w:r>
        <w:rPr>
          <w:rFonts w:eastAsiaTheme="minorEastAsia"/>
          <w:color w:val="000000" w:themeColor="text1"/>
          <w:szCs w:val="21"/>
        </w:rPr>
        <w:t>。</w:t>
      </w:r>
    </w:p>
    <w:p w:rsidR="00034C99" w:rsidRDefault="001E56CF">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海外方面，四季度美国通胀回落、就业市场指标边际弱化，美债收益率由</w:t>
      </w:r>
      <w:r>
        <w:rPr>
          <w:rFonts w:eastAsiaTheme="minorEastAsia"/>
          <w:color w:val="000000" w:themeColor="text1"/>
          <w:szCs w:val="21"/>
        </w:rPr>
        <w:t>5%</w:t>
      </w:r>
      <w:r>
        <w:rPr>
          <w:rFonts w:eastAsiaTheme="minorEastAsia"/>
          <w:color w:val="000000" w:themeColor="text1"/>
          <w:szCs w:val="21"/>
        </w:rPr>
        <w:t>的高位快速下行至</w:t>
      </w:r>
      <w:r>
        <w:rPr>
          <w:rFonts w:eastAsiaTheme="minorEastAsia"/>
          <w:color w:val="000000" w:themeColor="text1"/>
          <w:szCs w:val="21"/>
        </w:rPr>
        <w:t>3.87%</w:t>
      </w:r>
      <w:r>
        <w:rPr>
          <w:rFonts w:eastAsiaTheme="minorEastAsia"/>
          <w:color w:val="000000" w:themeColor="text1"/>
          <w:szCs w:val="21"/>
        </w:rPr>
        <w:t>，有利于提振风险资产的估值水平，标普</w:t>
      </w:r>
      <w:r>
        <w:rPr>
          <w:rFonts w:eastAsiaTheme="minorEastAsia"/>
          <w:color w:val="000000" w:themeColor="text1"/>
          <w:szCs w:val="21"/>
        </w:rPr>
        <w:t>500</w:t>
      </w:r>
      <w:r>
        <w:rPr>
          <w:rFonts w:eastAsiaTheme="minorEastAsia"/>
          <w:color w:val="000000" w:themeColor="text1"/>
          <w:szCs w:val="21"/>
        </w:rPr>
        <w:t>指数震荡上涨</w:t>
      </w:r>
      <w:r>
        <w:rPr>
          <w:rFonts w:eastAsiaTheme="minorEastAsia"/>
          <w:color w:val="000000" w:themeColor="text1"/>
          <w:szCs w:val="21"/>
        </w:rPr>
        <w:t>11.2%</w:t>
      </w:r>
      <w:r>
        <w:rPr>
          <w:rFonts w:eastAsiaTheme="minorEastAsia"/>
          <w:color w:val="000000" w:themeColor="text1"/>
          <w:szCs w:val="21"/>
        </w:rPr>
        <w:t>。另类资产方面，</w:t>
      </w:r>
      <w:r>
        <w:rPr>
          <w:rFonts w:eastAsiaTheme="minorEastAsia"/>
          <w:color w:val="000000" w:themeColor="text1"/>
          <w:szCs w:val="21"/>
        </w:rPr>
        <w:t>COMEX</w:t>
      </w:r>
      <w:r>
        <w:rPr>
          <w:rFonts w:eastAsiaTheme="minorEastAsia"/>
          <w:color w:val="000000" w:themeColor="text1"/>
          <w:szCs w:val="21"/>
        </w:rPr>
        <w:t>黄金上涨</w:t>
      </w:r>
      <w:r>
        <w:rPr>
          <w:rFonts w:eastAsiaTheme="minorEastAsia"/>
          <w:color w:val="000000" w:themeColor="text1"/>
          <w:szCs w:val="21"/>
        </w:rPr>
        <w:t>11%</w:t>
      </w:r>
      <w:r>
        <w:rPr>
          <w:rFonts w:eastAsiaTheme="minorEastAsia"/>
          <w:color w:val="000000" w:themeColor="text1"/>
          <w:szCs w:val="21"/>
        </w:rPr>
        <w:t>，海外发达市场</w:t>
      </w:r>
      <w:r>
        <w:rPr>
          <w:rFonts w:eastAsiaTheme="minorEastAsia"/>
          <w:color w:val="000000" w:themeColor="text1"/>
          <w:szCs w:val="21"/>
        </w:rPr>
        <w:t>Reits</w:t>
      </w:r>
      <w:r>
        <w:rPr>
          <w:rFonts w:eastAsiaTheme="minorEastAsia"/>
          <w:color w:val="000000" w:themeColor="text1"/>
          <w:szCs w:val="21"/>
        </w:rPr>
        <w:t>亦有较好表现。</w:t>
      </w:r>
    </w:p>
    <w:p w:rsidR="00034C99" w:rsidRDefault="001E56CF">
      <w:pPr>
        <w:spacing w:line="360" w:lineRule="auto"/>
        <w:ind w:firstLineChars="200" w:firstLine="420"/>
        <w:rPr>
          <w:rFonts w:eastAsiaTheme="minorEastAsia"/>
          <w:color w:val="000000" w:themeColor="text1"/>
          <w:szCs w:val="21"/>
        </w:rPr>
      </w:pPr>
      <w:r>
        <w:rPr>
          <w:rFonts w:eastAsiaTheme="minorEastAsia"/>
          <w:color w:val="000000" w:themeColor="text1"/>
          <w:szCs w:val="21"/>
        </w:rPr>
        <w:t>12</w:t>
      </w:r>
      <w:r>
        <w:rPr>
          <w:rFonts w:eastAsiaTheme="minorEastAsia"/>
          <w:color w:val="000000" w:themeColor="text1"/>
          <w:szCs w:val="21"/>
        </w:rPr>
        <w:t>月中央经济工作会议已经释放了进一步推动经济回升向好的预期，后续关注</w:t>
      </w:r>
      <w:r>
        <w:rPr>
          <w:rFonts w:eastAsiaTheme="minorEastAsia"/>
          <w:color w:val="000000" w:themeColor="text1"/>
          <w:szCs w:val="21"/>
        </w:rPr>
        <w:t>2024</w:t>
      </w:r>
      <w:r>
        <w:rPr>
          <w:rFonts w:eastAsiaTheme="minorEastAsia"/>
          <w:color w:val="000000" w:themeColor="text1"/>
          <w:szCs w:val="21"/>
        </w:rPr>
        <w:t>年初两会将制定的各项经济目标以及财政、货币政策发力的力度，其对各类资产的潜在回报与市场信心的恢复均较为重要。新旧经济动能的结构调整过程中，</w:t>
      </w:r>
      <w:r>
        <w:rPr>
          <w:rFonts w:eastAsiaTheme="minorEastAsia"/>
          <w:color w:val="000000" w:themeColor="text1"/>
          <w:szCs w:val="21"/>
        </w:rPr>
        <w:t>“</w:t>
      </w:r>
      <w:r>
        <w:rPr>
          <w:rFonts w:eastAsiaTheme="minorEastAsia"/>
          <w:color w:val="000000" w:themeColor="text1"/>
          <w:szCs w:val="21"/>
        </w:rPr>
        <w:t>先立后破</w:t>
      </w:r>
      <w:r>
        <w:rPr>
          <w:rFonts w:eastAsiaTheme="minorEastAsia"/>
          <w:color w:val="000000" w:themeColor="text1"/>
          <w:szCs w:val="21"/>
        </w:rPr>
        <w:t>”</w:t>
      </w:r>
      <w:r>
        <w:rPr>
          <w:rFonts w:eastAsiaTheme="minorEastAsia"/>
          <w:color w:val="000000" w:themeColor="text1"/>
          <w:szCs w:val="21"/>
        </w:rPr>
        <w:t>的定调有望为旧经济托住下行的底，同时，经济内生的修复动力在经历疫后第一年的曲折后，一些适应国内需求升级的科技创新领域也有望迎来较好的增长。</w:t>
      </w:r>
    </w:p>
    <w:p w:rsidR="00034C99" w:rsidRDefault="001E56C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对于国内权益来讲，当前历史绝对估值分位、相对债券资产的估值均处在较高吸引力的水平，具备长期配置价值。临近年底，企业盈利预期指标有所企稳，并有望逐步修复。进入</w:t>
      </w:r>
      <w:r>
        <w:rPr>
          <w:rFonts w:eastAsiaTheme="minorEastAsia"/>
          <w:color w:val="000000" w:themeColor="text1"/>
          <w:szCs w:val="21"/>
        </w:rPr>
        <w:t>2024</w:t>
      </w:r>
      <w:r>
        <w:rPr>
          <w:rFonts w:eastAsiaTheme="minorEastAsia"/>
          <w:color w:val="000000" w:themeColor="text1"/>
          <w:szCs w:val="21"/>
        </w:rPr>
        <w:t>年，关注市场能否有增量资金流入，以打破存量资金博弈的格局。对于国内债券来讲，托底经济增长的政策在发力中，内外利差仍为负值，相对</w:t>
      </w:r>
      <w:r>
        <w:rPr>
          <w:rFonts w:eastAsiaTheme="minorEastAsia"/>
          <w:color w:val="000000" w:themeColor="text1"/>
          <w:szCs w:val="21"/>
        </w:rPr>
        <w:t>A</w:t>
      </w:r>
      <w:r>
        <w:rPr>
          <w:rFonts w:eastAsiaTheme="minorEastAsia"/>
          <w:color w:val="000000" w:themeColor="text1"/>
          <w:szCs w:val="21"/>
        </w:rPr>
        <w:t>股配置价值处在偏低的位置。但考虑到当前处在地方化债进程中、实际利率高位下，货币政策仍有进一步宽松的空间，国内债券的下行风险相对可控。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海外方面，美债、美股延续过去一个季度的同时大幅上涨，依赖美国经济软着陆且美联储快速进入降息周期的预期叠加。中期来看，前期高利率对企业、居民部门的冲击在逐步上升，对美债收益率下行的逻辑有支撑；经济增长趋弱对股权回报的影响相对负面，可等待更好的时机配置发达国家权益资产。对于港股，来自国内经济基本面、海外高利率环境的压力均有望逐步缓和。</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034C99" w:rsidRDefault="001E56C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本报告期摩根尚睿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:-6.22%</w:t>
      </w:r>
      <w:r>
        <w:rPr>
          <w:rFonts w:eastAsiaTheme="minorEastAsia"/>
          <w:color w:val="000000" w:themeColor="text1"/>
          <w:szCs w:val="21"/>
        </w:rPr>
        <w:t>，同期业绩比较基准收益率为</w:t>
      </w:r>
      <w:r>
        <w:rPr>
          <w:rFonts w:eastAsiaTheme="minorEastAsia"/>
          <w:color w:val="000000" w:themeColor="text1"/>
          <w:szCs w:val="21"/>
        </w:rPr>
        <w:t>:-4.10%</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摩根尚睿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:-6.35%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:-4.10%</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034C99" w:rsidRDefault="001E56C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01</w:t>
      </w:r>
      <w:r>
        <w:rPr>
          <w:rFonts w:eastAsiaTheme="minorEastAsia"/>
          <w:color w:val="000000" w:themeColor="text1"/>
          <w:kern w:val="0"/>
          <w:szCs w:val="21"/>
        </w:rPr>
        <w:t>日至</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基金管理人拟调整本基金运作方式，加大营销力度，提升基金规模，方案已报监管机关。</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38,872,047.73</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89.46</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1,217,036.71</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2.80</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1,217,036.71</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2.80</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rsidR="006336AE" w:rsidRPr="007B5F21" w:rsidRDefault="006336AE" w:rsidP="00342FE7">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1,826,610.24</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4.20</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1,533,871.16</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3.53</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43,449,565.84</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rsidR="006336AE" w:rsidRPr="006336AE" w:rsidRDefault="006336AE">
      <w:pPr>
        <w:autoSpaceDE w:val="0"/>
        <w:autoSpaceDN w:val="0"/>
        <w:adjustRightInd w:val="0"/>
        <w:spacing w:line="360" w:lineRule="auto"/>
        <w:jc w:val="left"/>
        <w:rPr>
          <w:rFonts w:eastAsiaTheme="minorEastAsia"/>
          <w:b/>
          <w:color w:val="000000" w:themeColor="text1"/>
          <w:kern w:val="0"/>
          <w:szCs w:val="21"/>
        </w:rPr>
      </w:pP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1,217,036.71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2.84</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1,217,036.71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034C99">
        <w:tc>
          <w:tcPr>
            <w:tcW w:w="1504" w:type="dxa"/>
            <w:vAlign w:val="center"/>
          </w:tcPr>
          <w:p w:rsidR="00034C99" w:rsidRDefault="001E56CF">
            <w:pPr>
              <w:jc w:val="center"/>
            </w:pPr>
            <w:r>
              <w:rPr>
                <w:rFonts w:eastAsiaTheme="minorEastAsia"/>
                <w:color w:val="000000" w:themeColor="text1"/>
                <w:szCs w:val="21"/>
              </w:rPr>
              <w:t>1</w:t>
            </w:r>
          </w:p>
        </w:tc>
        <w:tc>
          <w:tcPr>
            <w:tcW w:w="1504" w:type="dxa"/>
            <w:vAlign w:val="center"/>
          </w:tcPr>
          <w:p w:rsidR="00034C99" w:rsidRDefault="001E56CF">
            <w:pPr>
              <w:jc w:val="center"/>
            </w:pPr>
            <w:r>
              <w:rPr>
                <w:rFonts w:eastAsiaTheme="minorEastAsia"/>
                <w:color w:val="000000" w:themeColor="text1"/>
                <w:szCs w:val="21"/>
              </w:rPr>
              <w:t>019703</w:t>
            </w:r>
          </w:p>
        </w:tc>
        <w:tc>
          <w:tcPr>
            <w:tcW w:w="1504" w:type="dxa"/>
            <w:vAlign w:val="center"/>
          </w:tcPr>
          <w:p w:rsidR="00034C99" w:rsidRDefault="001E56CF">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10</w:t>
            </w:r>
          </w:p>
        </w:tc>
        <w:tc>
          <w:tcPr>
            <w:tcW w:w="1503" w:type="dxa"/>
            <w:vAlign w:val="center"/>
          </w:tcPr>
          <w:p w:rsidR="00034C99" w:rsidRDefault="001E56CF">
            <w:pPr>
              <w:jc w:val="right"/>
            </w:pPr>
            <w:r>
              <w:rPr>
                <w:rFonts w:eastAsiaTheme="minorEastAsia"/>
                <w:color w:val="000000" w:themeColor="text1"/>
                <w:szCs w:val="21"/>
              </w:rPr>
              <w:t>12,000</w:t>
            </w:r>
          </w:p>
        </w:tc>
        <w:tc>
          <w:tcPr>
            <w:tcW w:w="1503" w:type="dxa"/>
            <w:vAlign w:val="center"/>
          </w:tcPr>
          <w:p w:rsidR="00034C99" w:rsidRDefault="001E56CF">
            <w:pPr>
              <w:jc w:val="right"/>
            </w:pPr>
            <w:r>
              <w:rPr>
                <w:rFonts w:eastAsiaTheme="minorEastAsia"/>
                <w:color w:val="000000" w:themeColor="text1"/>
                <w:szCs w:val="21"/>
              </w:rPr>
              <w:t>1,217,036.71</w:t>
            </w:r>
          </w:p>
        </w:tc>
        <w:tc>
          <w:tcPr>
            <w:tcW w:w="1503" w:type="dxa"/>
            <w:vAlign w:val="center"/>
          </w:tcPr>
          <w:p w:rsidR="00034C99" w:rsidRDefault="001E56CF">
            <w:pPr>
              <w:jc w:val="right"/>
            </w:pPr>
            <w:r>
              <w:rPr>
                <w:rFonts w:eastAsiaTheme="minorEastAsia"/>
                <w:color w:val="000000" w:themeColor="text1"/>
                <w:szCs w:val="21"/>
              </w:rPr>
              <w:t>2.84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2,077.91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730,000.00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801,793.25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1,533,871.16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C45886" w:rsidRPr="00414345" w:rsidRDefault="005C671B" w:rsidP="00C45886">
      <w:pPr>
        <w:spacing w:before="29" w:line="288" w:lineRule="auto"/>
        <w:rPr>
          <w:color w:val="000000"/>
          <w:sz w:val="24"/>
        </w:rPr>
      </w:pPr>
      <w:r w:rsidRPr="00B27A29">
        <w:rPr>
          <w:rFonts w:eastAsiaTheme="minorEastAsia"/>
          <w:color w:val="000000" w:themeColor="text1"/>
          <w:szCs w:val="21"/>
        </w:rPr>
        <w:t>因四舍五入原因，投资组合报告中分项之和与合计可能存在尾差。</w:t>
      </w:r>
    </w:p>
    <w:p w:rsidR="00C45886" w:rsidRDefault="00C45886" w:rsidP="00C45886">
      <w:pPr>
        <w:spacing w:before="29" w:line="288" w:lineRule="auto"/>
        <w:ind w:firstLineChars="200" w:firstLine="480"/>
        <w:rPr>
          <w:color w:val="000000"/>
          <w:sz w:val="24"/>
        </w:rPr>
      </w:pPr>
    </w:p>
    <w:p w:rsidR="00C45886" w:rsidRDefault="00C45886" w:rsidP="00C45886">
      <w:pPr>
        <w:spacing w:before="29" w:line="288" w:lineRule="auto"/>
        <w:ind w:firstLineChars="200" w:firstLine="480"/>
        <w:rPr>
          <w:color w:val="000000"/>
          <w:sz w:val="24"/>
        </w:rPr>
      </w:pPr>
    </w:p>
    <w:p w:rsidR="00C45886" w:rsidRPr="00575270" w:rsidRDefault="00C45886" w:rsidP="00C45886">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C45886" w:rsidRPr="00575270" w:rsidRDefault="00C45886" w:rsidP="00C45886">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tbl>
      <w:tblPr>
        <w:tblStyle w:val="afa"/>
        <w:tblW w:w="5000" w:type="pct"/>
        <w:tblLayout w:type="fixed"/>
        <w:tblLook w:val="04A0" w:firstRow="1" w:lastRow="0" w:firstColumn="1" w:lastColumn="0" w:noHBand="0" w:noVBand="1"/>
      </w:tblPr>
      <w:tblGrid>
        <w:gridCol w:w="817"/>
        <w:gridCol w:w="1133"/>
        <w:gridCol w:w="1135"/>
        <w:gridCol w:w="1135"/>
        <w:gridCol w:w="1133"/>
        <w:gridCol w:w="1276"/>
        <w:gridCol w:w="1135"/>
        <w:gridCol w:w="1272"/>
      </w:tblGrid>
      <w:tr w:rsidR="00C45886" w:rsidRPr="00575270" w:rsidTr="00342FE7">
        <w:tc>
          <w:tcPr>
            <w:tcW w:w="452"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034C99">
        <w:tc>
          <w:tcPr>
            <w:tcW w:w="817" w:type="dxa"/>
            <w:vAlign w:val="center"/>
          </w:tcPr>
          <w:p w:rsidR="00034C99" w:rsidRDefault="001E56CF">
            <w:pPr>
              <w:jc w:val="center"/>
            </w:pPr>
            <w:r>
              <w:rPr>
                <w:sz w:val="24"/>
              </w:rPr>
              <w:t>1</w:t>
            </w:r>
          </w:p>
        </w:tc>
        <w:tc>
          <w:tcPr>
            <w:tcW w:w="1133" w:type="dxa"/>
            <w:vAlign w:val="center"/>
          </w:tcPr>
          <w:p w:rsidR="00034C99" w:rsidRDefault="001E56CF">
            <w:pPr>
              <w:jc w:val="center"/>
            </w:pPr>
            <w:r>
              <w:rPr>
                <w:sz w:val="24"/>
              </w:rPr>
              <w:t>377240</w:t>
            </w:r>
          </w:p>
        </w:tc>
        <w:tc>
          <w:tcPr>
            <w:tcW w:w="1135" w:type="dxa"/>
            <w:vAlign w:val="center"/>
          </w:tcPr>
          <w:p w:rsidR="00034C99" w:rsidRDefault="001E56CF">
            <w:pPr>
              <w:jc w:val="center"/>
            </w:pPr>
            <w:r>
              <w:rPr>
                <w:sz w:val="24"/>
              </w:rPr>
              <w:t>摩根新兴动力混合</w:t>
            </w:r>
            <w:r>
              <w:rPr>
                <w:sz w:val="24"/>
              </w:rPr>
              <w:t>A</w:t>
            </w:r>
          </w:p>
        </w:tc>
        <w:tc>
          <w:tcPr>
            <w:tcW w:w="1135" w:type="dxa"/>
            <w:vAlign w:val="center"/>
          </w:tcPr>
          <w:p w:rsidR="00034C99" w:rsidRDefault="001E56CF">
            <w:pPr>
              <w:jc w:val="center"/>
            </w:pPr>
            <w:r>
              <w:rPr>
                <w:sz w:val="24"/>
              </w:rPr>
              <w:t>契约型开放式</w:t>
            </w:r>
          </w:p>
        </w:tc>
        <w:tc>
          <w:tcPr>
            <w:tcW w:w="1133" w:type="dxa"/>
            <w:vAlign w:val="center"/>
          </w:tcPr>
          <w:p w:rsidR="00034C99" w:rsidRDefault="001E56CF">
            <w:pPr>
              <w:jc w:val="center"/>
            </w:pPr>
            <w:r>
              <w:rPr>
                <w:sz w:val="24"/>
              </w:rPr>
              <w:t>497,201.99</w:t>
            </w:r>
          </w:p>
        </w:tc>
        <w:tc>
          <w:tcPr>
            <w:tcW w:w="1276" w:type="dxa"/>
            <w:vAlign w:val="center"/>
          </w:tcPr>
          <w:p w:rsidR="00034C99" w:rsidRDefault="001E56CF">
            <w:pPr>
              <w:jc w:val="center"/>
            </w:pPr>
            <w:r>
              <w:rPr>
                <w:sz w:val="24"/>
              </w:rPr>
              <w:t>2,179,584.36</w:t>
            </w:r>
          </w:p>
        </w:tc>
        <w:tc>
          <w:tcPr>
            <w:tcW w:w="1135" w:type="dxa"/>
            <w:vAlign w:val="center"/>
          </w:tcPr>
          <w:p w:rsidR="00034C99" w:rsidRDefault="001E56CF">
            <w:pPr>
              <w:jc w:val="center"/>
            </w:pPr>
            <w:r>
              <w:rPr>
                <w:sz w:val="24"/>
              </w:rPr>
              <w:t>5.09%</w:t>
            </w:r>
          </w:p>
        </w:tc>
        <w:tc>
          <w:tcPr>
            <w:tcW w:w="1272" w:type="dxa"/>
            <w:vAlign w:val="center"/>
          </w:tcPr>
          <w:p w:rsidR="00034C99" w:rsidRDefault="001E56CF">
            <w:pPr>
              <w:jc w:val="center"/>
            </w:pPr>
            <w:r>
              <w:rPr>
                <w:sz w:val="24"/>
              </w:rPr>
              <w:t>是</w:t>
            </w:r>
          </w:p>
        </w:tc>
      </w:tr>
      <w:tr w:rsidR="00034C99">
        <w:tc>
          <w:tcPr>
            <w:tcW w:w="817" w:type="dxa"/>
            <w:vAlign w:val="center"/>
          </w:tcPr>
          <w:p w:rsidR="00034C99" w:rsidRDefault="001E56CF">
            <w:pPr>
              <w:jc w:val="center"/>
            </w:pPr>
            <w:r>
              <w:rPr>
                <w:sz w:val="24"/>
              </w:rPr>
              <w:t>2</w:t>
            </w:r>
          </w:p>
        </w:tc>
        <w:tc>
          <w:tcPr>
            <w:tcW w:w="1133" w:type="dxa"/>
            <w:vAlign w:val="center"/>
          </w:tcPr>
          <w:p w:rsidR="00034C99" w:rsidRDefault="001E56CF">
            <w:pPr>
              <w:jc w:val="center"/>
            </w:pPr>
            <w:r>
              <w:rPr>
                <w:sz w:val="24"/>
              </w:rPr>
              <w:t>006551</w:t>
            </w:r>
          </w:p>
        </w:tc>
        <w:tc>
          <w:tcPr>
            <w:tcW w:w="1135" w:type="dxa"/>
            <w:vAlign w:val="center"/>
          </w:tcPr>
          <w:p w:rsidR="00034C99" w:rsidRDefault="001E56CF">
            <w:pPr>
              <w:jc w:val="center"/>
            </w:pPr>
            <w:r>
              <w:rPr>
                <w:sz w:val="24"/>
              </w:rPr>
              <w:t>中庚价值领航混合</w:t>
            </w:r>
          </w:p>
        </w:tc>
        <w:tc>
          <w:tcPr>
            <w:tcW w:w="1135" w:type="dxa"/>
            <w:vAlign w:val="center"/>
          </w:tcPr>
          <w:p w:rsidR="00034C99" w:rsidRDefault="001E56CF">
            <w:pPr>
              <w:jc w:val="center"/>
            </w:pPr>
            <w:r>
              <w:rPr>
                <w:sz w:val="24"/>
              </w:rPr>
              <w:t>契约型开放式</w:t>
            </w:r>
          </w:p>
        </w:tc>
        <w:tc>
          <w:tcPr>
            <w:tcW w:w="1133" w:type="dxa"/>
            <w:vAlign w:val="center"/>
          </w:tcPr>
          <w:p w:rsidR="00034C99" w:rsidRDefault="001E56CF">
            <w:pPr>
              <w:jc w:val="center"/>
            </w:pPr>
            <w:r>
              <w:rPr>
                <w:sz w:val="24"/>
              </w:rPr>
              <w:t>885,398.71</w:t>
            </w:r>
          </w:p>
        </w:tc>
        <w:tc>
          <w:tcPr>
            <w:tcW w:w="1276" w:type="dxa"/>
            <w:vAlign w:val="center"/>
          </w:tcPr>
          <w:p w:rsidR="00034C99" w:rsidRDefault="001E56CF">
            <w:pPr>
              <w:jc w:val="center"/>
            </w:pPr>
            <w:r>
              <w:rPr>
                <w:sz w:val="24"/>
              </w:rPr>
              <w:t>1,935,215.96</w:t>
            </w:r>
          </w:p>
        </w:tc>
        <w:tc>
          <w:tcPr>
            <w:tcW w:w="1135" w:type="dxa"/>
            <w:vAlign w:val="center"/>
          </w:tcPr>
          <w:p w:rsidR="00034C99" w:rsidRDefault="001E56CF">
            <w:pPr>
              <w:jc w:val="center"/>
            </w:pPr>
            <w:r>
              <w:rPr>
                <w:sz w:val="24"/>
              </w:rPr>
              <w:t>4.52%</w:t>
            </w:r>
          </w:p>
        </w:tc>
        <w:tc>
          <w:tcPr>
            <w:tcW w:w="1272" w:type="dxa"/>
            <w:vAlign w:val="center"/>
          </w:tcPr>
          <w:p w:rsidR="00034C99" w:rsidRDefault="001E56CF">
            <w:pPr>
              <w:jc w:val="center"/>
            </w:pPr>
            <w:r>
              <w:rPr>
                <w:sz w:val="24"/>
              </w:rPr>
              <w:t>否</w:t>
            </w:r>
          </w:p>
        </w:tc>
      </w:tr>
      <w:tr w:rsidR="00034C99">
        <w:tc>
          <w:tcPr>
            <w:tcW w:w="817" w:type="dxa"/>
            <w:vAlign w:val="center"/>
          </w:tcPr>
          <w:p w:rsidR="00034C99" w:rsidRDefault="001E56CF">
            <w:pPr>
              <w:jc w:val="center"/>
            </w:pPr>
            <w:r>
              <w:rPr>
                <w:sz w:val="24"/>
              </w:rPr>
              <w:t>3</w:t>
            </w:r>
          </w:p>
        </w:tc>
        <w:tc>
          <w:tcPr>
            <w:tcW w:w="1133" w:type="dxa"/>
            <w:vAlign w:val="center"/>
          </w:tcPr>
          <w:p w:rsidR="00034C99" w:rsidRDefault="001E56CF">
            <w:pPr>
              <w:jc w:val="center"/>
            </w:pPr>
            <w:r>
              <w:rPr>
                <w:sz w:val="24"/>
              </w:rPr>
              <w:t>512760</w:t>
            </w:r>
          </w:p>
        </w:tc>
        <w:tc>
          <w:tcPr>
            <w:tcW w:w="1135" w:type="dxa"/>
            <w:vAlign w:val="center"/>
          </w:tcPr>
          <w:p w:rsidR="00034C99" w:rsidRDefault="001E56CF">
            <w:pPr>
              <w:jc w:val="center"/>
            </w:pPr>
            <w:r>
              <w:rPr>
                <w:sz w:val="24"/>
              </w:rPr>
              <w:t>国泰</w:t>
            </w:r>
            <w:r>
              <w:rPr>
                <w:sz w:val="24"/>
              </w:rPr>
              <w:t>CES</w:t>
            </w:r>
            <w:r>
              <w:rPr>
                <w:sz w:val="24"/>
              </w:rPr>
              <w:t>半导体芯片行业</w:t>
            </w:r>
            <w:r>
              <w:rPr>
                <w:sz w:val="24"/>
              </w:rPr>
              <w:t>ETF</w:t>
            </w:r>
          </w:p>
        </w:tc>
        <w:tc>
          <w:tcPr>
            <w:tcW w:w="1135" w:type="dxa"/>
            <w:vAlign w:val="center"/>
          </w:tcPr>
          <w:p w:rsidR="00034C99" w:rsidRDefault="002911E5">
            <w:pPr>
              <w:jc w:val="center"/>
            </w:pPr>
            <w:r>
              <w:rPr>
                <w:rFonts w:hint="eastAsia"/>
                <w:sz w:val="24"/>
              </w:rPr>
              <w:t>交易型</w:t>
            </w:r>
            <w:r w:rsidR="00C5617F" w:rsidRPr="00C5617F">
              <w:rPr>
                <w:rFonts w:hint="eastAsia"/>
                <w:sz w:val="24"/>
              </w:rPr>
              <w:t>开放式</w:t>
            </w:r>
          </w:p>
        </w:tc>
        <w:tc>
          <w:tcPr>
            <w:tcW w:w="1133" w:type="dxa"/>
            <w:vAlign w:val="center"/>
          </w:tcPr>
          <w:p w:rsidR="00034C99" w:rsidRDefault="001E56CF">
            <w:pPr>
              <w:jc w:val="center"/>
            </w:pPr>
            <w:r>
              <w:rPr>
                <w:sz w:val="24"/>
              </w:rPr>
              <w:t>2,128,200.00</w:t>
            </w:r>
          </w:p>
        </w:tc>
        <w:tc>
          <w:tcPr>
            <w:tcW w:w="1276" w:type="dxa"/>
            <w:vAlign w:val="center"/>
          </w:tcPr>
          <w:p w:rsidR="00034C99" w:rsidRDefault="001E56CF">
            <w:pPr>
              <w:jc w:val="center"/>
            </w:pPr>
            <w:r>
              <w:rPr>
                <w:sz w:val="24"/>
              </w:rPr>
              <w:t>1,908,995.40</w:t>
            </w:r>
          </w:p>
        </w:tc>
        <w:tc>
          <w:tcPr>
            <w:tcW w:w="1135" w:type="dxa"/>
            <w:vAlign w:val="center"/>
          </w:tcPr>
          <w:p w:rsidR="00034C99" w:rsidRDefault="001E56CF">
            <w:pPr>
              <w:jc w:val="center"/>
            </w:pPr>
            <w:r>
              <w:rPr>
                <w:sz w:val="24"/>
              </w:rPr>
              <w:t>4.46%</w:t>
            </w:r>
          </w:p>
        </w:tc>
        <w:tc>
          <w:tcPr>
            <w:tcW w:w="1272" w:type="dxa"/>
            <w:vAlign w:val="center"/>
          </w:tcPr>
          <w:p w:rsidR="00034C99" w:rsidRDefault="001E56CF">
            <w:pPr>
              <w:jc w:val="center"/>
            </w:pPr>
            <w:r>
              <w:rPr>
                <w:sz w:val="24"/>
              </w:rPr>
              <w:t>否</w:t>
            </w:r>
          </w:p>
        </w:tc>
      </w:tr>
      <w:tr w:rsidR="00034C99">
        <w:tc>
          <w:tcPr>
            <w:tcW w:w="817" w:type="dxa"/>
            <w:vAlign w:val="center"/>
          </w:tcPr>
          <w:p w:rsidR="00034C99" w:rsidRDefault="001E56CF">
            <w:pPr>
              <w:jc w:val="center"/>
            </w:pPr>
            <w:r>
              <w:rPr>
                <w:sz w:val="24"/>
              </w:rPr>
              <w:t>4</w:t>
            </w:r>
          </w:p>
        </w:tc>
        <w:tc>
          <w:tcPr>
            <w:tcW w:w="1133" w:type="dxa"/>
            <w:vAlign w:val="center"/>
          </w:tcPr>
          <w:p w:rsidR="00034C99" w:rsidRDefault="001E56CF">
            <w:pPr>
              <w:jc w:val="center"/>
            </w:pPr>
            <w:r>
              <w:rPr>
                <w:sz w:val="24"/>
              </w:rPr>
              <w:t>512070</w:t>
            </w:r>
          </w:p>
        </w:tc>
        <w:tc>
          <w:tcPr>
            <w:tcW w:w="1135" w:type="dxa"/>
            <w:vAlign w:val="center"/>
          </w:tcPr>
          <w:p w:rsidR="00034C99" w:rsidRDefault="001E56CF">
            <w:pPr>
              <w:jc w:val="center"/>
            </w:pPr>
            <w:r>
              <w:rPr>
                <w:sz w:val="24"/>
              </w:rPr>
              <w:t>易方达沪深</w:t>
            </w:r>
            <w:r>
              <w:rPr>
                <w:sz w:val="24"/>
              </w:rPr>
              <w:t>300</w:t>
            </w:r>
            <w:r>
              <w:rPr>
                <w:sz w:val="24"/>
              </w:rPr>
              <w:t>非银</w:t>
            </w:r>
            <w:r>
              <w:rPr>
                <w:sz w:val="24"/>
              </w:rPr>
              <w:t>ETF</w:t>
            </w:r>
          </w:p>
        </w:tc>
        <w:tc>
          <w:tcPr>
            <w:tcW w:w="1135" w:type="dxa"/>
            <w:vAlign w:val="center"/>
          </w:tcPr>
          <w:p w:rsidR="00034C99" w:rsidRDefault="002911E5">
            <w:pPr>
              <w:jc w:val="center"/>
            </w:pPr>
            <w:r>
              <w:rPr>
                <w:rFonts w:hint="eastAsia"/>
                <w:sz w:val="24"/>
              </w:rPr>
              <w:t>交易型</w:t>
            </w:r>
            <w:r w:rsidR="00C5617F" w:rsidRPr="00C5617F">
              <w:rPr>
                <w:rFonts w:hint="eastAsia"/>
                <w:sz w:val="24"/>
              </w:rPr>
              <w:t>开放式</w:t>
            </w:r>
          </w:p>
        </w:tc>
        <w:tc>
          <w:tcPr>
            <w:tcW w:w="1133" w:type="dxa"/>
            <w:vAlign w:val="center"/>
          </w:tcPr>
          <w:p w:rsidR="00034C99" w:rsidRDefault="001E56CF">
            <w:pPr>
              <w:jc w:val="center"/>
            </w:pPr>
            <w:r>
              <w:rPr>
                <w:sz w:val="24"/>
              </w:rPr>
              <w:t>2,869,100.00</w:t>
            </w:r>
          </w:p>
        </w:tc>
        <w:tc>
          <w:tcPr>
            <w:tcW w:w="1276" w:type="dxa"/>
            <w:vAlign w:val="center"/>
          </w:tcPr>
          <w:p w:rsidR="00034C99" w:rsidRDefault="001E56CF">
            <w:pPr>
              <w:jc w:val="center"/>
            </w:pPr>
            <w:r>
              <w:rPr>
                <w:sz w:val="24"/>
              </w:rPr>
              <w:t>1,707,114.50</w:t>
            </w:r>
          </w:p>
        </w:tc>
        <w:tc>
          <w:tcPr>
            <w:tcW w:w="1135" w:type="dxa"/>
            <w:vAlign w:val="center"/>
          </w:tcPr>
          <w:p w:rsidR="00034C99" w:rsidRDefault="001E56CF">
            <w:pPr>
              <w:jc w:val="center"/>
            </w:pPr>
            <w:r>
              <w:rPr>
                <w:sz w:val="24"/>
              </w:rPr>
              <w:t>3.99%</w:t>
            </w:r>
          </w:p>
        </w:tc>
        <w:tc>
          <w:tcPr>
            <w:tcW w:w="1272" w:type="dxa"/>
            <w:vAlign w:val="center"/>
          </w:tcPr>
          <w:p w:rsidR="00034C99" w:rsidRDefault="001E56CF">
            <w:pPr>
              <w:jc w:val="center"/>
            </w:pPr>
            <w:r>
              <w:rPr>
                <w:sz w:val="24"/>
              </w:rPr>
              <w:t>否</w:t>
            </w:r>
          </w:p>
        </w:tc>
      </w:tr>
      <w:tr w:rsidR="00034C99">
        <w:tc>
          <w:tcPr>
            <w:tcW w:w="817" w:type="dxa"/>
            <w:vAlign w:val="center"/>
          </w:tcPr>
          <w:p w:rsidR="00034C99" w:rsidRDefault="001E56CF">
            <w:pPr>
              <w:jc w:val="center"/>
            </w:pPr>
            <w:r>
              <w:rPr>
                <w:sz w:val="24"/>
              </w:rPr>
              <w:t>5</w:t>
            </w:r>
          </w:p>
        </w:tc>
        <w:tc>
          <w:tcPr>
            <w:tcW w:w="1133" w:type="dxa"/>
            <w:vAlign w:val="center"/>
          </w:tcPr>
          <w:p w:rsidR="00034C99" w:rsidRDefault="001E56CF">
            <w:pPr>
              <w:jc w:val="center"/>
            </w:pPr>
            <w:r>
              <w:rPr>
                <w:sz w:val="24"/>
              </w:rPr>
              <w:t>090016</w:t>
            </w:r>
          </w:p>
        </w:tc>
        <w:tc>
          <w:tcPr>
            <w:tcW w:w="1135" w:type="dxa"/>
            <w:vAlign w:val="center"/>
          </w:tcPr>
          <w:p w:rsidR="00034C99" w:rsidRDefault="001E56CF">
            <w:pPr>
              <w:jc w:val="center"/>
            </w:pPr>
            <w:r>
              <w:rPr>
                <w:sz w:val="24"/>
              </w:rPr>
              <w:t>大成消费主题混合</w:t>
            </w:r>
            <w:r>
              <w:rPr>
                <w:sz w:val="24"/>
              </w:rPr>
              <w:t>A</w:t>
            </w:r>
          </w:p>
        </w:tc>
        <w:tc>
          <w:tcPr>
            <w:tcW w:w="1135" w:type="dxa"/>
            <w:vAlign w:val="center"/>
          </w:tcPr>
          <w:p w:rsidR="00034C99" w:rsidRDefault="001E56CF">
            <w:pPr>
              <w:jc w:val="center"/>
            </w:pPr>
            <w:r>
              <w:rPr>
                <w:sz w:val="24"/>
              </w:rPr>
              <w:t>契约型开放式</w:t>
            </w:r>
          </w:p>
        </w:tc>
        <w:tc>
          <w:tcPr>
            <w:tcW w:w="1133" w:type="dxa"/>
            <w:vAlign w:val="center"/>
          </w:tcPr>
          <w:p w:rsidR="00034C99" w:rsidRDefault="001E56CF">
            <w:pPr>
              <w:jc w:val="center"/>
            </w:pPr>
            <w:r>
              <w:rPr>
                <w:sz w:val="24"/>
              </w:rPr>
              <w:t>890,715.41</w:t>
            </w:r>
          </w:p>
        </w:tc>
        <w:tc>
          <w:tcPr>
            <w:tcW w:w="1276" w:type="dxa"/>
            <w:vAlign w:val="center"/>
          </w:tcPr>
          <w:p w:rsidR="00034C99" w:rsidRDefault="001E56CF">
            <w:pPr>
              <w:jc w:val="center"/>
            </w:pPr>
            <w:r>
              <w:rPr>
                <w:sz w:val="24"/>
              </w:rPr>
              <w:t>1,665,637.82</w:t>
            </w:r>
          </w:p>
        </w:tc>
        <w:tc>
          <w:tcPr>
            <w:tcW w:w="1135" w:type="dxa"/>
            <w:vAlign w:val="center"/>
          </w:tcPr>
          <w:p w:rsidR="00034C99" w:rsidRDefault="001E56CF">
            <w:pPr>
              <w:jc w:val="center"/>
            </w:pPr>
            <w:r>
              <w:rPr>
                <w:sz w:val="24"/>
              </w:rPr>
              <w:t>3.89%</w:t>
            </w:r>
          </w:p>
        </w:tc>
        <w:tc>
          <w:tcPr>
            <w:tcW w:w="1272" w:type="dxa"/>
            <w:vAlign w:val="center"/>
          </w:tcPr>
          <w:p w:rsidR="00034C99" w:rsidRDefault="001E56CF">
            <w:pPr>
              <w:jc w:val="center"/>
            </w:pPr>
            <w:r>
              <w:rPr>
                <w:sz w:val="24"/>
              </w:rPr>
              <w:t>否</w:t>
            </w:r>
          </w:p>
        </w:tc>
      </w:tr>
      <w:tr w:rsidR="00034C99">
        <w:tc>
          <w:tcPr>
            <w:tcW w:w="817" w:type="dxa"/>
            <w:vAlign w:val="center"/>
          </w:tcPr>
          <w:p w:rsidR="00034C99" w:rsidRDefault="001E56CF">
            <w:pPr>
              <w:jc w:val="center"/>
            </w:pPr>
            <w:r>
              <w:rPr>
                <w:sz w:val="24"/>
              </w:rPr>
              <w:t>6</w:t>
            </w:r>
          </w:p>
        </w:tc>
        <w:tc>
          <w:tcPr>
            <w:tcW w:w="1133" w:type="dxa"/>
            <w:vAlign w:val="center"/>
          </w:tcPr>
          <w:p w:rsidR="00034C99" w:rsidRDefault="001E56CF">
            <w:pPr>
              <w:jc w:val="center"/>
            </w:pPr>
            <w:r>
              <w:rPr>
                <w:sz w:val="24"/>
              </w:rPr>
              <w:t>159745</w:t>
            </w:r>
          </w:p>
        </w:tc>
        <w:tc>
          <w:tcPr>
            <w:tcW w:w="1135" w:type="dxa"/>
            <w:vAlign w:val="center"/>
          </w:tcPr>
          <w:p w:rsidR="00034C99" w:rsidRDefault="001E56CF">
            <w:pPr>
              <w:jc w:val="center"/>
            </w:pPr>
            <w:r>
              <w:rPr>
                <w:sz w:val="24"/>
              </w:rPr>
              <w:t>建材</w:t>
            </w:r>
            <w:r>
              <w:rPr>
                <w:sz w:val="24"/>
              </w:rPr>
              <w:t>ETF</w:t>
            </w:r>
          </w:p>
        </w:tc>
        <w:tc>
          <w:tcPr>
            <w:tcW w:w="1135" w:type="dxa"/>
            <w:vAlign w:val="center"/>
          </w:tcPr>
          <w:p w:rsidR="00034C99" w:rsidRDefault="002911E5">
            <w:pPr>
              <w:jc w:val="center"/>
            </w:pPr>
            <w:r>
              <w:rPr>
                <w:rFonts w:hint="eastAsia"/>
                <w:sz w:val="24"/>
              </w:rPr>
              <w:t>交易型</w:t>
            </w:r>
            <w:r w:rsidR="00C5617F" w:rsidRPr="00C5617F">
              <w:rPr>
                <w:rFonts w:hint="eastAsia"/>
                <w:sz w:val="24"/>
              </w:rPr>
              <w:t>开放式</w:t>
            </w:r>
          </w:p>
        </w:tc>
        <w:tc>
          <w:tcPr>
            <w:tcW w:w="1133" w:type="dxa"/>
            <w:vAlign w:val="center"/>
          </w:tcPr>
          <w:p w:rsidR="00034C99" w:rsidRDefault="001E56CF">
            <w:pPr>
              <w:jc w:val="center"/>
            </w:pPr>
            <w:r>
              <w:rPr>
                <w:sz w:val="24"/>
              </w:rPr>
              <w:t>2,635,500.00</w:t>
            </w:r>
          </w:p>
        </w:tc>
        <w:tc>
          <w:tcPr>
            <w:tcW w:w="1276" w:type="dxa"/>
            <w:vAlign w:val="center"/>
          </w:tcPr>
          <w:p w:rsidR="00034C99" w:rsidRDefault="001E56CF">
            <w:pPr>
              <w:jc w:val="center"/>
            </w:pPr>
            <w:r>
              <w:rPr>
                <w:sz w:val="24"/>
              </w:rPr>
              <w:t>1,615,561.50</w:t>
            </w:r>
          </w:p>
        </w:tc>
        <w:tc>
          <w:tcPr>
            <w:tcW w:w="1135" w:type="dxa"/>
            <w:vAlign w:val="center"/>
          </w:tcPr>
          <w:p w:rsidR="00034C99" w:rsidRDefault="001E56CF">
            <w:pPr>
              <w:jc w:val="center"/>
            </w:pPr>
            <w:r>
              <w:rPr>
                <w:sz w:val="24"/>
              </w:rPr>
              <w:t>3.77%</w:t>
            </w:r>
          </w:p>
        </w:tc>
        <w:tc>
          <w:tcPr>
            <w:tcW w:w="1272" w:type="dxa"/>
            <w:vAlign w:val="center"/>
          </w:tcPr>
          <w:p w:rsidR="00034C99" w:rsidRDefault="001E56CF">
            <w:pPr>
              <w:jc w:val="center"/>
            </w:pPr>
            <w:r>
              <w:rPr>
                <w:sz w:val="24"/>
              </w:rPr>
              <w:t>否</w:t>
            </w:r>
          </w:p>
        </w:tc>
      </w:tr>
      <w:tr w:rsidR="00034C99">
        <w:tc>
          <w:tcPr>
            <w:tcW w:w="817" w:type="dxa"/>
            <w:vAlign w:val="center"/>
          </w:tcPr>
          <w:p w:rsidR="00034C99" w:rsidRDefault="001E56CF">
            <w:pPr>
              <w:jc w:val="center"/>
            </w:pPr>
            <w:r>
              <w:rPr>
                <w:sz w:val="24"/>
              </w:rPr>
              <w:t>7</w:t>
            </w:r>
          </w:p>
        </w:tc>
        <w:tc>
          <w:tcPr>
            <w:tcW w:w="1133" w:type="dxa"/>
            <w:vAlign w:val="center"/>
          </w:tcPr>
          <w:p w:rsidR="00034C99" w:rsidRDefault="001E56CF">
            <w:pPr>
              <w:jc w:val="center"/>
            </w:pPr>
            <w:r>
              <w:rPr>
                <w:sz w:val="24"/>
              </w:rPr>
              <w:t>513180</w:t>
            </w:r>
          </w:p>
        </w:tc>
        <w:tc>
          <w:tcPr>
            <w:tcW w:w="1135" w:type="dxa"/>
            <w:vAlign w:val="center"/>
          </w:tcPr>
          <w:p w:rsidR="00034C99" w:rsidRDefault="001E56CF">
            <w:pPr>
              <w:jc w:val="center"/>
            </w:pPr>
            <w:r>
              <w:rPr>
                <w:sz w:val="24"/>
              </w:rPr>
              <w:t>华夏恒生科技</w:t>
            </w:r>
            <w:r>
              <w:rPr>
                <w:sz w:val="24"/>
              </w:rPr>
              <w:t>ETF(QDII)</w:t>
            </w:r>
          </w:p>
        </w:tc>
        <w:tc>
          <w:tcPr>
            <w:tcW w:w="1135" w:type="dxa"/>
            <w:vAlign w:val="center"/>
          </w:tcPr>
          <w:p w:rsidR="00034C99" w:rsidRDefault="002911E5">
            <w:pPr>
              <w:jc w:val="center"/>
            </w:pPr>
            <w:r>
              <w:rPr>
                <w:rFonts w:hint="eastAsia"/>
                <w:sz w:val="24"/>
              </w:rPr>
              <w:t>交易型</w:t>
            </w:r>
            <w:r w:rsidR="00C5617F" w:rsidRPr="00C5617F">
              <w:rPr>
                <w:rFonts w:hint="eastAsia"/>
                <w:sz w:val="24"/>
              </w:rPr>
              <w:t>开放式</w:t>
            </w:r>
          </w:p>
        </w:tc>
        <w:tc>
          <w:tcPr>
            <w:tcW w:w="1133" w:type="dxa"/>
            <w:vAlign w:val="center"/>
          </w:tcPr>
          <w:p w:rsidR="00034C99" w:rsidRDefault="001E56CF">
            <w:pPr>
              <w:jc w:val="center"/>
            </w:pPr>
            <w:r>
              <w:rPr>
                <w:sz w:val="24"/>
              </w:rPr>
              <w:t>3,150,800.00</w:t>
            </w:r>
          </w:p>
        </w:tc>
        <w:tc>
          <w:tcPr>
            <w:tcW w:w="1276" w:type="dxa"/>
            <w:vAlign w:val="center"/>
          </w:tcPr>
          <w:p w:rsidR="00034C99" w:rsidRDefault="001E56CF">
            <w:pPr>
              <w:jc w:val="center"/>
            </w:pPr>
            <w:r>
              <w:rPr>
                <w:sz w:val="24"/>
              </w:rPr>
              <w:t>1,572,249.20</w:t>
            </w:r>
          </w:p>
        </w:tc>
        <w:tc>
          <w:tcPr>
            <w:tcW w:w="1135" w:type="dxa"/>
            <w:vAlign w:val="center"/>
          </w:tcPr>
          <w:p w:rsidR="00034C99" w:rsidRDefault="001E56CF">
            <w:pPr>
              <w:jc w:val="center"/>
            </w:pPr>
            <w:r>
              <w:rPr>
                <w:sz w:val="24"/>
              </w:rPr>
              <w:t>3.67%</w:t>
            </w:r>
          </w:p>
        </w:tc>
        <w:tc>
          <w:tcPr>
            <w:tcW w:w="1272" w:type="dxa"/>
            <w:vAlign w:val="center"/>
          </w:tcPr>
          <w:p w:rsidR="00034C99" w:rsidRDefault="001E56CF">
            <w:pPr>
              <w:jc w:val="center"/>
            </w:pPr>
            <w:r>
              <w:rPr>
                <w:sz w:val="24"/>
              </w:rPr>
              <w:t>否</w:t>
            </w:r>
          </w:p>
        </w:tc>
      </w:tr>
      <w:tr w:rsidR="00034C99">
        <w:tc>
          <w:tcPr>
            <w:tcW w:w="817" w:type="dxa"/>
            <w:vAlign w:val="center"/>
          </w:tcPr>
          <w:p w:rsidR="00034C99" w:rsidRDefault="001E56CF">
            <w:pPr>
              <w:jc w:val="center"/>
            </w:pPr>
            <w:r>
              <w:rPr>
                <w:sz w:val="24"/>
              </w:rPr>
              <w:t>8</w:t>
            </w:r>
          </w:p>
        </w:tc>
        <w:tc>
          <w:tcPr>
            <w:tcW w:w="1133" w:type="dxa"/>
            <w:vAlign w:val="center"/>
          </w:tcPr>
          <w:p w:rsidR="00034C99" w:rsidRDefault="001E56CF">
            <w:pPr>
              <w:jc w:val="center"/>
            </w:pPr>
            <w:r>
              <w:rPr>
                <w:sz w:val="24"/>
              </w:rPr>
              <w:t>001856</w:t>
            </w:r>
          </w:p>
        </w:tc>
        <w:tc>
          <w:tcPr>
            <w:tcW w:w="1135" w:type="dxa"/>
            <w:vAlign w:val="center"/>
          </w:tcPr>
          <w:p w:rsidR="00034C99" w:rsidRDefault="001E56CF">
            <w:pPr>
              <w:jc w:val="center"/>
            </w:pPr>
            <w:r>
              <w:rPr>
                <w:sz w:val="24"/>
              </w:rPr>
              <w:t>易方达环保主题混合</w:t>
            </w:r>
            <w:r>
              <w:rPr>
                <w:sz w:val="24"/>
              </w:rPr>
              <w:t>A</w:t>
            </w:r>
          </w:p>
        </w:tc>
        <w:tc>
          <w:tcPr>
            <w:tcW w:w="1135" w:type="dxa"/>
            <w:vAlign w:val="center"/>
          </w:tcPr>
          <w:p w:rsidR="00034C99" w:rsidRDefault="001E56CF">
            <w:pPr>
              <w:jc w:val="center"/>
            </w:pPr>
            <w:r>
              <w:rPr>
                <w:sz w:val="24"/>
              </w:rPr>
              <w:t>契约型开放式</w:t>
            </w:r>
          </w:p>
        </w:tc>
        <w:tc>
          <w:tcPr>
            <w:tcW w:w="1133" w:type="dxa"/>
            <w:vAlign w:val="center"/>
          </w:tcPr>
          <w:p w:rsidR="00034C99" w:rsidRDefault="001E56CF">
            <w:pPr>
              <w:jc w:val="center"/>
            </w:pPr>
            <w:r>
              <w:rPr>
                <w:sz w:val="24"/>
              </w:rPr>
              <w:t>498,331.01</w:t>
            </w:r>
          </w:p>
        </w:tc>
        <w:tc>
          <w:tcPr>
            <w:tcW w:w="1276" w:type="dxa"/>
            <w:vAlign w:val="center"/>
          </w:tcPr>
          <w:p w:rsidR="00034C99" w:rsidRDefault="001E56CF">
            <w:pPr>
              <w:jc w:val="center"/>
            </w:pPr>
            <w:r>
              <w:rPr>
                <w:sz w:val="24"/>
              </w:rPr>
              <w:t>1,547,317.79</w:t>
            </w:r>
          </w:p>
        </w:tc>
        <w:tc>
          <w:tcPr>
            <w:tcW w:w="1135" w:type="dxa"/>
            <w:vAlign w:val="center"/>
          </w:tcPr>
          <w:p w:rsidR="00034C99" w:rsidRDefault="001E56CF">
            <w:pPr>
              <w:jc w:val="center"/>
            </w:pPr>
            <w:r>
              <w:rPr>
                <w:sz w:val="24"/>
              </w:rPr>
              <w:t>3.62%</w:t>
            </w:r>
          </w:p>
        </w:tc>
        <w:tc>
          <w:tcPr>
            <w:tcW w:w="1272" w:type="dxa"/>
            <w:vAlign w:val="center"/>
          </w:tcPr>
          <w:p w:rsidR="00034C99" w:rsidRDefault="001E56CF">
            <w:pPr>
              <w:jc w:val="center"/>
            </w:pPr>
            <w:r>
              <w:rPr>
                <w:sz w:val="24"/>
              </w:rPr>
              <w:t>否</w:t>
            </w:r>
          </w:p>
        </w:tc>
      </w:tr>
      <w:tr w:rsidR="00034C99">
        <w:tc>
          <w:tcPr>
            <w:tcW w:w="817" w:type="dxa"/>
            <w:vAlign w:val="center"/>
          </w:tcPr>
          <w:p w:rsidR="00034C99" w:rsidRDefault="001E56CF">
            <w:pPr>
              <w:jc w:val="center"/>
            </w:pPr>
            <w:r>
              <w:rPr>
                <w:sz w:val="24"/>
              </w:rPr>
              <w:t>9</w:t>
            </w:r>
          </w:p>
        </w:tc>
        <w:tc>
          <w:tcPr>
            <w:tcW w:w="1133" w:type="dxa"/>
            <w:vAlign w:val="center"/>
          </w:tcPr>
          <w:p w:rsidR="00034C99" w:rsidRDefault="001E56CF">
            <w:pPr>
              <w:jc w:val="center"/>
            </w:pPr>
            <w:r>
              <w:rPr>
                <w:sz w:val="24"/>
              </w:rPr>
              <w:t>519756</w:t>
            </w:r>
          </w:p>
        </w:tc>
        <w:tc>
          <w:tcPr>
            <w:tcW w:w="1135" w:type="dxa"/>
            <w:vAlign w:val="center"/>
          </w:tcPr>
          <w:p w:rsidR="00034C99" w:rsidRDefault="001E56CF">
            <w:pPr>
              <w:jc w:val="center"/>
            </w:pPr>
            <w:r>
              <w:rPr>
                <w:sz w:val="24"/>
              </w:rPr>
              <w:t>交银国企改革灵活配置混合</w:t>
            </w:r>
            <w:r>
              <w:rPr>
                <w:sz w:val="24"/>
              </w:rPr>
              <w:t>A</w:t>
            </w:r>
          </w:p>
        </w:tc>
        <w:tc>
          <w:tcPr>
            <w:tcW w:w="1135" w:type="dxa"/>
            <w:vAlign w:val="center"/>
          </w:tcPr>
          <w:p w:rsidR="00034C99" w:rsidRDefault="001E56CF">
            <w:pPr>
              <w:jc w:val="center"/>
            </w:pPr>
            <w:r>
              <w:rPr>
                <w:sz w:val="24"/>
              </w:rPr>
              <w:t>契约型开放式</w:t>
            </w:r>
          </w:p>
        </w:tc>
        <w:tc>
          <w:tcPr>
            <w:tcW w:w="1133" w:type="dxa"/>
            <w:vAlign w:val="center"/>
          </w:tcPr>
          <w:p w:rsidR="00034C99" w:rsidRDefault="001E56CF">
            <w:pPr>
              <w:jc w:val="center"/>
            </w:pPr>
            <w:r>
              <w:rPr>
                <w:sz w:val="24"/>
              </w:rPr>
              <w:t>940,713.51</w:t>
            </w:r>
          </w:p>
        </w:tc>
        <w:tc>
          <w:tcPr>
            <w:tcW w:w="1276" w:type="dxa"/>
            <w:vAlign w:val="center"/>
          </w:tcPr>
          <w:p w:rsidR="00034C99" w:rsidRDefault="001E56CF">
            <w:pPr>
              <w:jc w:val="center"/>
            </w:pPr>
            <w:r>
              <w:rPr>
                <w:sz w:val="24"/>
              </w:rPr>
              <w:t>1,454,813.44</w:t>
            </w:r>
          </w:p>
        </w:tc>
        <w:tc>
          <w:tcPr>
            <w:tcW w:w="1135" w:type="dxa"/>
            <w:vAlign w:val="center"/>
          </w:tcPr>
          <w:p w:rsidR="00034C99" w:rsidRDefault="001E56CF">
            <w:pPr>
              <w:jc w:val="center"/>
            </w:pPr>
            <w:r>
              <w:rPr>
                <w:sz w:val="24"/>
              </w:rPr>
              <w:t>3.40%</w:t>
            </w:r>
          </w:p>
        </w:tc>
        <w:tc>
          <w:tcPr>
            <w:tcW w:w="1272" w:type="dxa"/>
            <w:vAlign w:val="center"/>
          </w:tcPr>
          <w:p w:rsidR="00034C99" w:rsidRDefault="001E56CF">
            <w:pPr>
              <w:jc w:val="center"/>
            </w:pPr>
            <w:r>
              <w:rPr>
                <w:sz w:val="24"/>
              </w:rPr>
              <w:t>否</w:t>
            </w:r>
          </w:p>
        </w:tc>
      </w:tr>
      <w:tr w:rsidR="00034C99">
        <w:tc>
          <w:tcPr>
            <w:tcW w:w="817" w:type="dxa"/>
            <w:vAlign w:val="center"/>
          </w:tcPr>
          <w:p w:rsidR="00034C99" w:rsidRDefault="001E56CF">
            <w:pPr>
              <w:jc w:val="center"/>
            </w:pPr>
            <w:r>
              <w:rPr>
                <w:sz w:val="24"/>
              </w:rPr>
              <w:t>10</w:t>
            </w:r>
          </w:p>
        </w:tc>
        <w:tc>
          <w:tcPr>
            <w:tcW w:w="1133" w:type="dxa"/>
            <w:vAlign w:val="center"/>
          </w:tcPr>
          <w:p w:rsidR="00034C99" w:rsidRDefault="001E56CF">
            <w:pPr>
              <w:jc w:val="center"/>
            </w:pPr>
            <w:r>
              <w:rPr>
                <w:sz w:val="24"/>
              </w:rPr>
              <w:t>002207</w:t>
            </w:r>
          </w:p>
        </w:tc>
        <w:tc>
          <w:tcPr>
            <w:tcW w:w="1135" w:type="dxa"/>
            <w:vAlign w:val="center"/>
          </w:tcPr>
          <w:p w:rsidR="00034C99" w:rsidRDefault="001E56CF">
            <w:pPr>
              <w:jc w:val="center"/>
            </w:pPr>
            <w:r>
              <w:rPr>
                <w:sz w:val="24"/>
              </w:rPr>
              <w:t>前海开源金银珠宝混合</w:t>
            </w:r>
            <w:r>
              <w:rPr>
                <w:sz w:val="24"/>
              </w:rPr>
              <w:t>C</w:t>
            </w:r>
          </w:p>
        </w:tc>
        <w:tc>
          <w:tcPr>
            <w:tcW w:w="1135" w:type="dxa"/>
            <w:vAlign w:val="center"/>
          </w:tcPr>
          <w:p w:rsidR="00034C99" w:rsidRDefault="001E56CF">
            <w:pPr>
              <w:jc w:val="center"/>
            </w:pPr>
            <w:r>
              <w:rPr>
                <w:sz w:val="24"/>
              </w:rPr>
              <w:t>契约型开放式</w:t>
            </w:r>
          </w:p>
        </w:tc>
        <w:tc>
          <w:tcPr>
            <w:tcW w:w="1133" w:type="dxa"/>
            <w:vAlign w:val="center"/>
          </w:tcPr>
          <w:p w:rsidR="00034C99" w:rsidRDefault="001E56CF">
            <w:pPr>
              <w:jc w:val="center"/>
            </w:pPr>
            <w:r>
              <w:rPr>
                <w:sz w:val="24"/>
              </w:rPr>
              <w:t>1,008,474.22</w:t>
            </w:r>
          </w:p>
        </w:tc>
        <w:tc>
          <w:tcPr>
            <w:tcW w:w="1276" w:type="dxa"/>
            <w:vAlign w:val="center"/>
          </w:tcPr>
          <w:p w:rsidR="00034C99" w:rsidRDefault="001E56CF">
            <w:pPr>
              <w:jc w:val="center"/>
            </w:pPr>
            <w:r>
              <w:rPr>
                <w:sz w:val="24"/>
              </w:rPr>
              <w:t>1,312,024.96</w:t>
            </w:r>
          </w:p>
        </w:tc>
        <w:tc>
          <w:tcPr>
            <w:tcW w:w="1135" w:type="dxa"/>
            <w:vAlign w:val="center"/>
          </w:tcPr>
          <w:p w:rsidR="00034C99" w:rsidRDefault="001E56CF">
            <w:pPr>
              <w:jc w:val="center"/>
            </w:pPr>
            <w:r>
              <w:rPr>
                <w:sz w:val="24"/>
              </w:rPr>
              <w:t>3.07%</w:t>
            </w:r>
          </w:p>
        </w:tc>
        <w:tc>
          <w:tcPr>
            <w:tcW w:w="1272" w:type="dxa"/>
            <w:vAlign w:val="center"/>
          </w:tcPr>
          <w:p w:rsidR="00034C99" w:rsidRDefault="001E56CF">
            <w:pPr>
              <w:jc w:val="center"/>
            </w:pPr>
            <w:r>
              <w:rPr>
                <w:sz w:val="24"/>
              </w:rPr>
              <w:t>否</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tbl>
      <w:tblPr>
        <w:tblStyle w:val="afa"/>
        <w:tblW w:w="0" w:type="auto"/>
        <w:tblLayout w:type="fixed"/>
        <w:tblLook w:val="04A0" w:firstRow="1" w:lastRow="0" w:firstColumn="1" w:lastColumn="0" w:noHBand="0" w:noVBand="1"/>
      </w:tblPr>
      <w:tblGrid>
        <w:gridCol w:w="3012"/>
        <w:gridCol w:w="3012"/>
        <w:gridCol w:w="3012"/>
      </w:tblGrid>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jc w:val="center"/>
              <w:rPr>
                <w:rFonts w:eastAsiaTheme="minorEastAsia"/>
                <w:color w:val="000000" w:themeColor="text1"/>
                <w:sz w:val="24"/>
              </w:rPr>
            </w:pPr>
            <w:r w:rsidRPr="00575270">
              <w:rPr>
                <w:sz w:val="24"/>
              </w:rPr>
              <w:t>项目</w:t>
            </w:r>
          </w:p>
        </w:tc>
        <w:tc>
          <w:tcPr>
            <w:tcW w:w="3012" w:type="dxa"/>
            <w:vAlign w:val="center"/>
          </w:tcPr>
          <w:p w:rsidR="00C45886" w:rsidRPr="00575270" w:rsidRDefault="00C45886" w:rsidP="00342FE7">
            <w:pPr>
              <w:spacing w:line="276" w:lineRule="auto"/>
              <w:jc w:val="center"/>
              <w:rPr>
                <w:sz w:val="24"/>
              </w:rPr>
            </w:pPr>
            <w:r w:rsidRPr="00575270">
              <w:rPr>
                <w:sz w:val="24"/>
              </w:rPr>
              <w:t>本期费用</w:t>
            </w:r>
          </w:p>
        </w:tc>
        <w:tc>
          <w:tcPr>
            <w:tcW w:w="3012" w:type="dxa"/>
            <w:vAlign w:val="center"/>
          </w:tcPr>
          <w:p w:rsidR="00C45886" w:rsidRPr="00575270" w:rsidRDefault="00C45886" w:rsidP="00342FE7">
            <w:pPr>
              <w:spacing w:line="276" w:lineRule="auto"/>
              <w:jc w:val="center"/>
              <w:rPr>
                <w:sz w:val="24"/>
              </w:rPr>
            </w:pPr>
            <w:r w:rsidRPr="00575270">
              <w:rPr>
                <w:sz w:val="24"/>
              </w:rPr>
              <w:t>其中：交易及持有基金管理人以及管理人关联方所管理基金产生的费用</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当期交易基金产生的申购费</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839.00</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当期交易基金产生的赎回费（元）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559.33</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559.33</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当期持有基金产生的应支付销售服务费（元）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2,520.50</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当期持有基金产生的应支付管理费（元）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85,107.17</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14,244.37</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当期持有基金产生的应支付托管费（元）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14,722.06</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2,488.72</w:t>
            </w:r>
          </w:p>
        </w:tc>
      </w:tr>
      <w:tr w:rsidR="00034C99">
        <w:tc>
          <w:tcPr>
            <w:tcW w:w="3012" w:type="dxa"/>
            <w:vAlign w:val="center"/>
          </w:tcPr>
          <w:p w:rsidR="00034C99" w:rsidRDefault="001E56CF">
            <w:pPr>
              <w:jc w:val="left"/>
            </w:pPr>
            <w:r>
              <w:rPr>
                <w:rFonts w:eastAsiaTheme="minorEastAsia"/>
                <w:color w:val="000000" w:themeColor="text1"/>
                <w:sz w:val="24"/>
              </w:rPr>
              <w:t>当期交易基金产生的交易费（元）</w:t>
            </w:r>
          </w:p>
        </w:tc>
        <w:tc>
          <w:tcPr>
            <w:tcW w:w="3012" w:type="dxa"/>
            <w:vAlign w:val="center"/>
          </w:tcPr>
          <w:p w:rsidR="00034C99" w:rsidRDefault="001E56CF">
            <w:pPr>
              <w:jc w:val="right"/>
            </w:pPr>
            <w:r>
              <w:rPr>
                <w:rFonts w:eastAsiaTheme="minorEastAsia"/>
                <w:color w:val="000000" w:themeColor="text1"/>
                <w:sz w:val="24"/>
              </w:rPr>
              <w:t>374.28</w:t>
            </w:r>
          </w:p>
        </w:tc>
        <w:tc>
          <w:tcPr>
            <w:tcW w:w="3012" w:type="dxa"/>
            <w:vAlign w:val="center"/>
          </w:tcPr>
          <w:p w:rsidR="00034C99" w:rsidRDefault="001E56CF">
            <w:pPr>
              <w:jc w:val="right"/>
            </w:pPr>
            <w:r>
              <w:rPr>
                <w:rFonts w:eastAsiaTheme="minorEastAsia"/>
                <w:color w:val="000000" w:themeColor="text1"/>
                <w:sz w:val="24"/>
              </w:rPr>
              <w:t>-</w:t>
            </w:r>
          </w:p>
        </w:tc>
      </w:tr>
      <w:tr w:rsidR="00034C99">
        <w:tc>
          <w:tcPr>
            <w:tcW w:w="3012" w:type="dxa"/>
            <w:vAlign w:val="center"/>
          </w:tcPr>
          <w:p w:rsidR="00034C99" w:rsidRDefault="001E56CF">
            <w:pPr>
              <w:jc w:val="left"/>
            </w:pPr>
            <w:r>
              <w:rPr>
                <w:rFonts w:eastAsiaTheme="minorEastAsia"/>
                <w:color w:val="000000" w:themeColor="text1"/>
                <w:sz w:val="24"/>
              </w:rPr>
              <w:t>当期交易基金产生的转换费（元）</w:t>
            </w:r>
          </w:p>
        </w:tc>
        <w:tc>
          <w:tcPr>
            <w:tcW w:w="3012" w:type="dxa"/>
            <w:vAlign w:val="center"/>
          </w:tcPr>
          <w:p w:rsidR="00034C99" w:rsidRDefault="001E56CF">
            <w:pPr>
              <w:jc w:val="right"/>
            </w:pPr>
            <w:r>
              <w:rPr>
                <w:rFonts w:eastAsiaTheme="minorEastAsia"/>
                <w:color w:val="000000" w:themeColor="text1"/>
                <w:sz w:val="24"/>
              </w:rPr>
              <w:t>-</w:t>
            </w:r>
          </w:p>
        </w:tc>
        <w:tc>
          <w:tcPr>
            <w:tcW w:w="3012" w:type="dxa"/>
            <w:vAlign w:val="center"/>
          </w:tcPr>
          <w:p w:rsidR="00034C99" w:rsidRDefault="001E56CF">
            <w:pPr>
              <w:jc w:val="right"/>
            </w:pPr>
            <w:r>
              <w:rPr>
                <w:rFonts w:eastAsiaTheme="minorEastAsia"/>
                <w:color w:val="000000" w:themeColor="text1"/>
                <w:sz w:val="24"/>
              </w:rPr>
              <w:t>-</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6.3</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本报告期持有的基金发生的重大影响事件</w:t>
      </w:r>
    </w:p>
    <w:p w:rsidR="00C45886" w:rsidRPr="00575270" w:rsidRDefault="00C45886" w:rsidP="00C45886">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hint="eastAsia"/>
          <w:color w:val="000000" w:themeColor="text1"/>
          <w:sz w:val="24"/>
        </w:rPr>
        <w:t>无。</w:t>
      </w:r>
    </w:p>
    <w:p w:rsidR="005E6DF3" w:rsidRPr="00C45886" w:rsidRDefault="005E6DF3">
      <w:pPr>
        <w:spacing w:line="360" w:lineRule="auto"/>
        <w:ind w:firstLineChars="200" w:firstLine="420"/>
        <w:rPr>
          <w:rFonts w:eastAsiaTheme="minorEastAsia"/>
          <w:color w:val="000000" w:themeColor="text1"/>
          <w:szCs w:val="21"/>
        </w:rPr>
      </w:pPr>
    </w:p>
    <w:p w:rsidR="005E6DF3" w:rsidRPr="00B27A29" w:rsidRDefault="00C45886">
      <w:pPr>
        <w:pStyle w:val="1"/>
        <w:spacing w:beforeLines="100" w:before="312" w:afterLines="100" w:after="312" w:line="360" w:lineRule="auto"/>
        <w:jc w:val="center"/>
        <w:rPr>
          <w:rFonts w:eastAsiaTheme="minorEastAsia"/>
          <w:color w:val="000000" w:themeColor="text1"/>
          <w:kern w:val="0"/>
          <w:sz w:val="21"/>
          <w:szCs w:val="21"/>
        </w:rPr>
      </w:pPr>
      <w:r w:rsidRPr="005A3D62">
        <w:rPr>
          <w:rFonts w:eastAsiaTheme="minorEastAsia"/>
          <w:color w:val="000000" w:themeColor="text1"/>
          <w:kern w:val="0"/>
          <w:sz w:val="24"/>
          <w:szCs w:val="24"/>
        </w:rPr>
        <w:t>§7</w:t>
      </w:r>
      <w:r w:rsidR="005C671B" w:rsidRPr="00B27A29">
        <w:rPr>
          <w:rFonts w:eastAsiaTheme="minorEastAsia"/>
          <w:color w:val="000000" w:themeColor="text1"/>
          <w:kern w:val="0"/>
          <w:sz w:val="21"/>
          <w:szCs w:val="21"/>
        </w:rPr>
        <w:t xml:space="preserve">  </w:t>
      </w:r>
      <w:r w:rsidR="005C671B"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33,183,869.32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4,236,913.08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351,231.01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2,627,779.26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937,331.55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322,617.79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32,597,768.78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6,542,074.55</w:t>
            </w:r>
          </w:p>
        </w:tc>
      </w:tr>
    </w:tbl>
    <w:p w:rsidR="005E6DF3" w:rsidRPr="00B27A29" w:rsidRDefault="00C45886">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w:t>
      </w:r>
      <w:r w:rsidR="005C671B" w:rsidRPr="00B27A29">
        <w:rPr>
          <w:rFonts w:eastAsiaTheme="minorEastAsia"/>
          <w:color w:val="000000" w:themeColor="text1"/>
          <w:kern w:val="0"/>
          <w:sz w:val="21"/>
          <w:szCs w:val="21"/>
        </w:rPr>
        <w:t>8</w:t>
      </w:r>
      <w:r w:rsidR="00916691">
        <w:rPr>
          <w:rFonts w:eastAsiaTheme="minorEastAsia"/>
          <w:color w:val="000000" w:themeColor="text1"/>
          <w:kern w:val="0"/>
          <w:sz w:val="21"/>
          <w:szCs w:val="21"/>
        </w:rPr>
        <w:t xml:space="preserve">  </w:t>
      </w:r>
      <w:r w:rsidR="005C671B"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8.1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811,768.33</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811,768.33</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2.07</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8.2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034C99" w:rsidRDefault="001E56CF">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rsidR="00034C99" w:rsidRDefault="001E56CF">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（二）摩根尚睿混合型基金中基金</w:t>
      </w:r>
      <w:r>
        <w:rPr>
          <w:rFonts w:eastAsiaTheme="minorEastAsia"/>
          <w:color w:val="000000" w:themeColor="text1"/>
          <w:szCs w:val="21"/>
        </w:rPr>
        <w:t>(FOF)</w:t>
      </w:r>
      <w:r>
        <w:rPr>
          <w:rFonts w:eastAsiaTheme="minorEastAsia"/>
          <w:color w:val="000000" w:themeColor="text1"/>
          <w:szCs w:val="21"/>
        </w:rPr>
        <w:t>基金合同</w:t>
      </w:r>
    </w:p>
    <w:p w:rsidR="00034C99" w:rsidRDefault="001E56CF">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（三）摩根尚睿混合型基金中基金</w:t>
      </w:r>
      <w:r>
        <w:rPr>
          <w:rFonts w:eastAsiaTheme="minorEastAsia"/>
          <w:color w:val="000000" w:themeColor="text1"/>
          <w:szCs w:val="21"/>
        </w:rPr>
        <w:t>(FOF)</w:t>
      </w:r>
      <w:r>
        <w:rPr>
          <w:rFonts w:eastAsiaTheme="minorEastAsia"/>
          <w:color w:val="000000" w:themeColor="text1"/>
          <w:szCs w:val="21"/>
        </w:rPr>
        <w:t>托管协议</w:t>
      </w:r>
    </w:p>
    <w:p w:rsidR="00034C99" w:rsidRDefault="001E56CF">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034C99" w:rsidRDefault="001E56CF">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034C99" w:rsidRDefault="001E56CF">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034C99" w:rsidRDefault="001E56CF">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1A" w:rsidRDefault="00045D1A">
      <w:r>
        <w:separator/>
      </w:r>
    </w:p>
  </w:endnote>
  <w:endnote w:type="continuationSeparator" w:id="0">
    <w:p w:rsidR="00045D1A" w:rsidRDefault="0004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C4D2A">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C4D2A">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C4D2A">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1A" w:rsidRDefault="00045D1A">
      <w:r>
        <w:separator/>
      </w:r>
    </w:p>
  </w:footnote>
  <w:footnote w:type="continuationSeparator" w:id="0">
    <w:p w:rsidR="00045D1A" w:rsidRDefault="0004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摩根尚睿混合型基金中基金</w:t>
    </w:r>
    <w:r>
      <w:t>(FOF)2023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4C99"/>
    <w:rsid w:val="0003564A"/>
    <w:rsid w:val="00037B55"/>
    <w:rsid w:val="00037C73"/>
    <w:rsid w:val="00042065"/>
    <w:rsid w:val="00043FD2"/>
    <w:rsid w:val="00045476"/>
    <w:rsid w:val="00045558"/>
    <w:rsid w:val="00045BA9"/>
    <w:rsid w:val="00045D1A"/>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E56CF"/>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0AC2"/>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1E5"/>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2C8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4D2A"/>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36AE"/>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113"/>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4F4B"/>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1573"/>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691"/>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1100"/>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623C"/>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5886"/>
    <w:rsid w:val="00C52D18"/>
    <w:rsid w:val="00C54DC1"/>
    <w:rsid w:val="00C559CE"/>
    <w:rsid w:val="00C55E19"/>
    <w:rsid w:val="00C5617F"/>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448"/>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49A"/>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2EB"/>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5F4DBE-913B-48AD-879D-BA856AE92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45</TotalTime>
  <Pages>16</Pages>
  <Words>1443</Words>
  <Characters>8226</Characters>
  <Application>Microsoft Office Word</Application>
  <DocSecurity>0</DocSecurity>
  <Lines>68</Lines>
  <Paragraphs>19</Paragraphs>
  <ScaleCrop>false</ScaleCrop>
  <Company>TRT. Ltd. Co.</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231</cp:revision>
  <cp:lastPrinted>2007-07-19T00:46:00Z</cp:lastPrinted>
  <dcterms:created xsi:type="dcterms:W3CDTF">2013-06-21T06:56:00Z</dcterms:created>
  <dcterms:modified xsi:type="dcterms:W3CDTF">2024-01-19T06:10:00Z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