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35,335,628.07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w:t>
            </w:r>
            <w:r>
              <w:rPr>
                <w:rFonts w:eastAsiaTheme="minorEastAsia"/>
                <w:color w:val="000000" w:themeColor="text1"/>
                <w:kern w:val="0"/>
                <w:szCs w:val="21"/>
              </w:rPr>
              <w:lastRenderedPageBreak/>
              <w:t>大类资产的长期战略配置比例。</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主动管理型基金投资策略</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w:t>
            </w:r>
            <w:r>
              <w:rPr>
                <w:rFonts w:eastAsiaTheme="minorEastAsia"/>
                <w:color w:val="000000" w:themeColor="text1"/>
                <w:kern w:val="0"/>
                <w:szCs w:val="21"/>
              </w:rPr>
              <w:t>管理人本着审慎尽职的原则，可将投资范围逐步扩展至其他管理人旗下的公募基金。</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、其他投资策略：包括债券投资策略、中小企业私募债</w:t>
            </w:r>
            <w:r w:rsidRPr="00B27A29">
              <w:rPr>
                <w:rFonts w:eastAsiaTheme="minorEastAsia"/>
                <w:color w:val="000000" w:themeColor="text1"/>
                <w:kern w:val="0"/>
                <w:szCs w:val="21"/>
              </w:rPr>
              <w:lastRenderedPageBreak/>
              <w:t>投资策略、证券公司短期公司债投资策略、资产支持证券投资策略。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24EFC" w:rsidRDefault="000F2F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31,639,327.19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3,696,300.88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-339,436.29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-52,379.37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-919,361.99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-101,120.30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33,271,001.33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3,833,965.41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1.0372</w:t>
            </w:r>
          </w:p>
        </w:tc>
      </w:tr>
    </w:tbl>
    <w:p w:rsidR="00B24EFC" w:rsidRDefault="000F2FB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4EFC">
        <w:tc>
          <w:tcPr>
            <w:tcW w:w="1290" w:type="dxa"/>
            <w:vAlign w:val="center"/>
          </w:tcPr>
          <w:p w:rsidR="00B24EFC" w:rsidRDefault="000F2FB6">
            <w:pPr>
              <w:jc w:val="left"/>
            </w:pPr>
            <w:r>
              <w:rPr>
                <w:rFonts w:eastAsiaTheme="minorEastAsia"/>
                <w:color w:val="000000" w:themeColor="text1"/>
                <w:szCs w:val="21"/>
              </w:rPr>
              <w:t>过去三个月</w:t>
            </w:r>
          </w:p>
        </w:tc>
        <w:tc>
          <w:tcPr>
            <w:tcW w:w="1291" w:type="dxa"/>
            <w:vAlign w:val="center"/>
          </w:tcPr>
          <w:p w:rsidR="00B24EFC" w:rsidRDefault="000F2FB6">
            <w:pPr>
              <w:jc w:val="right"/>
            </w:pPr>
            <w:r>
              <w:rPr>
                <w:rFonts w:eastAsiaTheme="minorEastAsia"/>
                <w:color w:val="000000" w:themeColor="text1"/>
                <w:szCs w:val="21"/>
              </w:rPr>
              <w:t>-2.67%</w:t>
            </w:r>
          </w:p>
        </w:tc>
        <w:tc>
          <w:tcPr>
            <w:tcW w:w="1291" w:type="dxa"/>
            <w:vAlign w:val="center"/>
          </w:tcPr>
          <w:p w:rsidR="00B24EFC" w:rsidRDefault="000F2FB6">
            <w:pPr>
              <w:jc w:val="right"/>
            </w:pPr>
            <w:r>
              <w:rPr>
                <w:rFonts w:eastAsiaTheme="minorEastAsia"/>
                <w:color w:val="000000" w:themeColor="text1"/>
                <w:szCs w:val="21"/>
              </w:rPr>
              <w:t>0.88%</w:t>
            </w:r>
          </w:p>
        </w:tc>
        <w:tc>
          <w:tcPr>
            <w:tcW w:w="1291" w:type="dxa"/>
            <w:vAlign w:val="center"/>
          </w:tcPr>
          <w:p w:rsidR="00B24EFC" w:rsidRDefault="000F2FB6">
            <w:pPr>
              <w:jc w:val="right"/>
            </w:pPr>
            <w:r>
              <w:rPr>
                <w:rFonts w:eastAsiaTheme="minorEastAsia"/>
                <w:color w:val="000000" w:themeColor="text1"/>
                <w:szCs w:val="21"/>
              </w:rPr>
              <w:t>-1.92%</w:t>
            </w:r>
          </w:p>
        </w:tc>
        <w:tc>
          <w:tcPr>
            <w:tcW w:w="1291" w:type="dxa"/>
            <w:vAlign w:val="center"/>
          </w:tcPr>
          <w:p w:rsidR="00B24EFC" w:rsidRDefault="000F2FB6">
            <w:pPr>
              <w:jc w:val="right"/>
            </w:pPr>
            <w:r>
              <w:rPr>
                <w:rFonts w:eastAsiaTheme="minorEastAsia"/>
                <w:color w:val="000000" w:themeColor="text1"/>
                <w:szCs w:val="21"/>
              </w:rPr>
              <w:t>0.66%</w:t>
            </w:r>
          </w:p>
        </w:tc>
        <w:tc>
          <w:tcPr>
            <w:tcW w:w="1291" w:type="dxa"/>
            <w:vAlign w:val="center"/>
          </w:tcPr>
          <w:p w:rsidR="00B24EFC" w:rsidRDefault="000F2FB6">
            <w:pPr>
              <w:jc w:val="right"/>
            </w:pPr>
            <w:r>
              <w:rPr>
                <w:rFonts w:eastAsiaTheme="minorEastAsia"/>
                <w:color w:val="000000" w:themeColor="text1"/>
                <w:szCs w:val="21"/>
              </w:rPr>
              <w:t>-0.75%</w:t>
            </w:r>
          </w:p>
        </w:tc>
        <w:tc>
          <w:tcPr>
            <w:tcW w:w="1291" w:type="dxa"/>
            <w:vAlign w:val="center"/>
          </w:tcPr>
          <w:p w:rsidR="00B24EFC" w:rsidRDefault="000F2FB6">
            <w:pPr>
              <w:jc w:val="right"/>
            </w:pPr>
            <w:r>
              <w:rPr>
                <w:rFonts w:eastAsiaTheme="minorEastAsia"/>
                <w:color w:val="000000" w:themeColor="text1"/>
                <w:szCs w:val="21"/>
              </w:rPr>
              <w:t>0.22%</w:t>
            </w:r>
          </w:p>
        </w:tc>
      </w:tr>
      <w:tr w:rsidR="00B24EFC">
        <w:tc>
          <w:tcPr>
            <w:tcW w:w="1290" w:type="dxa"/>
            <w:vAlign w:val="center"/>
          </w:tcPr>
          <w:p w:rsidR="00B24EFC" w:rsidRDefault="000F2FB6">
            <w:pPr>
              <w:jc w:val="left"/>
            </w:pPr>
            <w:r>
              <w:rPr>
                <w:rFonts w:eastAsiaTheme="minorEastAsia"/>
                <w:color w:val="000000" w:themeColor="text1"/>
                <w:szCs w:val="21"/>
              </w:rPr>
              <w:t>过去六个月</w:t>
            </w:r>
          </w:p>
        </w:tc>
        <w:tc>
          <w:tcPr>
            <w:tcW w:w="1291" w:type="dxa"/>
            <w:vAlign w:val="center"/>
          </w:tcPr>
          <w:p w:rsidR="00B24EFC" w:rsidRDefault="000F2FB6">
            <w:pPr>
              <w:jc w:val="right"/>
            </w:pPr>
            <w:r>
              <w:rPr>
                <w:rFonts w:eastAsiaTheme="minorEastAsia"/>
                <w:color w:val="000000" w:themeColor="text1"/>
                <w:szCs w:val="21"/>
              </w:rPr>
              <w:t>-4.01%</w:t>
            </w:r>
          </w:p>
        </w:tc>
        <w:tc>
          <w:tcPr>
            <w:tcW w:w="1291" w:type="dxa"/>
            <w:vAlign w:val="center"/>
          </w:tcPr>
          <w:p w:rsidR="00B24EFC" w:rsidRDefault="000F2FB6">
            <w:pPr>
              <w:jc w:val="right"/>
            </w:pPr>
            <w:r>
              <w:rPr>
                <w:rFonts w:eastAsiaTheme="minorEastAsia"/>
                <w:color w:val="000000" w:themeColor="text1"/>
                <w:szCs w:val="21"/>
              </w:rPr>
              <w:t>1.15%</w:t>
            </w:r>
          </w:p>
        </w:tc>
        <w:tc>
          <w:tcPr>
            <w:tcW w:w="1291" w:type="dxa"/>
            <w:vAlign w:val="center"/>
          </w:tcPr>
          <w:p w:rsidR="00B24EFC" w:rsidRDefault="000F2FB6">
            <w:pPr>
              <w:jc w:val="right"/>
            </w:pPr>
            <w:r>
              <w:rPr>
                <w:rFonts w:eastAsiaTheme="minorEastAsia"/>
                <w:color w:val="000000" w:themeColor="text1"/>
                <w:szCs w:val="21"/>
              </w:rPr>
              <w:t>-3.96%</w:t>
            </w:r>
          </w:p>
        </w:tc>
        <w:tc>
          <w:tcPr>
            <w:tcW w:w="1291" w:type="dxa"/>
            <w:vAlign w:val="center"/>
          </w:tcPr>
          <w:p w:rsidR="00B24EFC" w:rsidRDefault="000F2FB6">
            <w:pPr>
              <w:jc w:val="right"/>
            </w:pPr>
            <w:r>
              <w:rPr>
                <w:rFonts w:eastAsiaTheme="minorEastAsia"/>
                <w:color w:val="000000" w:themeColor="text1"/>
                <w:szCs w:val="21"/>
              </w:rPr>
              <w:t>0.90%</w:t>
            </w:r>
          </w:p>
        </w:tc>
        <w:tc>
          <w:tcPr>
            <w:tcW w:w="1291" w:type="dxa"/>
            <w:vAlign w:val="center"/>
          </w:tcPr>
          <w:p w:rsidR="00B24EFC" w:rsidRDefault="000F2FB6">
            <w:pPr>
              <w:jc w:val="right"/>
            </w:pPr>
            <w:r>
              <w:rPr>
                <w:rFonts w:eastAsiaTheme="minorEastAsia"/>
                <w:color w:val="000000" w:themeColor="text1"/>
                <w:szCs w:val="21"/>
              </w:rPr>
              <w:t>-0.05%</w:t>
            </w:r>
          </w:p>
        </w:tc>
        <w:tc>
          <w:tcPr>
            <w:tcW w:w="1291" w:type="dxa"/>
            <w:vAlign w:val="center"/>
          </w:tcPr>
          <w:p w:rsidR="00B24EFC" w:rsidRDefault="000F2FB6">
            <w:pPr>
              <w:jc w:val="right"/>
            </w:pPr>
            <w:r>
              <w:rPr>
                <w:rFonts w:eastAsiaTheme="minorEastAsia"/>
                <w:color w:val="000000" w:themeColor="text1"/>
                <w:szCs w:val="21"/>
              </w:rPr>
              <w:t>0.25%</w:t>
            </w:r>
          </w:p>
        </w:tc>
      </w:tr>
      <w:tr w:rsidR="00B24EFC">
        <w:tc>
          <w:tcPr>
            <w:tcW w:w="1290" w:type="dxa"/>
            <w:vAlign w:val="center"/>
          </w:tcPr>
          <w:p w:rsidR="00B24EFC" w:rsidRDefault="000F2FB6">
            <w:pPr>
              <w:jc w:val="left"/>
            </w:pPr>
            <w:r>
              <w:rPr>
                <w:rFonts w:eastAsiaTheme="minorEastAsia"/>
                <w:color w:val="000000" w:themeColor="text1"/>
                <w:szCs w:val="21"/>
              </w:rPr>
              <w:t>过去一年</w:t>
            </w:r>
          </w:p>
        </w:tc>
        <w:tc>
          <w:tcPr>
            <w:tcW w:w="1291" w:type="dxa"/>
            <w:vAlign w:val="center"/>
          </w:tcPr>
          <w:p w:rsidR="00B24EFC" w:rsidRDefault="000F2FB6">
            <w:pPr>
              <w:jc w:val="right"/>
            </w:pPr>
            <w:r>
              <w:rPr>
                <w:rFonts w:eastAsiaTheme="minorEastAsia"/>
                <w:color w:val="000000" w:themeColor="text1"/>
                <w:szCs w:val="21"/>
              </w:rPr>
              <w:t>-14.39%</w:t>
            </w:r>
          </w:p>
        </w:tc>
        <w:tc>
          <w:tcPr>
            <w:tcW w:w="1291" w:type="dxa"/>
            <w:vAlign w:val="center"/>
          </w:tcPr>
          <w:p w:rsidR="00B24EFC" w:rsidRDefault="000F2FB6">
            <w:pPr>
              <w:jc w:val="right"/>
            </w:pPr>
            <w:r>
              <w:rPr>
                <w:rFonts w:eastAsiaTheme="minorEastAsia"/>
                <w:color w:val="000000" w:themeColor="text1"/>
                <w:szCs w:val="21"/>
              </w:rPr>
              <w:t>0.99%</w:t>
            </w:r>
          </w:p>
        </w:tc>
        <w:tc>
          <w:tcPr>
            <w:tcW w:w="1291" w:type="dxa"/>
            <w:vAlign w:val="center"/>
          </w:tcPr>
          <w:p w:rsidR="00B24EFC" w:rsidRDefault="000F2FB6">
            <w:pPr>
              <w:jc w:val="right"/>
            </w:pPr>
            <w:r>
              <w:rPr>
                <w:rFonts w:eastAsiaTheme="minorEastAsia"/>
                <w:color w:val="000000" w:themeColor="text1"/>
                <w:szCs w:val="21"/>
              </w:rPr>
              <w:t>-12.45%</w:t>
            </w:r>
          </w:p>
        </w:tc>
        <w:tc>
          <w:tcPr>
            <w:tcW w:w="1291" w:type="dxa"/>
            <w:vAlign w:val="center"/>
          </w:tcPr>
          <w:p w:rsidR="00B24EFC" w:rsidRDefault="000F2FB6">
            <w:pPr>
              <w:jc w:val="right"/>
            </w:pPr>
            <w:r>
              <w:rPr>
                <w:rFonts w:eastAsiaTheme="minorEastAsia"/>
                <w:color w:val="000000" w:themeColor="text1"/>
                <w:szCs w:val="21"/>
              </w:rPr>
              <w:t>0.78%</w:t>
            </w:r>
          </w:p>
        </w:tc>
        <w:tc>
          <w:tcPr>
            <w:tcW w:w="1291" w:type="dxa"/>
            <w:vAlign w:val="center"/>
          </w:tcPr>
          <w:p w:rsidR="00B24EFC" w:rsidRDefault="000F2FB6">
            <w:pPr>
              <w:jc w:val="right"/>
            </w:pPr>
            <w:r>
              <w:rPr>
                <w:rFonts w:eastAsiaTheme="minorEastAsia"/>
                <w:color w:val="000000" w:themeColor="text1"/>
                <w:szCs w:val="21"/>
              </w:rPr>
              <w:t>-1.94%</w:t>
            </w:r>
          </w:p>
        </w:tc>
        <w:tc>
          <w:tcPr>
            <w:tcW w:w="1291" w:type="dxa"/>
            <w:vAlign w:val="center"/>
          </w:tcPr>
          <w:p w:rsidR="00B24EFC" w:rsidRDefault="000F2FB6">
            <w:pPr>
              <w:jc w:val="right"/>
            </w:pPr>
            <w:r>
              <w:rPr>
                <w:rFonts w:eastAsiaTheme="minorEastAsia"/>
                <w:color w:val="000000" w:themeColor="text1"/>
                <w:szCs w:val="21"/>
              </w:rPr>
              <w:t>0.21%</w:t>
            </w:r>
          </w:p>
        </w:tc>
      </w:tr>
      <w:tr w:rsidR="00B24EFC">
        <w:tc>
          <w:tcPr>
            <w:tcW w:w="1290" w:type="dxa"/>
            <w:vAlign w:val="center"/>
          </w:tcPr>
          <w:p w:rsidR="00B24EFC" w:rsidRDefault="000F2FB6">
            <w:pPr>
              <w:jc w:val="left"/>
            </w:pPr>
            <w:r>
              <w:rPr>
                <w:rFonts w:eastAsiaTheme="minorEastAsia"/>
                <w:color w:val="000000" w:themeColor="text1"/>
                <w:szCs w:val="21"/>
              </w:rPr>
              <w:t>过去三年</w:t>
            </w:r>
          </w:p>
        </w:tc>
        <w:tc>
          <w:tcPr>
            <w:tcW w:w="1291" w:type="dxa"/>
            <w:vAlign w:val="center"/>
          </w:tcPr>
          <w:p w:rsidR="00B24EFC" w:rsidRDefault="000F2FB6">
            <w:pPr>
              <w:jc w:val="right"/>
            </w:pPr>
            <w:r>
              <w:rPr>
                <w:rFonts w:eastAsiaTheme="minorEastAsia"/>
                <w:color w:val="000000" w:themeColor="text1"/>
                <w:szCs w:val="21"/>
              </w:rPr>
              <w:t>-30.97%</w:t>
            </w:r>
          </w:p>
        </w:tc>
        <w:tc>
          <w:tcPr>
            <w:tcW w:w="1291" w:type="dxa"/>
            <w:vAlign w:val="center"/>
          </w:tcPr>
          <w:p w:rsidR="00B24EFC" w:rsidRDefault="000F2FB6">
            <w:pPr>
              <w:jc w:val="right"/>
            </w:pPr>
            <w:r>
              <w:rPr>
                <w:rFonts w:eastAsiaTheme="minorEastAsia"/>
                <w:color w:val="000000" w:themeColor="text1"/>
                <w:szCs w:val="21"/>
              </w:rPr>
              <w:t>0.90%</w:t>
            </w:r>
          </w:p>
        </w:tc>
        <w:tc>
          <w:tcPr>
            <w:tcW w:w="1291" w:type="dxa"/>
            <w:vAlign w:val="center"/>
          </w:tcPr>
          <w:p w:rsidR="00B24EFC" w:rsidRDefault="000F2FB6">
            <w:pPr>
              <w:jc w:val="right"/>
            </w:pPr>
            <w:r>
              <w:rPr>
                <w:rFonts w:eastAsiaTheme="minorEastAsia"/>
                <w:color w:val="000000" w:themeColor="text1"/>
                <w:szCs w:val="21"/>
              </w:rPr>
              <w:t>-25.10%</w:t>
            </w:r>
          </w:p>
        </w:tc>
        <w:tc>
          <w:tcPr>
            <w:tcW w:w="1291" w:type="dxa"/>
            <w:vAlign w:val="center"/>
          </w:tcPr>
          <w:p w:rsidR="00B24EFC" w:rsidRDefault="000F2FB6">
            <w:pPr>
              <w:jc w:val="right"/>
            </w:pPr>
            <w:r>
              <w:rPr>
                <w:rFonts w:eastAsiaTheme="minorEastAsia"/>
                <w:color w:val="000000" w:themeColor="text1"/>
                <w:szCs w:val="21"/>
              </w:rPr>
              <w:t>0.71%</w:t>
            </w:r>
          </w:p>
        </w:tc>
        <w:tc>
          <w:tcPr>
            <w:tcW w:w="1291" w:type="dxa"/>
            <w:vAlign w:val="center"/>
          </w:tcPr>
          <w:p w:rsidR="00B24EFC" w:rsidRDefault="000F2FB6">
            <w:pPr>
              <w:jc w:val="right"/>
            </w:pPr>
            <w:r>
              <w:rPr>
                <w:rFonts w:eastAsiaTheme="minorEastAsia"/>
                <w:color w:val="000000" w:themeColor="text1"/>
                <w:szCs w:val="21"/>
              </w:rPr>
              <w:t>-5.87%</w:t>
            </w:r>
          </w:p>
        </w:tc>
        <w:tc>
          <w:tcPr>
            <w:tcW w:w="1291" w:type="dxa"/>
            <w:vAlign w:val="center"/>
          </w:tcPr>
          <w:p w:rsidR="00B24EFC" w:rsidRDefault="000F2FB6">
            <w:pPr>
              <w:jc w:val="right"/>
            </w:pPr>
            <w:r>
              <w:rPr>
                <w:rFonts w:eastAsiaTheme="minorEastAsia"/>
                <w:color w:val="000000" w:themeColor="text1"/>
                <w:szCs w:val="21"/>
              </w:rPr>
              <w:t>0.19%</w:t>
            </w:r>
          </w:p>
        </w:tc>
      </w:tr>
      <w:tr w:rsidR="00B24EFC">
        <w:tc>
          <w:tcPr>
            <w:tcW w:w="1290" w:type="dxa"/>
            <w:vAlign w:val="center"/>
          </w:tcPr>
          <w:p w:rsidR="00B24EFC" w:rsidRDefault="000F2FB6">
            <w:pPr>
              <w:jc w:val="left"/>
            </w:pPr>
            <w:r>
              <w:rPr>
                <w:rFonts w:eastAsiaTheme="minorEastAsia"/>
                <w:color w:val="000000" w:themeColor="text1"/>
                <w:szCs w:val="21"/>
              </w:rPr>
              <w:t>过去五年</w:t>
            </w:r>
          </w:p>
        </w:tc>
        <w:tc>
          <w:tcPr>
            <w:tcW w:w="1291" w:type="dxa"/>
            <w:vAlign w:val="center"/>
          </w:tcPr>
          <w:p w:rsidR="00B24EFC" w:rsidRDefault="000F2FB6">
            <w:pPr>
              <w:jc w:val="right"/>
            </w:pPr>
            <w:r>
              <w:rPr>
                <w:rFonts w:eastAsiaTheme="minorEastAsia"/>
                <w:color w:val="000000" w:themeColor="text1"/>
                <w:szCs w:val="21"/>
              </w:rPr>
              <w:t>-2.31%</w:t>
            </w:r>
          </w:p>
        </w:tc>
        <w:tc>
          <w:tcPr>
            <w:tcW w:w="1291" w:type="dxa"/>
            <w:vAlign w:val="center"/>
          </w:tcPr>
          <w:p w:rsidR="00B24EFC" w:rsidRDefault="000F2FB6">
            <w:pPr>
              <w:jc w:val="right"/>
            </w:pPr>
            <w:r>
              <w:rPr>
                <w:rFonts w:eastAsiaTheme="minorEastAsia"/>
                <w:color w:val="000000" w:themeColor="text1"/>
                <w:szCs w:val="21"/>
              </w:rPr>
              <w:t>0.88%</w:t>
            </w:r>
          </w:p>
        </w:tc>
        <w:tc>
          <w:tcPr>
            <w:tcW w:w="1291" w:type="dxa"/>
            <w:vAlign w:val="center"/>
          </w:tcPr>
          <w:p w:rsidR="00B24EFC" w:rsidRDefault="000F2FB6">
            <w:pPr>
              <w:jc w:val="right"/>
            </w:pPr>
            <w:r>
              <w:rPr>
                <w:rFonts w:eastAsiaTheme="minorEastAsia"/>
                <w:color w:val="000000" w:themeColor="text1"/>
                <w:szCs w:val="21"/>
              </w:rPr>
              <w:t>-7.53%</w:t>
            </w:r>
          </w:p>
        </w:tc>
        <w:tc>
          <w:tcPr>
            <w:tcW w:w="1291" w:type="dxa"/>
            <w:vAlign w:val="center"/>
          </w:tcPr>
          <w:p w:rsidR="00B24EFC" w:rsidRDefault="000F2FB6">
            <w:pPr>
              <w:jc w:val="right"/>
            </w:pPr>
            <w:r>
              <w:rPr>
                <w:rFonts w:eastAsiaTheme="minorEastAsia"/>
                <w:color w:val="000000" w:themeColor="text1"/>
                <w:szCs w:val="21"/>
              </w:rPr>
              <w:t>0.73%</w:t>
            </w:r>
          </w:p>
        </w:tc>
        <w:tc>
          <w:tcPr>
            <w:tcW w:w="1291" w:type="dxa"/>
            <w:vAlign w:val="center"/>
          </w:tcPr>
          <w:p w:rsidR="00B24EFC" w:rsidRDefault="000F2FB6">
            <w:pPr>
              <w:jc w:val="right"/>
            </w:pPr>
            <w:r>
              <w:rPr>
                <w:rFonts w:eastAsiaTheme="minorEastAsia"/>
                <w:color w:val="000000" w:themeColor="text1"/>
                <w:szCs w:val="21"/>
              </w:rPr>
              <w:t>5.22%</w:t>
            </w:r>
          </w:p>
        </w:tc>
        <w:tc>
          <w:tcPr>
            <w:tcW w:w="1291" w:type="dxa"/>
            <w:vAlign w:val="center"/>
          </w:tcPr>
          <w:p w:rsidR="00B24EFC" w:rsidRDefault="000F2FB6">
            <w:pPr>
              <w:jc w:val="right"/>
            </w:pPr>
            <w:r>
              <w:rPr>
                <w:rFonts w:eastAsiaTheme="minorEastAsia"/>
                <w:color w:val="000000" w:themeColor="text1"/>
                <w:szCs w:val="21"/>
              </w:rPr>
              <w:t>0.15%</w:t>
            </w:r>
          </w:p>
        </w:tc>
      </w:tr>
      <w:tr w:rsidR="00B24EFC">
        <w:tc>
          <w:tcPr>
            <w:tcW w:w="1290" w:type="dxa"/>
            <w:vAlign w:val="center"/>
          </w:tcPr>
          <w:p w:rsidR="00B24EFC" w:rsidRDefault="000F2FB6">
            <w:pPr>
              <w:jc w:val="left"/>
            </w:pPr>
            <w:r>
              <w:rPr>
                <w:rFonts w:eastAsiaTheme="minorEastAsia"/>
                <w:color w:val="000000" w:themeColor="text1"/>
                <w:szCs w:val="21"/>
              </w:rPr>
              <w:t>自基金合同生效起至今</w:t>
            </w:r>
          </w:p>
        </w:tc>
        <w:tc>
          <w:tcPr>
            <w:tcW w:w="1291" w:type="dxa"/>
            <w:vAlign w:val="center"/>
          </w:tcPr>
          <w:p w:rsidR="00B24EFC" w:rsidRDefault="000F2FB6">
            <w:pPr>
              <w:jc w:val="right"/>
            </w:pPr>
            <w:r>
              <w:rPr>
                <w:rFonts w:eastAsiaTheme="minorEastAsia"/>
                <w:color w:val="000000" w:themeColor="text1"/>
                <w:szCs w:val="21"/>
              </w:rPr>
              <w:t>5.16%</w:t>
            </w:r>
          </w:p>
        </w:tc>
        <w:tc>
          <w:tcPr>
            <w:tcW w:w="1291" w:type="dxa"/>
            <w:vAlign w:val="center"/>
          </w:tcPr>
          <w:p w:rsidR="00B24EFC" w:rsidRDefault="000F2FB6">
            <w:pPr>
              <w:jc w:val="right"/>
            </w:pPr>
            <w:r>
              <w:rPr>
                <w:rFonts w:eastAsiaTheme="minorEastAsia"/>
                <w:color w:val="000000" w:themeColor="text1"/>
                <w:szCs w:val="21"/>
              </w:rPr>
              <w:t>0.83%</w:t>
            </w:r>
          </w:p>
        </w:tc>
        <w:tc>
          <w:tcPr>
            <w:tcW w:w="1291" w:type="dxa"/>
            <w:vAlign w:val="center"/>
          </w:tcPr>
          <w:p w:rsidR="00B24EFC" w:rsidRDefault="000F2FB6">
            <w:pPr>
              <w:jc w:val="right"/>
            </w:pPr>
            <w:r>
              <w:rPr>
                <w:rFonts w:eastAsiaTheme="minorEastAsia"/>
                <w:color w:val="000000" w:themeColor="text1"/>
                <w:szCs w:val="21"/>
              </w:rPr>
              <w:t>-0.46%</w:t>
            </w:r>
          </w:p>
        </w:tc>
        <w:tc>
          <w:tcPr>
            <w:tcW w:w="1291" w:type="dxa"/>
            <w:vAlign w:val="center"/>
          </w:tcPr>
          <w:p w:rsidR="00B24EFC" w:rsidRDefault="000F2FB6">
            <w:pPr>
              <w:jc w:val="right"/>
            </w:pPr>
            <w:r>
              <w:rPr>
                <w:rFonts w:eastAsiaTheme="minorEastAsia"/>
                <w:color w:val="000000" w:themeColor="text1"/>
                <w:szCs w:val="21"/>
              </w:rPr>
              <w:t>0.76%</w:t>
            </w:r>
          </w:p>
        </w:tc>
        <w:tc>
          <w:tcPr>
            <w:tcW w:w="1291" w:type="dxa"/>
            <w:vAlign w:val="center"/>
          </w:tcPr>
          <w:p w:rsidR="00B24EFC" w:rsidRDefault="000F2FB6">
            <w:pPr>
              <w:jc w:val="right"/>
            </w:pPr>
            <w:r>
              <w:rPr>
                <w:rFonts w:eastAsiaTheme="minorEastAsia"/>
                <w:color w:val="000000" w:themeColor="text1"/>
                <w:szCs w:val="21"/>
              </w:rPr>
              <w:t>5.62%</w:t>
            </w:r>
          </w:p>
        </w:tc>
        <w:tc>
          <w:tcPr>
            <w:tcW w:w="1291" w:type="dxa"/>
            <w:vAlign w:val="center"/>
          </w:tcPr>
          <w:p w:rsidR="00B24EFC" w:rsidRDefault="000F2FB6">
            <w:pPr>
              <w:jc w:val="right"/>
            </w:pPr>
            <w:r>
              <w:rPr>
                <w:rFonts w:eastAsiaTheme="minorEastAsia"/>
                <w:color w:val="000000" w:themeColor="text1"/>
                <w:szCs w:val="21"/>
              </w:rPr>
              <w:t>0.07%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4EFC">
        <w:tc>
          <w:tcPr>
            <w:tcW w:w="1290" w:type="dxa"/>
            <w:vAlign w:val="center"/>
          </w:tcPr>
          <w:p w:rsidR="00B24EFC" w:rsidRDefault="000F2FB6">
            <w:pPr>
              <w:jc w:val="left"/>
            </w:pPr>
            <w:r>
              <w:rPr>
                <w:rFonts w:eastAsiaTheme="minorEastAsia"/>
                <w:color w:val="000000" w:themeColor="text1"/>
                <w:szCs w:val="21"/>
              </w:rPr>
              <w:t>过去三个月</w:t>
            </w:r>
          </w:p>
        </w:tc>
        <w:tc>
          <w:tcPr>
            <w:tcW w:w="1291" w:type="dxa"/>
            <w:vAlign w:val="center"/>
          </w:tcPr>
          <w:p w:rsidR="00B24EFC" w:rsidRDefault="000F2FB6">
            <w:pPr>
              <w:jc w:val="right"/>
            </w:pPr>
            <w:r>
              <w:rPr>
                <w:rFonts w:eastAsiaTheme="minorEastAsia"/>
                <w:color w:val="000000" w:themeColor="text1"/>
                <w:szCs w:val="21"/>
              </w:rPr>
              <w:t>-2.83%</w:t>
            </w:r>
          </w:p>
        </w:tc>
        <w:tc>
          <w:tcPr>
            <w:tcW w:w="1291" w:type="dxa"/>
            <w:vAlign w:val="center"/>
          </w:tcPr>
          <w:p w:rsidR="00B24EFC" w:rsidRDefault="000F2FB6">
            <w:pPr>
              <w:jc w:val="right"/>
            </w:pPr>
            <w:r>
              <w:rPr>
                <w:rFonts w:eastAsiaTheme="minorEastAsia"/>
                <w:color w:val="000000" w:themeColor="text1"/>
                <w:szCs w:val="21"/>
              </w:rPr>
              <w:t>0.88%</w:t>
            </w:r>
          </w:p>
        </w:tc>
        <w:tc>
          <w:tcPr>
            <w:tcW w:w="1291" w:type="dxa"/>
            <w:vAlign w:val="center"/>
          </w:tcPr>
          <w:p w:rsidR="00B24EFC" w:rsidRDefault="000F2FB6">
            <w:pPr>
              <w:jc w:val="right"/>
            </w:pPr>
            <w:r>
              <w:rPr>
                <w:rFonts w:eastAsiaTheme="minorEastAsia"/>
                <w:color w:val="000000" w:themeColor="text1"/>
                <w:szCs w:val="21"/>
              </w:rPr>
              <w:t>-1.92%</w:t>
            </w:r>
          </w:p>
        </w:tc>
        <w:tc>
          <w:tcPr>
            <w:tcW w:w="1291" w:type="dxa"/>
            <w:vAlign w:val="center"/>
          </w:tcPr>
          <w:p w:rsidR="00B24EFC" w:rsidRDefault="000F2FB6">
            <w:pPr>
              <w:jc w:val="right"/>
            </w:pPr>
            <w:r>
              <w:rPr>
                <w:rFonts w:eastAsiaTheme="minorEastAsia"/>
                <w:color w:val="000000" w:themeColor="text1"/>
                <w:szCs w:val="21"/>
              </w:rPr>
              <w:t>0.66%</w:t>
            </w:r>
          </w:p>
        </w:tc>
        <w:tc>
          <w:tcPr>
            <w:tcW w:w="1291" w:type="dxa"/>
            <w:vAlign w:val="center"/>
          </w:tcPr>
          <w:p w:rsidR="00B24EFC" w:rsidRDefault="000F2FB6">
            <w:pPr>
              <w:jc w:val="right"/>
            </w:pPr>
            <w:r>
              <w:rPr>
                <w:rFonts w:eastAsiaTheme="minorEastAsia"/>
                <w:color w:val="000000" w:themeColor="text1"/>
                <w:szCs w:val="21"/>
              </w:rPr>
              <w:t>-0.91%</w:t>
            </w:r>
          </w:p>
        </w:tc>
        <w:tc>
          <w:tcPr>
            <w:tcW w:w="1291" w:type="dxa"/>
            <w:vAlign w:val="center"/>
          </w:tcPr>
          <w:p w:rsidR="00B24EFC" w:rsidRDefault="000F2FB6">
            <w:pPr>
              <w:jc w:val="right"/>
            </w:pPr>
            <w:r>
              <w:rPr>
                <w:rFonts w:eastAsiaTheme="minorEastAsia"/>
                <w:color w:val="000000" w:themeColor="text1"/>
                <w:szCs w:val="21"/>
              </w:rPr>
              <w:t>0.22%</w:t>
            </w:r>
          </w:p>
        </w:tc>
      </w:tr>
      <w:tr w:rsidR="00B24EFC">
        <w:tc>
          <w:tcPr>
            <w:tcW w:w="1290" w:type="dxa"/>
            <w:vAlign w:val="center"/>
          </w:tcPr>
          <w:p w:rsidR="00B24EFC" w:rsidRDefault="000F2FB6">
            <w:pPr>
              <w:jc w:val="left"/>
            </w:pPr>
            <w:r>
              <w:rPr>
                <w:rFonts w:eastAsiaTheme="minorEastAsia"/>
                <w:color w:val="000000" w:themeColor="text1"/>
                <w:szCs w:val="21"/>
              </w:rPr>
              <w:t>过去六个月</w:t>
            </w:r>
          </w:p>
        </w:tc>
        <w:tc>
          <w:tcPr>
            <w:tcW w:w="1291" w:type="dxa"/>
            <w:vAlign w:val="center"/>
          </w:tcPr>
          <w:p w:rsidR="00B24EFC" w:rsidRDefault="000F2FB6">
            <w:pPr>
              <w:jc w:val="right"/>
            </w:pPr>
            <w:r>
              <w:rPr>
                <w:rFonts w:eastAsiaTheme="minorEastAsia"/>
                <w:color w:val="000000" w:themeColor="text1"/>
                <w:szCs w:val="21"/>
              </w:rPr>
              <w:t>-4.31%</w:t>
            </w:r>
          </w:p>
        </w:tc>
        <w:tc>
          <w:tcPr>
            <w:tcW w:w="1291" w:type="dxa"/>
            <w:vAlign w:val="center"/>
          </w:tcPr>
          <w:p w:rsidR="00B24EFC" w:rsidRDefault="000F2FB6">
            <w:pPr>
              <w:jc w:val="right"/>
            </w:pPr>
            <w:r>
              <w:rPr>
                <w:rFonts w:eastAsiaTheme="minorEastAsia"/>
                <w:color w:val="000000" w:themeColor="text1"/>
                <w:szCs w:val="21"/>
              </w:rPr>
              <w:t>1.15%</w:t>
            </w:r>
          </w:p>
        </w:tc>
        <w:tc>
          <w:tcPr>
            <w:tcW w:w="1291" w:type="dxa"/>
            <w:vAlign w:val="center"/>
          </w:tcPr>
          <w:p w:rsidR="00B24EFC" w:rsidRDefault="000F2FB6">
            <w:pPr>
              <w:jc w:val="right"/>
            </w:pPr>
            <w:r>
              <w:rPr>
                <w:rFonts w:eastAsiaTheme="minorEastAsia"/>
                <w:color w:val="000000" w:themeColor="text1"/>
                <w:szCs w:val="21"/>
              </w:rPr>
              <w:t>-3.96%</w:t>
            </w:r>
          </w:p>
        </w:tc>
        <w:tc>
          <w:tcPr>
            <w:tcW w:w="1291" w:type="dxa"/>
            <w:vAlign w:val="center"/>
          </w:tcPr>
          <w:p w:rsidR="00B24EFC" w:rsidRDefault="000F2FB6">
            <w:pPr>
              <w:jc w:val="right"/>
            </w:pPr>
            <w:r>
              <w:rPr>
                <w:rFonts w:eastAsiaTheme="minorEastAsia"/>
                <w:color w:val="000000" w:themeColor="text1"/>
                <w:szCs w:val="21"/>
              </w:rPr>
              <w:t>0.90%</w:t>
            </w:r>
          </w:p>
        </w:tc>
        <w:tc>
          <w:tcPr>
            <w:tcW w:w="1291" w:type="dxa"/>
            <w:vAlign w:val="center"/>
          </w:tcPr>
          <w:p w:rsidR="00B24EFC" w:rsidRDefault="000F2FB6">
            <w:pPr>
              <w:jc w:val="right"/>
            </w:pPr>
            <w:r>
              <w:rPr>
                <w:rFonts w:eastAsiaTheme="minorEastAsia"/>
                <w:color w:val="000000" w:themeColor="text1"/>
                <w:szCs w:val="21"/>
              </w:rPr>
              <w:t>-0.35%</w:t>
            </w:r>
          </w:p>
        </w:tc>
        <w:tc>
          <w:tcPr>
            <w:tcW w:w="1291" w:type="dxa"/>
            <w:vAlign w:val="center"/>
          </w:tcPr>
          <w:p w:rsidR="00B24EFC" w:rsidRDefault="000F2FB6">
            <w:pPr>
              <w:jc w:val="right"/>
            </w:pPr>
            <w:r>
              <w:rPr>
                <w:rFonts w:eastAsiaTheme="minorEastAsia"/>
                <w:color w:val="000000" w:themeColor="text1"/>
                <w:szCs w:val="21"/>
              </w:rPr>
              <w:t>0.25%</w:t>
            </w:r>
          </w:p>
        </w:tc>
      </w:tr>
      <w:tr w:rsidR="00B24EFC">
        <w:tc>
          <w:tcPr>
            <w:tcW w:w="1290" w:type="dxa"/>
            <w:vAlign w:val="center"/>
          </w:tcPr>
          <w:p w:rsidR="00B24EFC" w:rsidRDefault="000F2FB6">
            <w:pPr>
              <w:jc w:val="left"/>
            </w:pPr>
            <w:r>
              <w:rPr>
                <w:rFonts w:eastAsiaTheme="minorEastAsia"/>
                <w:color w:val="000000" w:themeColor="text1"/>
                <w:szCs w:val="21"/>
              </w:rPr>
              <w:t>过去一年</w:t>
            </w:r>
          </w:p>
        </w:tc>
        <w:tc>
          <w:tcPr>
            <w:tcW w:w="1291" w:type="dxa"/>
            <w:vAlign w:val="center"/>
          </w:tcPr>
          <w:p w:rsidR="00B24EFC" w:rsidRDefault="000F2FB6">
            <w:pPr>
              <w:jc w:val="right"/>
            </w:pPr>
            <w:r>
              <w:rPr>
                <w:rFonts w:eastAsiaTheme="minorEastAsia"/>
                <w:color w:val="000000" w:themeColor="text1"/>
                <w:szCs w:val="21"/>
              </w:rPr>
              <w:t>-14.91%</w:t>
            </w:r>
          </w:p>
        </w:tc>
        <w:tc>
          <w:tcPr>
            <w:tcW w:w="1291" w:type="dxa"/>
            <w:vAlign w:val="center"/>
          </w:tcPr>
          <w:p w:rsidR="00B24EFC" w:rsidRDefault="000F2FB6">
            <w:pPr>
              <w:jc w:val="right"/>
            </w:pPr>
            <w:r>
              <w:rPr>
                <w:rFonts w:eastAsiaTheme="minorEastAsia"/>
                <w:color w:val="000000" w:themeColor="text1"/>
                <w:szCs w:val="21"/>
              </w:rPr>
              <w:t>0.99%</w:t>
            </w:r>
          </w:p>
        </w:tc>
        <w:tc>
          <w:tcPr>
            <w:tcW w:w="1291" w:type="dxa"/>
            <w:vAlign w:val="center"/>
          </w:tcPr>
          <w:p w:rsidR="00B24EFC" w:rsidRDefault="000F2FB6">
            <w:pPr>
              <w:jc w:val="right"/>
            </w:pPr>
            <w:r>
              <w:rPr>
                <w:rFonts w:eastAsiaTheme="minorEastAsia"/>
                <w:color w:val="000000" w:themeColor="text1"/>
                <w:szCs w:val="21"/>
              </w:rPr>
              <w:t>-12.45%</w:t>
            </w:r>
          </w:p>
        </w:tc>
        <w:tc>
          <w:tcPr>
            <w:tcW w:w="1291" w:type="dxa"/>
            <w:vAlign w:val="center"/>
          </w:tcPr>
          <w:p w:rsidR="00B24EFC" w:rsidRDefault="000F2FB6">
            <w:pPr>
              <w:jc w:val="right"/>
            </w:pPr>
            <w:r>
              <w:rPr>
                <w:rFonts w:eastAsiaTheme="minorEastAsia"/>
                <w:color w:val="000000" w:themeColor="text1"/>
                <w:szCs w:val="21"/>
              </w:rPr>
              <w:t>0.78%</w:t>
            </w:r>
          </w:p>
        </w:tc>
        <w:tc>
          <w:tcPr>
            <w:tcW w:w="1291" w:type="dxa"/>
            <w:vAlign w:val="center"/>
          </w:tcPr>
          <w:p w:rsidR="00B24EFC" w:rsidRDefault="000F2FB6">
            <w:pPr>
              <w:jc w:val="right"/>
            </w:pPr>
            <w:r>
              <w:rPr>
                <w:rFonts w:eastAsiaTheme="minorEastAsia"/>
                <w:color w:val="000000" w:themeColor="text1"/>
                <w:szCs w:val="21"/>
              </w:rPr>
              <w:t>-2.46%</w:t>
            </w:r>
          </w:p>
        </w:tc>
        <w:tc>
          <w:tcPr>
            <w:tcW w:w="1291" w:type="dxa"/>
            <w:vAlign w:val="center"/>
          </w:tcPr>
          <w:p w:rsidR="00B24EFC" w:rsidRDefault="000F2FB6">
            <w:pPr>
              <w:jc w:val="right"/>
            </w:pPr>
            <w:r>
              <w:rPr>
                <w:rFonts w:eastAsiaTheme="minorEastAsia"/>
                <w:color w:val="000000" w:themeColor="text1"/>
                <w:szCs w:val="21"/>
              </w:rPr>
              <w:t>0.21%</w:t>
            </w:r>
          </w:p>
        </w:tc>
      </w:tr>
      <w:tr w:rsidR="00B24EFC">
        <w:tc>
          <w:tcPr>
            <w:tcW w:w="1290" w:type="dxa"/>
            <w:vAlign w:val="center"/>
          </w:tcPr>
          <w:p w:rsidR="00B24EFC" w:rsidRDefault="000F2FB6">
            <w:pPr>
              <w:jc w:val="left"/>
            </w:pPr>
            <w:r>
              <w:rPr>
                <w:rFonts w:eastAsiaTheme="minorEastAsia"/>
                <w:color w:val="000000" w:themeColor="text1"/>
                <w:szCs w:val="21"/>
              </w:rPr>
              <w:t>过去三年</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r>
      <w:tr w:rsidR="00B24EFC">
        <w:tc>
          <w:tcPr>
            <w:tcW w:w="1290" w:type="dxa"/>
            <w:vAlign w:val="center"/>
          </w:tcPr>
          <w:p w:rsidR="00B24EFC" w:rsidRDefault="000F2FB6">
            <w:pPr>
              <w:jc w:val="left"/>
            </w:pPr>
            <w:r>
              <w:rPr>
                <w:rFonts w:eastAsiaTheme="minorEastAsia"/>
                <w:color w:val="000000" w:themeColor="text1"/>
                <w:szCs w:val="21"/>
              </w:rPr>
              <w:t>过去五年</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c>
          <w:tcPr>
            <w:tcW w:w="1291" w:type="dxa"/>
            <w:vAlign w:val="center"/>
          </w:tcPr>
          <w:p w:rsidR="00B24EFC" w:rsidRDefault="000F2FB6">
            <w:pPr>
              <w:jc w:val="right"/>
            </w:pPr>
            <w:r>
              <w:rPr>
                <w:rFonts w:eastAsiaTheme="minorEastAsia"/>
                <w:color w:val="000000" w:themeColor="text1"/>
                <w:szCs w:val="21"/>
              </w:rPr>
              <w:t>-</w:t>
            </w:r>
          </w:p>
        </w:tc>
      </w:tr>
      <w:tr w:rsidR="00B24EFC">
        <w:tc>
          <w:tcPr>
            <w:tcW w:w="1290" w:type="dxa"/>
            <w:vAlign w:val="center"/>
          </w:tcPr>
          <w:p w:rsidR="00B24EFC" w:rsidRDefault="000F2FB6">
            <w:pPr>
              <w:jc w:val="left"/>
            </w:pPr>
            <w:r>
              <w:rPr>
                <w:rFonts w:eastAsiaTheme="minorEastAsia"/>
                <w:color w:val="000000" w:themeColor="text1"/>
                <w:szCs w:val="21"/>
              </w:rPr>
              <w:t>自基金合同生效起至今</w:t>
            </w:r>
          </w:p>
        </w:tc>
        <w:tc>
          <w:tcPr>
            <w:tcW w:w="1291" w:type="dxa"/>
            <w:vAlign w:val="center"/>
          </w:tcPr>
          <w:p w:rsidR="00B24EFC" w:rsidRDefault="000F2FB6">
            <w:pPr>
              <w:jc w:val="right"/>
            </w:pPr>
            <w:r>
              <w:rPr>
                <w:rFonts w:eastAsiaTheme="minorEastAsia"/>
                <w:color w:val="000000" w:themeColor="text1"/>
                <w:szCs w:val="21"/>
              </w:rPr>
              <w:t>-26.61%</w:t>
            </w:r>
          </w:p>
        </w:tc>
        <w:tc>
          <w:tcPr>
            <w:tcW w:w="1291" w:type="dxa"/>
            <w:vAlign w:val="center"/>
          </w:tcPr>
          <w:p w:rsidR="00B24EFC" w:rsidRDefault="000F2FB6">
            <w:pPr>
              <w:jc w:val="right"/>
            </w:pPr>
            <w:r>
              <w:rPr>
                <w:rFonts w:eastAsiaTheme="minorEastAsia"/>
                <w:color w:val="000000" w:themeColor="text1"/>
                <w:szCs w:val="21"/>
              </w:rPr>
              <w:t>0.93%</w:t>
            </w:r>
          </w:p>
        </w:tc>
        <w:tc>
          <w:tcPr>
            <w:tcW w:w="1291" w:type="dxa"/>
            <w:vAlign w:val="center"/>
          </w:tcPr>
          <w:p w:rsidR="00B24EFC" w:rsidRDefault="000F2FB6">
            <w:pPr>
              <w:jc w:val="right"/>
            </w:pPr>
            <w:r>
              <w:rPr>
                <w:rFonts w:eastAsiaTheme="minorEastAsia"/>
                <w:color w:val="000000" w:themeColor="text1"/>
                <w:szCs w:val="21"/>
              </w:rPr>
              <w:t>-22.64%</w:t>
            </w:r>
          </w:p>
        </w:tc>
        <w:tc>
          <w:tcPr>
            <w:tcW w:w="1291" w:type="dxa"/>
            <w:vAlign w:val="center"/>
          </w:tcPr>
          <w:p w:rsidR="00B24EFC" w:rsidRDefault="000F2FB6">
            <w:pPr>
              <w:jc w:val="right"/>
            </w:pPr>
            <w:r>
              <w:rPr>
                <w:rFonts w:eastAsiaTheme="minorEastAsia"/>
                <w:color w:val="000000" w:themeColor="text1"/>
                <w:szCs w:val="21"/>
              </w:rPr>
              <w:t>0.74%</w:t>
            </w:r>
          </w:p>
        </w:tc>
        <w:tc>
          <w:tcPr>
            <w:tcW w:w="1291" w:type="dxa"/>
            <w:vAlign w:val="center"/>
          </w:tcPr>
          <w:p w:rsidR="00B24EFC" w:rsidRDefault="000F2FB6">
            <w:pPr>
              <w:jc w:val="right"/>
            </w:pPr>
            <w:r>
              <w:rPr>
                <w:rFonts w:eastAsiaTheme="minorEastAsia"/>
                <w:color w:val="000000" w:themeColor="text1"/>
                <w:szCs w:val="21"/>
              </w:rPr>
              <w:t>-3.97%</w:t>
            </w:r>
          </w:p>
        </w:tc>
        <w:tc>
          <w:tcPr>
            <w:tcW w:w="1291" w:type="dxa"/>
            <w:vAlign w:val="center"/>
          </w:tcPr>
          <w:p w:rsidR="00B24EFC" w:rsidRDefault="000F2FB6">
            <w:pPr>
              <w:jc w:val="right"/>
            </w:pPr>
            <w:r>
              <w:rPr>
                <w:rFonts w:eastAsiaTheme="minorEastAsia"/>
                <w:color w:val="000000" w:themeColor="text1"/>
                <w:szCs w:val="21"/>
              </w:rPr>
              <w:t>0.19%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24EFC">
        <w:tc>
          <w:tcPr>
            <w:tcW w:w="952" w:type="dxa"/>
            <w:vAlign w:val="center"/>
          </w:tcPr>
          <w:p w:rsidR="00B24EFC" w:rsidRDefault="000F2FB6">
            <w:pPr>
              <w:jc w:val="center"/>
            </w:pPr>
            <w:r>
              <w:rPr>
                <w:rFonts w:eastAsiaTheme="minorEastAsia"/>
                <w:color w:val="000000" w:themeColor="text1"/>
                <w:szCs w:val="21"/>
              </w:rPr>
              <w:t>杜习杰</w:t>
            </w:r>
          </w:p>
        </w:tc>
        <w:tc>
          <w:tcPr>
            <w:tcW w:w="930" w:type="dxa"/>
            <w:vAlign w:val="center"/>
          </w:tcPr>
          <w:p w:rsidR="00B24EFC" w:rsidRDefault="000F2FB6">
            <w:pPr>
              <w:jc w:val="center"/>
            </w:pPr>
            <w:r>
              <w:rPr>
                <w:rFonts w:eastAsiaTheme="minorEastAsia"/>
                <w:color w:val="000000" w:themeColor="text1"/>
                <w:szCs w:val="21"/>
              </w:rPr>
              <w:t>本基金基金经理</w:t>
            </w:r>
          </w:p>
        </w:tc>
        <w:tc>
          <w:tcPr>
            <w:tcW w:w="1210" w:type="dxa"/>
            <w:vAlign w:val="center"/>
          </w:tcPr>
          <w:p w:rsidR="00B24EFC" w:rsidRDefault="000F2FB6">
            <w:pPr>
              <w:jc w:val="center"/>
            </w:pPr>
            <w:r>
              <w:rPr>
                <w:rFonts w:eastAsiaTheme="minorEastAsia"/>
                <w:color w:val="000000" w:themeColor="text1"/>
                <w:szCs w:val="21"/>
              </w:rPr>
              <w:t>2020-12-11</w:t>
            </w:r>
          </w:p>
        </w:tc>
        <w:tc>
          <w:tcPr>
            <w:tcW w:w="1309" w:type="dxa"/>
            <w:vAlign w:val="center"/>
          </w:tcPr>
          <w:p w:rsidR="00B24EFC" w:rsidRDefault="000F2FB6">
            <w:pPr>
              <w:jc w:val="center"/>
            </w:pPr>
            <w:r>
              <w:rPr>
                <w:rFonts w:eastAsiaTheme="minorEastAsia"/>
                <w:color w:val="000000" w:themeColor="text1"/>
                <w:szCs w:val="21"/>
              </w:rPr>
              <w:t>-</w:t>
            </w:r>
          </w:p>
        </w:tc>
        <w:tc>
          <w:tcPr>
            <w:tcW w:w="1254" w:type="dxa"/>
            <w:vAlign w:val="center"/>
          </w:tcPr>
          <w:p w:rsidR="00B24EFC" w:rsidRDefault="000F2FB6">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B24EFC" w:rsidRDefault="000F2FB6">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B24EFC">
        <w:tc>
          <w:tcPr>
            <w:tcW w:w="952" w:type="dxa"/>
            <w:vAlign w:val="center"/>
          </w:tcPr>
          <w:p w:rsidR="00B24EFC" w:rsidRDefault="000F2FB6">
            <w:pPr>
              <w:jc w:val="center"/>
            </w:pPr>
            <w:r>
              <w:rPr>
                <w:rFonts w:eastAsiaTheme="minorEastAsia"/>
                <w:color w:val="000000" w:themeColor="text1"/>
                <w:szCs w:val="21"/>
              </w:rPr>
              <w:t>吴春杰</w:t>
            </w:r>
          </w:p>
        </w:tc>
        <w:tc>
          <w:tcPr>
            <w:tcW w:w="930" w:type="dxa"/>
            <w:vAlign w:val="center"/>
          </w:tcPr>
          <w:p w:rsidR="00B24EFC" w:rsidRDefault="000F2FB6">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210" w:type="dxa"/>
            <w:vAlign w:val="center"/>
          </w:tcPr>
          <w:p w:rsidR="00B24EFC" w:rsidRDefault="000F2FB6">
            <w:pPr>
              <w:jc w:val="center"/>
            </w:pPr>
            <w:r>
              <w:rPr>
                <w:rFonts w:eastAsiaTheme="minorEastAsia"/>
                <w:color w:val="000000" w:themeColor="text1"/>
                <w:szCs w:val="21"/>
              </w:rPr>
              <w:lastRenderedPageBreak/>
              <w:t>2022-03-04</w:t>
            </w:r>
          </w:p>
        </w:tc>
        <w:tc>
          <w:tcPr>
            <w:tcW w:w="1309" w:type="dxa"/>
            <w:vAlign w:val="center"/>
          </w:tcPr>
          <w:p w:rsidR="00B24EFC" w:rsidRDefault="000F2FB6">
            <w:pPr>
              <w:jc w:val="center"/>
            </w:pPr>
            <w:r>
              <w:rPr>
                <w:rFonts w:eastAsiaTheme="minorEastAsia"/>
                <w:color w:val="000000" w:themeColor="text1"/>
                <w:szCs w:val="21"/>
              </w:rPr>
              <w:t>-</w:t>
            </w:r>
          </w:p>
        </w:tc>
        <w:tc>
          <w:tcPr>
            <w:tcW w:w="1254" w:type="dxa"/>
            <w:vAlign w:val="center"/>
          </w:tcPr>
          <w:p w:rsidR="00B24EFC" w:rsidRDefault="000F2FB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24EFC" w:rsidRDefault="000F2FB6">
            <w:r>
              <w:rPr>
                <w:rFonts w:eastAsiaTheme="minorEastAsia"/>
                <w:color w:val="000000" w:themeColor="text1"/>
                <w:szCs w:val="21"/>
              </w:rPr>
              <w:t>吴春杰女士曾任长江证券股份有限公司宏观策略分析师，中国太平</w:t>
            </w:r>
            <w:r>
              <w:rPr>
                <w:rFonts w:eastAsiaTheme="minorEastAsia"/>
                <w:color w:val="000000" w:themeColor="text1"/>
                <w:szCs w:val="21"/>
              </w:rPr>
              <w:lastRenderedPageBreak/>
              <w:t>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B24EFC" w:rsidRDefault="000F2FB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年二季度，国内权益市场先反弹、后有所回落，区间内小幅走低。</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月底市场在等待政策效果的验证，情绪转向防御。国内债券方面，</w:t>
      </w:r>
      <w:r>
        <w:rPr>
          <w:rFonts w:eastAsiaTheme="minorEastAsia"/>
          <w:color w:val="000000" w:themeColor="text1"/>
          <w:szCs w:val="21"/>
        </w:rPr>
        <w:t>10</w:t>
      </w:r>
      <w:r>
        <w:rPr>
          <w:rFonts w:eastAsiaTheme="minorEastAsia"/>
          <w:color w:val="000000" w:themeColor="text1"/>
          <w:szCs w:val="21"/>
        </w:rPr>
        <w:t>年期国债收益率震荡下行</w:t>
      </w:r>
      <w:r>
        <w:rPr>
          <w:rFonts w:eastAsiaTheme="minorEastAsia"/>
          <w:color w:val="000000" w:themeColor="text1"/>
          <w:szCs w:val="21"/>
        </w:rPr>
        <w:t>8BP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，规</w:t>
      </w:r>
      <w:r>
        <w:rPr>
          <w:rFonts w:eastAsiaTheme="minorEastAsia"/>
          <w:color w:val="000000" w:themeColor="text1"/>
          <w:szCs w:val="21"/>
        </w:rPr>
        <w:t>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使得部分存款流向债券市场，是推动债券收益率在二季度震荡下行的影响因素之一。</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海外方面，美股在二季度小幅反弹，经济数据仍有分歧，市场仍担心粘性通胀的风险。</w:t>
      </w:r>
      <w:r>
        <w:rPr>
          <w:rFonts w:eastAsiaTheme="minorEastAsia"/>
          <w:color w:val="000000" w:themeColor="text1"/>
          <w:szCs w:val="21"/>
        </w:rPr>
        <w:t>10</w:t>
      </w:r>
      <w:r>
        <w:rPr>
          <w:rFonts w:eastAsiaTheme="minorEastAsia"/>
          <w:color w:val="000000" w:themeColor="text1"/>
          <w:szCs w:val="21"/>
        </w:rPr>
        <w:t>年期美债收益率反弹</w:t>
      </w:r>
      <w:r>
        <w:rPr>
          <w:rFonts w:eastAsiaTheme="minorEastAsia"/>
          <w:color w:val="000000" w:themeColor="text1"/>
          <w:szCs w:val="21"/>
        </w:rPr>
        <w:t>17BP</w:t>
      </w:r>
      <w:r>
        <w:rPr>
          <w:rFonts w:eastAsiaTheme="minorEastAsia"/>
          <w:color w:val="000000" w:themeColor="text1"/>
          <w:szCs w:val="21"/>
        </w:rPr>
        <w:t>至</w:t>
      </w:r>
      <w:r>
        <w:rPr>
          <w:rFonts w:eastAsiaTheme="minorEastAsia"/>
          <w:color w:val="000000" w:themeColor="text1"/>
          <w:szCs w:val="21"/>
        </w:rPr>
        <w:t>4.37%</w:t>
      </w:r>
      <w:r>
        <w:rPr>
          <w:rFonts w:eastAsiaTheme="minorEastAsia"/>
          <w:color w:val="000000" w:themeColor="text1"/>
          <w:szCs w:val="21"/>
        </w:rPr>
        <w:t>。欧央行在</w:t>
      </w:r>
      <w:r>
        <w:rPr>
          <w:rFonts w:eastAsiaTheme="minorEastAsia"/>
          <w:color w:val="000000" w:themeColor="text1"/>
          <w:szCs w:val="21"/>
        </w:rPr>
        <w:t>6</w:t>
      </w:r>
      <w:r>
        <w:rPr>
          <w:rFonts w:eastAsiaTheme="minorEastAsia"/>
          <w:color w:val="000000" w:themeColor="text1"/>
          <w:szCs w:val="21"/>
        </w:rPr>
        <w:t>月议息会议上已率先降息，本轮美联储在开启降息上滞后于欧央行。</w:t>
      </w:r>
      <w:r>
        <w:rPr>
          <w:rFonts w:eastAsiaTheme="minorEastAsia"/>
          <w:color w:val="000000" w:themeColor="text1"/>
          <w:szCs w:val="21"/>
        </w:rPr>
        <w:t xml:space="preserve">      </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月政治局会议以来各项政策体现了呵护内需、稳定经济运行的诉求，对新质生产力的持续强调与中长期目标中对经济高质量发展的关注一致。结构上，外需对出口的经济增长拉动较高。随着稳定内需政策效果的显现，有望促进供需格局的再平衡，</w:t>
      </w:r>
      <w:r>
        <w:rPr>
          <w:rFonts w:eastAsiaTheme="minorEastAsia"/>
          <w:color w:val="000000" w:themeColor="text1"/>
          <w:szCs w:val="21"/>
        </w:rPr>
        <w:t>价格也将从偏弱的预期中有所恢复。</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近期，企业盈利预期指标有所企稳，主要来于下修的减少，后续关注企业盈利预期能否有上修的扩散。二季度市场资金面总体平稳，两融、北向资金有所减弱，通过宽基</w:t>
      </w:r>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w:t>
      </w:r>
      <w:r>
        <w:rPr>
          <w:rFonts w:eastAsiaTheme="minorEastAsia"/>
          <w:color w:val="000000" w:themeColor="text1"/>
          <w:szCs w:val="21"/>
        </w:rPr>
        <w:t>偏低的位置。当前处在地方政府化债、实际利率高位背景下，货币政策延续支持性的基调，国内债券的下行风险相对可控。考虑央行对债券市场利率的多次表态，长久期利率的波动或有上升，后续仍以中等久期信用策略为主。</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海外方面，市场预期美国经济软着陆，美联储维持年内降息的前瞻指引。如随年内降息落地，美债在货币政策宽松周期中将受益，收益率下行也有利于美股估值的维持，尤其是大盘风格。欧</w:t>
      </w:r>
      <w:r w:rsidRPr="00B27A29">
        <w:rPr>
          <w:rFonts w:eastAsiaTheme="minorEastAsia"/>
          <w:color w:val="000000" w:themeColor="text1"/>
          <w:szCs w:val="21"/>
        </w:rPr>
        <w:lastRenderedPageBreak/>
        <w:t>央行率先开启降息，欧股的估值水平相对较低、盈利水平高于疫情前，配置吸引力亦有所上升。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w:t>
      </w:r>
      <w:r>
        <w:rPr>
          <w:rFonts w:eastAsiaTheme="minorEastAsia"/>
          <w:color w:val="000000" w:themeColor="text1"/>
          <w:szCs w:val="21"/>
        </w:rPr>
        <w:t>增长率为</w:t>
      </w:r>
      <w:r>
        <w:rPr>
          <w:rFonts w:eastAsiaTheme="minorEastAsia"/>
          <w:color w:val="000000" w:themeColor="text1"/>
          <w:szCs w:val="21"/>
        </w:rPr>
        <w:t>:-2.67%</w:t>
      </w:r>
      <w:r>
        <w:rPr>
          <w:rFonts w:eastAsiaTheme="minorEastAsia"/>
          <w:color w:val="000000" w:themeColor="text1"/>
          <w:szCs w:val="21"/>
        </w:rPr>
        <w:t>，同期业绩比较基准收益率为</w:t>
      </w:r>
      <w:r>
        <w:rPr>
          <w:rFonts w:eastAsiaTheme="minorEastAsia"/>
          <w:color w:val="000000" w:themeColor="text1"/>
          <w:szCs w:val="21"/>
        </w:rPr>
        <w:t>:-1.92%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B24EFC" w:rsidRDefault="000F2FB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35,204,406.04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94.28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1,629,104.66</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1,629,104.66</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492,595.27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15,133.58</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lastRenderedPageBreak/>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37,341,239.55</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1,629,104.66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1,629,104.66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24EFC">
        <w:tc>
          <w:tcPr>
            <w:tcW w:w="1504" w:type="dxa"/>
            <w:vAlign w:val="center"/>
          </w:tcPr>
          <w:p w:rsidR="00B24EFC" w:rsidRDefault="000F2FB6">
            <w:pPr>
              <w:jc w:val="center"/>
            </w:pPr>
            <w:r>
              <w:rPr>
                <w:rFonts w:eastAsiaTheme="minorEastAsia"/>
                <w:color w:val="000000" w:themeColor="text1"/>
                <w:szCs w:val="21"/>
              </w:rPr>
              <w:t>1</w:t>
            </w:r>
          </w:p>
        </w:tc>
        <w:tc>
          <w:tcPr>
            <w:tcW w:w="1504" w:type="dxa"/>
            <w:vAlign w:val="center"/>
          </w:tcPr>
          <w:p w:rsidR="00B24EFC" w:rsidRDefault="000F2FB6">
            <w:pPr>
              <w:jc w:val="center"/>
            </w:pPr>
            <w:r>
              <w:rPr>
                <w:rFonts w:eastAsiaTheme="minorEastAsia"/>
                <w:color w:val="000000" w:themeColor="text1"/>
                <w:szCs w:val="21"/>
              </w:rPr>
              <w:t>019727</w:t>
            </w:r>
          </w:p>
        </w:tc>
        <w:tc>
          <w:tcPr>
            <w:tcW w:w="1504" w:type="dxa"/>
            <w:vAlign w:val="center"/>
          </w:tcPr>
          <w:p w:rsidR="00B24EFC" w:rsidRDefault="000F2FB6">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rsidR="00B24EFC" w:rsidRDefault="000F2FB6">
            <w:pPr>
              <w:jc w:val="right"/>
            </w:pPr>
            <w:r>
              <w:rPr>
                <w:rFonts w:eastAsiaTheme="minorEastAsia"/>
                <w:color w:val="000000" w:themeColor="text1"/>
                <w:szCs w:val="21"/>
              </w:rPr>
              <w:t>16,000</w:t>
            </w:r>
          </w:p>
        </w:tc>
        <w:tc>
          <w:tcPr>
            <w:tcW w:w="1503" w:type="dxa"/>
            <w:vAlign w:val="center"/>
          </w:tcPr>
          <w:p w:rsidR="00B24EFC" w:rsidRDefault="000F2FB6">
            <w:pPr>
              <w:jc w:val="right"/>
            </w:pPr>
            <w:r>
              <w:rPr>
                <w:rFonts w:eastAsiaTheme="minorEastAsia"/>
                <w:color w:val="000000" w:themeColor="text1"/>
                <w:szCs w:val="21"/>
              </w:rPr>
              <w:t>1,629,104.66</w:t>
            </w:r>
          </w:p>
        </w:tc>
        <w:tc>
          <w:tcPr>
            <w:tcW w:w="1503" w:type="dxa"/>
            <w:vAlign w:val="center"/>
          </w:tcPr>
          <w:p w:rsidR="00B24EFC" w:rsidRDefault="000F2FB6">
            <w:pPr>
              <w:jc w:val="right"/>
            </w:pPr>
            <w:r>
              <w:rPr>
                <w:rFonts w:eastAsiaTheme="minorEastAsia"/>
                <w:color w:val="000000" w:themeColor="text1"/>
                <w:szCs w:val="21"/>
              </w:rPr>
              <w:t>4.39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1,874.88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13,258.70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15,133.58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B24EFC">
        <w:tc>
          <w:tcPr>
            <w:tcW w:w="817" w:type="dxa"/>
            <w:vAlign w:val="center"/>
          </w:tcPr>
          <w:p w:rsidR="00B24EFC" w:rsidRDefault="000F2FB6">
            <w:pPr>
              <w:jc w:val="center"/>
            </w:pPr>
            <w:r>
              <w:rPr>
                <w:sz w:val="24"/>
              </w:rPr>
              <w:t>1</w:t>
            </w:r>
          </w:p>
        </w:tc>
        <w:tc>
          <w:tcPr>
            <w:tcW w:w="1133" w:type="dxa"/>
            <w:vAlign w:val="center"/>
          </w:tcPr>
          <w:p w:rsidR="00B24EFC" w:rsidRDefault="000F2FB6">
            <w:pPr>
              <w:jc w:val="center"/>
            </w:pPr>
            <w:r>
              <w:rPr>
                <w:sz w:val="24"/>
              </w:rPr>
              <w:t>377240</w:t>
            </w:r>
          </w:p>
        </w:tc>
        <w:tc>
          <w:tcPr>
            <w:tcW w:w="1135" w:type="dxa"/>
            <w:vAlign w:val="center"/>
          </w:tcPr>
          <w:p w:rsidR="00B24EFC" w:rsidRDefault="000F2FB6">
            <w:pPr>
              <w:jc w:val="center"/>
            </w:pPr>
            <w:r>
              <w:rPr>
                <w:sz w:val="24"/>
              </w:rPr>
              <w:t>摩根新兴动力混合</w:t>
            </w:r>
            <w:r>
              <w:rPr>
                <w:sz w:val="24"/>
              </w:rPr>
              <w:t>A</w:t>
            </w:r>
            <w:r>
              <w:rPr>
                <w:sz w:val="24"/>
              </w:rPr>
              <w:t>类</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497,201.99</w:t>
            </w:r>
          </w:p>
        </w:tc>
        <w:tc>
          <w:tcPr>
            <w:tcW w:w="1276" w:type="dxa"/>
            <w:vAlign w:val="center"/>
          </w:tcPr>
          <w:p w:rsidR="00B24EFC" w:rsidRDefault="000F2FB6">
            <w:pPr>
              <w:jc w:val="center"/>
            </w:pPr>
            <w:r>
              <w:rPr>
                <w:sz w:val="24"/>
              </w:rPr>
              <w:t>2,249,888.72</w:t>
            </w:r>
          </w:p>
        </w:tc>
        <w:tc>
          <w:tcPr>
            <w:tcW w:w="1135" w:type="dxa"/>
            <w:vAlign w:val="center"/>
          </w:tcPr>
          <w:p w:rsidR="00B24EFC" w:rsidRDefault="000F2FB6">
            <w:pPr>
              <w:jc w:val="center"/>
            </w:pPr>
            <w:r>
              <w:rPr>
                <w:sz w:val="24"/>
              </w:rPr>
              <w:t>6.06%</w:t>
            </w:r>
          </w:p>
        </w:tc>
        <w:tc>
          <w:tcPr>
            <w:tcW w:w="1272" w:type="dxa"/>
            <w:vAlign w:val="center"/>
          </w:tcPr>
          <w:p w:rsidR="00B24EFC" w:rsidRDefault="000F2FB6">
            <w:pPr>
              <w:jc w:val="center"/>
            </w:pPr>
            <w:r>
              <w:rPr>
                <w:sz w:val="24"/>
              </w:rPr>
              <w:t>是</w:t>
            </w:r>
          </w:p>
        </w:tc>
      </w:tr>
      <w:tr w:rsidR="00B24EFC">
        <w:tc>
          <w:tcPr>
            <w:tcW w:w="817" w:type="dxa"/>
            <w:vAlign w:val="center"/>
          </w:tcPr>
          <w:p w:rsidR="00B24EFC" w:rsidRDefault="000F2FB6">
            <w:pPr>
              <w:jc w:val="center"/>
            </w:pPr>
            <w:r>
              <w:rPr>
                <w:sz w:val="24"/>
              </w:rPr>
              <w:t>2</w:t>
            </w:r>
          </w:p>
        </w:tc>
        <w:tc>
          <w:tcPr>
            <w:tcW w:w="1133" w:type="dxa"/>
            <w:vAlign w:val="center"/>
          </w:tcPr>
          <w:p w:rsidR="00B24EFC" w:rsidRDefault="000F2FB6">
            <w:pPr>
              <w:jc w:val="center"/>
            </w:pPr>
            <w:r>
              <w:rPr>
                <w:sz w:val="24"/>
              </w:rPr>
              <w:t>512760</w:t>
            </w:r>
          </w:p>
        </w:tc>
        <w:tc>
          <w:tcPr>
            <w:tcW w:w="1135" w:type="dxa"/>
            <w:vAlign w:val="center"/>
          </w:tcPr>
          <w:p w:rsidR="00B24EFC" w:rsidRDefault="000F2FB6">
            <w:pPr>
              <w:jc w:val="center"/>
            </w:pPr>
            <w:r>
              <w:rPr>
                <w:sz w:val="24"/>
              </w:rPr>
              <w:t>国泰</w:t>
            </w:r>
            <w:r>
              <w:rPr>
                <w:sz w:val="24"/>
              </w:rPr>
              <w:t>CES</w:t>
            </w:r>
            <w:r>
              <w:rPr>
                <w:sz w:val="24"/>
              </w:rPr>
              <w:t>半导体芯片行业</w:t>
            </w:r>
            <w:r>
              <w:rPr>
                <w:sz w:val="24"/>
              </w:rPr>
              <w:t>ETF</w:t>
            </w:r>
          </w:p>
        </w:tc>
        <w:tc>
          <w:tcPr>
            <w:tcW w:w="1135" w:type="dxa"/>
            <w:vAlign w:val="center"/>
          </w:tcPr>
          <w:p w:rsidR="00B24EFC" w:rsidRDefault="000F2FB6">
            <w:pPr>
              <w:jc w:val="center"/>
            </w:pPr>
            <w:r>
              <w:rPr>
                <w:sz w:val="24"/>
              </w:rPr>
              <w:t>交易型开放式</w:t>
            </w:r>
          </w:p>
        </w:tc>
        <w:tc>
          <w:tcPr>
            <w:tcW w:w="1133" w:type="dxa"/>
            <w:vAlign w:val="center"/>
          </w:tcPr>
          <w:p w:rsidR="00B24EFC" w:rsidRDefault="000F2FB6">
            <w:pPr>
              <w:jc w:val="center"/>
            </w:pPr>
            <w:r>
              <w:rPr>
                <w:sz w:val="24"/>
              </w:rPr>
              <w:t>2,739,700.00</w:t>
            </w:r>
          </w:p>
        </w:tc>
        <w:tc>
          <w:tcPr>
            <w:tcW w:w="1276" w:type="dxa"/>
            <w:vAlign w:val="center"/>
          </w:tcPr>
          <w:p w:rsidR="00B24EFC" w:rsidRDefault="000F2FB6">
            <w:pPr>
              <w:jc w:val="center"/>
            </w:pPr>
            <w:r>
              <w:rPr>
                <w:sz w:val="24"/>
              </w:rPr>
              <w:t>2,189,020.30</w:t>
            </w:r>
          </w:p>
        </w:tc>
        <w:tc>
          <w:tcPr>
            <w:tcW w:w="1135" w:type="dxa"/>
            <w:vAlign w:val="center"/>
          </w:tcPr>
          <w:p w:rsidR="00B24EFC" w:rsidRDefault="000F2FB6">
            <w:pPr>
              <w:jc w:val="center"/>
            </w:pPr>
            <w:r>
              <w:rPr>
                <w:sz w:val="24"/>
              </w:rPr>
              <w:t>5.90%</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3</w:t>
            </w:r>
          </w:p>
        </w:tc>
        <w:tc>
          <w:tcPr>
            <w:tcW w:w="1133" w:type="dxa"/>
            <w:vAlign w:val="center"/>
          </w:tcPr>
          <w:p w:rsidR="00B24EFC" w:rsidRDefault="000F2FB6">
            <w:pPr>
              <w:jc w:val="center"/>
            </w:pPr>
            <w:r>
              <w:rPr>
                <w:sz w:val="24"/>
              </w:rPr>
              <w:t>001856</w:t>
            </w:r>
          </w:p>
        </w:tc>
        <w:tc>
          <w:tcPr>
            <w:tcW w:w="1135" w:type="dxa"/>
            <w:vAlign w:val="center"/>
          </w:tcPr>
          <w:p w:rsidR="00B24EFC" w:rsidRDefault="000F2FB6">
            <w:pPr>
              <w:jc w:val="center"/>
            </w:pPr>
            <w:r>
              <w:rPr>
                <w:sz w:val="24"/>
              </w:rPr>
              <w:t>易方达环保主题混合</w:t>
            </w:r>
            <w:r>
              <w:rPr>
                <w:sz w:val="24"/>
              </w:rPr>
              <w:t>A</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498,331.01</w:t>
            </w:r>
          </w:p>
        </w:tc>
        <w:tc>
          <w:tcPr>
            <w:tcW w:w="1276" w:type="dxa"/>
            <w:vAlign w:val="center"/>
          </w:tcPr>
          <w:p w:rsidR="00B24EFC" w:rsidRDefault="000F2FB6">
            <w:pPr>
              <w:jc w:val="center"/>
            </w:pPr>
            <w:r>
              <w:rPr>
                <w:sz w:val="24"/>
              </w:rPr>
              <w:t>1,677,880.51</w:t>
            </w:r>
          </w:p>
        </w:tc>
        <w:tc>
          <w:tcPr>
            <w:tcW w:w="1135" w:type="dxa"/>
            <w:vAlign w:val="center"/>
          </w:tcPr>
          <w:p w:rsidR="00B24EFC" w:rsidRDefault="000F2FB6">
            <w:pPr>
              <w:jc w:val="center"/>
            </w:pPr>
            <w:r>
              <w:rPr>
                <w:sz w:val="24"/>
              </w:rPr>
              <w:t>4.52%</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4</w:t>
            </w:r>
          </w:p>
        </w:tc>
        <w:tc>
          <w:tcPr>
            <w:tcW w:w="1133" w:type="dxa"/>
            <w:vAlign w:val="center"/>
          </w:tcPr>
          <w:p w:rsidR="00B24EFC" w:rsidRDefault="000F2FB6">
            <w:pPr>
              <w:jc w:val="center"/>
            </w:pPr>
            <w:r>
              <w:rPr>
                <w:sz w:val="24"/>
              </w:rPr>
              <w:t>512070</w:t>
            </w:r>
          </w:p>
        </w:tc>
        <w:tc>
          <w:tcPr>
            <w:tcW w:w="1135" w:type="dxa"/>
            <w:vAlign w:val="center"/>
          </w:tcPr>
          <w:p w:rsidR="00B24EFC" w:rsidRDefault="000F2FB6">
            <w:pPr>
              <w:jc w:val="center"/>
            </w:pPr>
            <w:r>
              <w:rPr>
                <w:sz w:val="24"/>
              </w:rPr>
              <w:t>易方达沪深</w:t>
            </w:r>
            <w:r>
              <w:rPr>
                <w:sz w:val="24"/>
              </w:rPr>
              <w:t>300</w:t>
            </w:r>
            <w:r>
              <w:rPr>
                <w:sz w:val="24"/>
              </w:rPr>
              <w:t>非银</w:t>
            </w:r>
            <w:r>
              <w:rPr>
                <w:sz w:val="24"/>
              </w:rPr>
              <w:t>ETF</w:t>
            </w:r>
          </w:p>
        </w:tc>
        <w:tc>
          <w:tcPr>
            <w:tcW w:w="1135" w:type="dxa"/>
            <w:vAlign w:val="center"/>
          </w:tcPr>
          <w:p w:rsidR="00B24EFC" w:rsidRDefault="000F2FB6">
            <w:pPr>
              <w:jc w:val="center"/>
            </w:pPr>
            <w:r>
              <w:rPr>
                <w:sz w:val="24"/>
              </w:rPr>
              <w:t>交易型开放式</w:t>
            </w:r>
          </w:p>
        </w:tc>
        <w:tc>
          <w:tcPr>
            <w:tcW w:w="1133" w:type="dxa"/>
            <w:vAlign w:val="center"/>
          </w:tcPr>
          <w:p w:rsidR="00B24EFC" w:rsidRDefault="000F2FB6">
            <w:pPr>
              <w:jc w:val="center"/>
            </w:pPr>
            <w:r>
              <w:rPr>
                <w:sz w:val="24"/>
              </w:rPr>
              <w:t>2,853,000.00</w:t>
            </w:r>
          </w:p>
        </w:tc>
        <w:tc>
          <w:tcPr>
            <w:tcW w:w="1276" w:type="dxa"/>
            <w:vAlign w:val="center"/>
          </w:tcPr>
          <w:p w:rsidR="00B24EFC" w:rsidRDefault="000F2FB6">
            <w:pPr>
              <w:jc w:val="center"/>
            </w:pPr>
            <w:r>
              <w:rPr>
                <w:sz w:val="24"/>
              </w:rPr>
              <w:t>1,594,827.00</w:t>
            </w:r>
          </w:p>
        </w:tc>
        <w:tc>
          <w:tcPr>
            <w:tcW w:w="1135" w:type="dxa"/>
            <w:vAlign w:val="center"/>
          </w:tcPr>
          <w:p w:rsidR="00B24EFC" w:rsidRDefault="000F2FB6">
            <w:pPr>
              <w:jc w:val="center"/>
            </w:pPr>
            <w:r>
              <w:rPr>
                <w:sz w:val="24"/>
              </w:rPr>
              <w:t>4.30%</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5</w:t>
            </w:r>
          </w:p>
        </w:tc>
        <w:tc>
          <w:tcPr>
            <w:tcW w:w="1133" w:type="dxa"/>
            <w:vAlign w:val="center"/>
          </w:tcPr>
          <w:p w:rsidR="00B24EFC" w:rsidRDefault="000F2FB6">
            <w:pPr>
              <w:jc w:val="center"/>
            </w:pPr>
            <w:r>
              <w:rPr>
                <w:sz w:val="24"/>
              </w:rPr>
              <w:t>090016</w:t>
            </w:r>
          </w:p>
        </w:tc>
        <w:tc>
          <w:tcPr>
            <w:tcW w:w="1135" w:type="dxa"/>
            <w:vAlign w:val="center"/>
          </w:tcPr>
          <w:p w:rsidR="00B24EFC" w:rsidRDefault="000F2FB6">
            <w:pPr>
              <w:jc w:val="center"/>
            </w:pPr>
            <w:r>
              <w:rPr>
                <w:sz w:val="24"/>
              </w:rPr>
              <w:t>大成消费主题混合</w:t>
            </w:r>
            <w:r>
              <w:rPr>
                <w:sz w:val="24"/>
              </w:rPr>
              <w:t>A</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890,715.41</w:t>
            </w:r>
          </w:p>
        </w:tc>
        <w:tc>
          <w:tcPr>
            <w:tcW w:w="1276" w:type="dxa"/>
            <w:vAlign w:val="center"/>
          </w:tcPr>
          <w:p w:rsidR="00B24EFC" w:rsidRDefault="000F2FB6">
            <w:pPr>
              <w:jc w:val="center"/>
            </w:pPr>
            <w:r>
              <w:rPr>
                <w:sz w:val="24"/>
              </w:rPr>
              <w:t>1,542,362.80</w:t>
            </w:r>
          </w:p>
        </w:tc>
        <w:tc>
          <w:tcPr>
            <w:tcW w:w="1135" w:type="dxa"/>
            <w:vAlign w:val="center"/>
          </w:tcPr>
          <w:p w:rsidR="00B24EFC" w:rsidRDefault="000F2FB6">
            <w:pPr>
              <w:jc w:val="center"/>
            </w:pPr>
            <w:r>
              <w:rPr>
                <w:sz w:val="24"/>
              </w:rPr>
              <w:t>4.16%</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6</w:t>
            </w:r>
          </w:p>
        </w:tc>
        <w:tc>
          <w:tcPr>
            <w:tcW w:w="1133" w:type="dxa"/>
            <w:vAlign w:val="center"/>
          </w:tcPr>
          <w:p w:rsidR="00B24EFC" w:rsidRDefault="000F2FB6">
            <w:pPr>
              <w:jc w:val="center"/>
            </w:pPr>
            <w:r>
              <w:rPr>
                <w:sz w:val="24"/>
              </w:rPr>
              <w:t>006102</w:t>
            </w:r>
          </w:p>
        </w:tc>
        <w:tc>
          <w:tcPr>
            <w:tcW w:w="1135" w:type="dxa"/>
            <w:vAlign w:val="center"/>
          </w:tcPr>
          <w:p w:rsidR="00B24EFC" w:rsidRDefault="000F2FB6">
            <w:pPr>
              <w:jc w:val="center"/>
            </w:pPr>
            <w:r>
              <w:rPr>
                <w:sz w:val="24"/>
              </w:rPr>
              <w:t>浙商丰利增强债券</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745,158.22</w:t>
            </w:r>
          </w:p>
        </w:tc>
        <w:tc>
          <w:tcPr>
            <w:tcW w:w="1276" w:type="dxa"/>
            <w:vAlign w:val="center"/>
          </w:tcPr>
          <w:p w:rsidR="00B24EFC" w:rsidRDefault="000F2FB6">
            <w:pPr>
              <w:jc w:val="center"/>
            </w:pPr>
            <w:r>
              <w:rPr>
                <w:sz w:val="24"/>
              </w:rPr>
              <w:t>1,230,852.35</w:t>
            </w:r>
          </w:p>
        </w:tc>
        <w:tc>
          <w:tcPr>
            <w:tcW w:w="1135" w:type="dxa"/>
            <w:vAlign w:val="center"/>
          </w:tcPr>
          <w:p w:rsidR="00B24EFC" w:rsidRDefault="000F2FB6">
            <w:pPr>
              <w:jc w:val="center"/>
            </w:pPr>
            <w:r>
              <w:rPr>
                <w:sz w:val="24"/>
              </w:rPr>
              <w:t>3.32%</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lastRenderedPageBreak/>
              <w:t>7</w:t>
            </w:r>
          </w:p>
        </w:tc>
        <w:tc>
          <w:tcPr>
            <w:tcW w:w="1133" w:type="dxa"/>
            <w:vAlign w:val="center"/>
          </w:tcPr>
          <w:p w:rsidR="00B24EFC" w:rsidRDefault="000F2FB6">
            <w:pPr>
              <w:jc w:val="center"/>
            </w:pPr>
            <w:r>
              <w:rPr>
                <w:sz w:val="24"/>
              </w:rPr>
              <w:t>159745</w:t>
            </w:r>
          </w:p>
        </w:tc>
        <w:tc>
          <w:tcPr>
            <w:tcW w:w="1135" w:type="dxa"/>
            <w:vAlign w:val="center"/>
          </w:tcPr>
          <w:p w:rsidR="00B24EFC" w:rsidRDefault="000F2FB6">
            <w:pPr>
              <w:jc w:val="center"/>
            </w:pPr>
            <w:r>
              <w:rPr>
                <w:sz w:val="24"/>
              </w:rPr>
              <w:t>建材</w:t>
            </w:r>
            <w:r>
              <w:rPr>
                <w:sz w:val="24"/>
              </w:rPr>
              <w:t>ETF</w:t>
            </w:r>
          </w:p>
        </w:tc>
        <w:tc>
          <w:tcPr>
            <w:tcW w:w="1135" w:type="dxa"/>
            <w:vAlign w:val="center"/>
          </w:tcPr>
          <w:p w:rsidR="00B24EFC" w:rsidRDefault="000F2FB6">
            <w:pPr>
              <w:jc w:val="center"/>
            </w:pPr>
            <w:r>
              <w:rPr>
                <w:sz w:val="24"/>
              </w:rPr>
              <w:t>交易型开放式</w:t>
            </w:r>
          </w:p>
        </w:tc>
        <w:tc>
          <w:tcPr>
            <w:tcW w:w="1133" w:type="dxa"/>
            <w:vAlign w:val="center"/>
          </w:tcPr>
          <w:p w:rsidR="00B24EFC" w:rsidRDefault="000F2FB6">
            <w:pPr>
              <w:jc w:val="center"/>
            </w:pPr>
            <w:r>
              <w:rPr>
                <w:sz w:val="24"/>
              </w:rPr>
              <w:t>2,283,300.00</w:t>
            </w:r>
          </w:p>
        </w:tc>
        <w:tc>
          <w:tcPr>
            <w:tcW w:w="1276" w:type="dxa"/>
            <w:vAlign w:val="center"/>
          </w:tcPr>
          <w:p w:rsidR="00B24EFC" w:rsidRDefault="000F2FB6">
            <w:pPr>
              <w:jc w:val="center"/>
            </w:pPr>
            <w:r>
              <w:rPr>
                <w:sz w:val="24"/>
              </w:rPr>
              <w:t>1,212,432.30</w:t>
            </w:r>
          </w:p>
        </w:tc>
        <w:tc>
          <w:tcPr>
            <w:tcW w:w="1135" w:type="dxa"/>
            <w:vAlign w:val="center"/>
          </w:tcPr>
          <w:p w:rsidR="00B24EFC" w:rsidRDefault="000F2FB6">
            <w:pPr>
              <w:jc w:val="center"/>
            </w:pPr>
            <w:r>
              <w:rPr>
                <w:sz w:val="24"/>
              </w:rPr>
              <w:t>3.27%</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8</w:t>
            </w:r>
          </w:p>
        </w:tc>
        <w:tc>
          <w:tcPr>
            <w:tcW w:w="1133" w:type="dxa"/>
            <w:vAlign w:val="center"/>
          </w:tcPr>
          <w:p w:rsidR="00B24EFC" w:rsidRDefault="000F2FB6">
            <w:pPr>
              <w:jc w:val="center"/>
            </w:pPr>
            <w:r>
              <w:rPr>
                <w:sz w:val="24"/>
              </w:rPr>
              <w:t>159920</w:t>
            </w:r>
          </w:p>
        </w:tc>
        <w:tc>
          <w:tcPr>
            <w:tcW w:w="1135" w:type="dxa"/>
            <w:vAlign w:val="center"/>
          </w:tcPr>
          <w:p w:rsidR="00B24EFC" w:rsidRDefault="000F2FB6">
            <w:pPr>
              <w:jc w:val="center"/>
            </w:pPr>
            <w:r>
              <w:rPr>
                <w:sz w:val="24"/>
              </w:rPr>
              <w:t>恒生</w:t>
            </w:r>
            <w:r>
              <w:rPr>
                <w:sz w:val="24"/>
              </w:rPr>
              <w:t>ETF</w:t>
            </w:r>
          </w:p>
        </w:tc>
        <w:tc>
          <w:tcPr>
            <w:tcW w:w="1135" w:type="dxa"/>
            <w:vAlign w:val="center"/>
          </w:tcPr>
          <w:p w:rsidR="00B24EFC" w:rsidRDefault="000F2FB6">
            <w:pPr>
              <w:jc w:val="center"/>
            </w:pPr>
            <w:r>
              <w:rPr>
                <w:sz w:val="24"/>
              </w:rPr>
              <w:t>交易型开放式</w:t>
            </w:r>
          </w:p>
        </w:tc>
        <w:tc>
          <w:tcPr>
            <w:tcW w:w="1133" w:type="dxa"/>
            <w:vAlign w:val="center"/>
          </w:tcPr>
          <w:p w:rsidR="00B24EFC" w:rsidRDefault="000F2FB6">
            <w:pPr>
              <w:jc w:val="center"/>
            </w:pPr>
            <w:r>
              <w:rPr>
                <w:sz w:val="24"/>
              </w:rPr>
              <w:t>1,099,200.00</w:t>
            </w:r>
          </w:p>
        </w:tc>
        <w:tc>
          <w:tcPr>
            <w:tcW w:w="1276" w:type="dxa"/>
            <w:vAlign w:val="center"/>
          </w:tcPr>
          <w:p w:rsidR="00B24EFC" w:rsidRDefault="000F2FB6">
            <w:pPr>
              <w:jc w:val="center"/>
            </w:pPr>
            <w:r>
              <w:rPr>
                <w:sz w:val="24"/>
              </w:rPr>
              <w:t>1,189,334.40</w:t>
            </w:r>
          </w:p>
        </w:tc>
        <w:tc>
          <w:tcPr>
            <w:tcW w:w="1135" w:type="dxa"/>
            <w:vAlign w:val="center"/>
          </w:tcPr>
          <w:p w:rsidR="00B24EFC" w:rsidRDefault="000F2FB6">
            <w:pPr>
              <w:jc w:val="center"/>
            </w:pPr>
            <w:r>
              <w:rPr>
                <w:sz w:val="24"/>
              </w:rPr>
              <w:t>3.21%</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9</w:t>
            </w:r>
          </w:p>
        </w:tc>
        <w:tc>
          <w:tcPr>
            <w:tcW w:w="1133" w:type="dxa"/>
            <w:vAlign w:val="center"/>
          </w:tcPr>
          <w:p w:rsidR="00B24EFC" w:rsidRDefault="000F2FB6">
            <w:pPr>
              <w:jc w:val="center"/>
            </w:pPr>
            <w:r>
              <w:rPr>
                <w:sz w:val="24"/>
              </w:rPr>
              <w:t>002207</w:t>
            </w:r>
          </w:p>
        </w:tc>
        <w:tc>
          <w:tcPr>
            <w:tcW w:w="1135" w:type="dxa"/>
            <w:vAlign w:val="center"/>
          </w:tcPr>
          <w:p w:rsidR="00B24EFC" w:rsidRDefault="000F2FB6">
            <w:pPr>
              <w:jc w:val="center"/>
            </w:pPr>
            <w:r>
              <w:rPr>
                <w:sz w:val="24"/>
              </w:rPr>
              <w:t>前海开源金银珠宝混合</w:t>
            </w:r>
            <w:r>
              <w:rPr>
                <w:sz w:val="24"/>
              </w:rPr>
              <w:t>C</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709,383.99</w:t>
            </w:r>
          </w:p>
        </w:tc>
        <w:tc>
          <w:tcPr>
            <w:tcW w:w="1276" w:type="dxa"/>
            <w:vAlign w:val="center"/>
          </w:tcPr>
          <w:p w:rsidR="00B24EFC" w:rsidRDefault="000F2FB6">
            <w:pPr>
              <w:jc w:val="center"/>
            </w:pPr>
            <w:r>
              <w:rPr>
                <w:sz w:val="24"/>
              </w:rPr>
              <w:t>1,054,853.99</w:t>
            </w:r>
          </w:p>
        </w:tc>
        <w:tc>
          <w:tcPr>
            <w:tcW w:w="1135" w:type="dxa"/>
            <w:vAlign w:val="center"/>
          </w:tcPr>
          <w:p w:rsidR="00B24EFC" w:rsidRDefault="000F2FB6">
            <w:pPr>
              <w:jc w:val="center"/>
            </w:pPr>
            <w:r>
              <w:rPr>
                <w:sz w:val="24"/>
              </w:rPr>
              <w:t>2.84%</w:t>
            </w:r>
          </w:p>
        </w:tc>
        <w:tc>
          <w:tcPr>
            <w:tcW w:w="1272" w:type="dxa"/>
            <w:vAlign w:val="center"/>
          </w:tcPr>
          <w:p w:rsidR="00B24EFC" w:rsidRDefault="000F2FB6">
            <w:pPr>
              <w:jc w:val="center"/>
            </w:pPr>
            <w:r>
              <w:rPr>
                <w:sz w:val="24"/>
              </w:rPr>
              <w:t>否</w:t>
            </w:r>
          </w:p>
        </w:tc>
      </w:tr>
      <w:tr w:rsidR="00B24EFC">
        <w:tc>
          <w:tcPr>
            <w:tcW w:w="817" w:type="dxa"/>
            <w:vAlign w:val="center"/>
          </w:tcPr>
          <w:p w:rsidR="00B24EFC" w:rsidRDefault="000F2FB6">
            <w:pPr>
              <w:jc w:val="center"/>
            </w:pPr>
            <w:r>
              <w:rPr>
                <w:sz w:val="24"/>
              </w:rPr>
              <w:t>10</w:t>
            </w:r>
          </w:p>
        </w:tc>
        <w:tc>
          <w:tcPr>
            <w:tcW w:w="1133" w:type="dxa"/>
            <w:vAlign w:val="center"/>
          </w:tcPr>
          <w:p w:rsidR="00B24EFC" w:rsidRDefault="000F2FB6">
            <w:pPr>
              <w:jc w:val="center"/>
            </w:pPr>
            <w:r>
              <w:rPr>
                <w:sz w:val="24"/>
              </w:rPr>
              <w:t>006567</w:t>
            </w:r>
          </w:p>
        </w:tc>
        <w:tc>
          <w:tcPr>
            <w:tcW w:w="1135" w:type="dxa"/>
            <w:vAlign w:val="center"/>
          </w:tcPr>
          <w:p w:rsidR="00B24EFC" w:rsidRDefault="000F2FB6">
            <w:pPr>
              <w:jc w:val="center"/>
            </w:pPr>
            <w:r>
              <w:rPr>
                <w:sz w:val="24"/>
              </w:rPr>
              <w:t>中泰星元灵活配置混合</w:t>
            </w:r>
            <w:r>
              <w:rPr>
                <w:sz w:val="24"/>
              </w:rPr>
              <w:t>A</w:t>
            </w:r>
          </w:p>
        </w:tc>
        <w:tc>
          <w:tcPr>
            <w:tcW w:w="1135" w:type="dxa"/>
            <w:vAlign w:val="center"/>
          </w:tcPr>
          <w:p w:rsidR="00B24EFC" w:rsidRDefault="000F2FB6">
            <w:pPr>
              <w:jc w:val="center"/>
            </w:pPr>
            <w:r>
              <w:rPr>
                <w:sz w:val="24"/>
              </w:rPr>
              <w:t>契约型开放式</w:t>
            </w:r>
          </w:p>
        </w:tc>
        <w:tc>
          <w:tcPr>
            <w:tcW w:w="1133" w:type="dxa"/>
            <w:vAlign w:val="center"/>
          </w:tcPr>
          <w:p w:rsidR="00B24EFC" w:rsidRDefault="000F2FB6">
            <w:pPr>
              <w:jc w:val="center"/>
            </w:pPr>
            <w:r>
              <w:rPr>
                <w:sz w:val="24"/>
              </w:rPr>
              <w:t>409,736.72</w:t>
            </w:r>
          </w:p>
        </w:tc>
        <w:tc>
          <w:tcPr>
            <w:tcW w:w="1276" w:type="dxa"/>
            <w:vAlign w:val="center"/>
          </w:tcPr>
          <w:p w:rsidR="00B24EFC" w:rsidRDefault="000F2FB6">
            <w:pPr>
              <w:jc w:val="center"/>
            </w:pPr>
            <w:r>
              <w:rPr>
                <w:sz w:val="24"/>
              </w:rPr>
              <w:t>1,002,093.10</w:t>
            </w:r>
          </w:p>
        </w:tc>
        <w:tc>
          <w:tcPr>
            <w:tcW w:w="1135" w:type="dxa"/>
            <w:vAlign w:val="center"/>
          </w:tcPr>
          <w:p w:rsidR="00B24EFC" w:rsidRDefault="000F2FB6">
            <w:pPr>
              <w:jc w:val="center"/>
            </w:pPr>
            <w:r>
              <w:rPr>
                <w:sz w:val="24"/>
              </w:rPr>
              <w:t>2.70%</w:t>
            </w:r>
          </w:p>
        </w:tc>
        <w:tc>
          <w:tcPr>
            <w:tcW w:w="1272" w:type="dxa"/>
            <w:vAlign w:val="center"/>
          </w:tcPr>
          <w:p w:rsidR="00B24EFC" w:rsidRDefault="000F2FB6">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918.47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5,165.50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1,527.97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76,652.27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13,457.43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14,042.83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2,423.53</w:t>
            </w:r>
          </w:p>
        </w:tc>
      </w:tr>
      <w:tr w:rsidR="00B24EFC">
        <w:tc>
          <w:tcPr>
            <w:tcW w:w="3012" w:type="dxa"/>
            <w:vAlign w:val="center"/>
          </w:tcPr>
          <w:p w:rsidR="00B24EFC" w:rsidRDefault="000F2FB6">
            <w:pPr>
              <w:jc w:val="left"/>
            </w:pPr>
            <w:r>
              <w:rPr>
                <w:rFonts w:eastAsiaTheme="minorEastAsia"/>
                <w:color w:val="000000" w:themeColor="text1"/>
                <w:sz w:val="24"/>
              </w:rPr>
              <w:t>当期交易基金产生的交易费（元）</w:t>
            </w:r>
          </w:p>
        </w:tc>
        <w:tc>
          <w:tcPr>
            <w:tcW w:w="3012" w:type="dxa"/>
            <w:vAlign w:val="center"/>
          </w:tcPr>
          <w:p w:rsidR="00B24EFC" w:rsidRDefault="000F2FB6">
            <w:pPr>
              <w:jc w:val="right"/>
            </w:pPr>
            <w:r>
              <w:rPr>
                <w:rFonts w:eastAsiaTheme="minorEastAsia"/>
                <w:color w:val="000000" w:themeColor="text1"/>
                <w:sz w:val="24"/>
              </w:rPr>
              <w:t>1,179.85</w:t>
            </w:r>
          </w:p>
        </w:tc>
        <w:tc>
          <w:tcPr>
            <w:tcW w:w="3012" w:type="dxa"/>
            <w:vAlign w:val="center"/>
          </w:tcPr>
          <w:p w:rsidR="00B24EFC" w:rsidRDefault="000F2FB6">
            <w:pPr>
              <w:jc w:val="right"/>
            </w:pPr>
            <w:r>
              <w:rPr>
                <w:rFonts w:eastAsiaTheme="minorEastAsia"/>
                <w:color w:val="000000" w:themeColor="text1"/>
                <w:sz w:val="24"/>
              </w:rPr>
              <w:t>-</w:t>
            </w:r>
          </w:p>
        </w:tc>
      </w:tr>
      <w:tr w:rsidR="00B24EFC">
        <w:tc>
          <w:tcPr>
            <w:tcW w:w="3012" w:type="dxa"/>
            <w:vAlign w:val="center"/>
          </w:tcPr>
          <w:p w:rsidR="00B24EFC" w:rsidRDefault="000F2FB6">
            <w:pPr>
              <w:jc w:val="left"/>
            </w:pPr>
            <w:r>
              <w:rPr>
                <w:rFonts w:eastAsiaTheme="minorEastAsia"/>
                <w:color w:val="000000" w:themeColor="text1"/>
                <w:sz w:val="24"/>
              </w:rPr>
              <w:t>当期交易基金产生的转换费（元）</w:t>
            </w:r>
          </w:p>
        </w:tc>
        <w:tc>
          <w:tcPr>
            <w:tcW w:w="3012" w:type="dxa"/>
            <w:vAlign w:val="center"/>
          </w:tcPr>
          <w:p w:rsidR="00B24EFC" w:rsidRDefault="000F2FB6">
            <w:pPr>
              <w:jc w:val="right"/>
            </w:pPr>
            <w:r>
              <w:rPr>
                <w:rFonts w:eastAsiaTheme="minorEastAsia"/>
                <w:color w:val="000000" w:themeColor="text1"/>
                <w:sz w:val="24"/>
              </w:rPr>
              <w:t>1,134.74</w:t>
            </w:r>
          </w:p>
        </w:tc>
        <w:tc>
          <w:tcPr>
            <w:tcW w:w="3012" w:type="dxa"/>
            <w:vAlign w:val="center"/>
          </w:tcPr>
          <w:p w:rsidR="00B24EFC" w:rsidRDefault="000F2FB6">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lastRenderedPageBreak/>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32,274,408.14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4,779,925.07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617,578.43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205,939.10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1,252,659.38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1,289,563.29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31,639,327.19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3,696,300.88</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811,768.33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333,125.50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267,883.55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877,010.28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B24EFC">
        <w:tc>
          <w:tcPr>
            <w:tcW w:w="1070" w:type="dxa"/>
            <w:vAlign w:val="center"/>
          </w:tcPr>
          <w:p w:rsidR="00B24EFC" w:rsidRDefault="000F2FB6">
            <w:pPr>
              <w:jc w:val="center"/>
            </w:pPr>
            <w:r>
              <w:rPr>
                <w:rFonts w:eastAsiaTheme="minorEastAsia"/>
                <w:color w:val="000000" w:themeColor="text1"/>
                <w:szCs w:val="21"/>
              </w:rPr>
              <w:t>1</w:t>
            </w:r>
          </w:p>
        </w:tc>
        <w:tc>
          <w:tcPr>
            <w:tcW w:w="1851" w:type="dxa"/>
            <w:vAlign w:val="center"/>
          </w:tcPr>
          <w:p w:rsidR="00B24EFC" w:rsidRDefault="000F2FB6">
            <w:pPr>
              <w:jc w:val="center"/>
            </w:pPr>
            <w:r>
              <w:rPr>
                <w:rFonts w:eastAsiaTheme="minorEastAsia"/>
                <w:color w:val="000000" w:themeColor="text1"/>
                <w:szCs w:val="21"/>
              </w:rPr>
              <w:t>赎回</w:t>
            </w:r>
          </w:p>
        </w:tc>
        <w:tc>
          <w:tcPr>
            <w:tcW w:w="1370" w:type="dxa"/>
            <w:vAlign w:val="center"/>
          </w:tcPr>
          <w:p w:rsidR="00B24EFC" w:rsidRDefault="000F2FB6">
            <w:pPr>
              <w:jc w:val="center"/>
            </w:pPr>
            <w:r>
              <w:rPr>
                <w:rFonts w:eastAsiaTheme="minorEastAsia"/>
                <w:color w:val="000000" w:themeColor="text1"/>
                <w:szCs w:val="21"/>
              </w:rPr>
              <w:t>2024-04-25</w:t>
            </w:r>
          </w:p>
        </w:tc>
        <w:tc>
          <w:tcPr>
            <w:tcW w:w="1701" w:type="dxa"/>
            <w:vAlign w:val="center"/>
          </w:tcPr>
          <w:p w:rsidR="00B24EFC" w:rsidRDefault="000F2FB6">
            <w:pPr>
              <w:jc w:val="right"/>
            </w:pPr>
            <w:r>
              <w:rPr>
                <w:rFonts w:eastAsiaTheme="minorEastAsia"/>
                <w:color w:val="000000" w:themeColor="text1"/>
                <w:szCs w:val="21"/>
              </w:rPr>
              <w:t>267,883.55</w:t>
            </w:r>
          </w:p>
        </w:tc>
        <w:tc>
          <w:tcPr>
            <w:tcW w:w="1842" w:type="dxa"/>
            <w:vAlign w:val="center"/>
          </w:tcPr>
          <w:p w:rsidR="00B24EFC" w:rsidRDefault="000F2FB6">
            <w:pPr>
              <w:jc w:val="right"/>
            </w:pPr>
            <w:r>
              <w:rPr>
                <w:rFonts w:eastAsiaTheme="minorEastAsia"/>
                <w:color w:val="000000" w:themeColor="text1"/>
                <w:szCs w:val="21"/>
              </w:rPr>
              <w:t>-283,166.51</w:t>
            </w:r>
          </w:p>
        </w:tc>
        <w:tc>
          <w:tcPr>
            <w:tcW w:w="1397" w:type="dxa"/>
            <w:vAlign w:val="center"/>
          </w:tcPr>
          <w:p w:rsidR="00B24EFC" w:rsidRDefault="000F2FB6">
            <w:pPr>
              <w:jc w:val="right"/>
            </w:pPr>
            <w:r>
              <w:rPr>
                <w:rFonts w:eastAsiaTheme="minorEastAsia"/>
                <w:color w:val="000000" w:themeColor="text1"/>
                <w:szCs w:val="21"/>
              </w:rPr>
              <w:t>0.25%</w:t>
            </w:r>
          </w:p>
        </w:tc>
      </w:tr>
      <w:tr w:rsidR="00B24EFC">
        <w:tc>
          <w:tcPr>
            <w:tcW w:w="1070" w:type="dxa"/>
            <w:vAlign w:val="center"/>
          </w:tcPr>
          <w:p w:rsidR="00B24EFC" w:rsidRDefault="000F2FB6">
            <w:pPr>
              <w:jc w:val="center"/>
            </w:pPr>
            <w:r>
              <w:rPr>
                <w:rFonts w:eastAsiaTheme="minorEastAsia"/>
                <w:color w:val="000000" w:themeColor="text1"/>
                <w:szCs w:val="21"/>
              </w:rPr>
              <w:t>2</w:t>
            </w:r>
          </w:p>
        </w:tc>
        <w:tc>
          <w:tcPr>
            <w:tcW w:w="1851" w:type="dxa"/>
            <w:vAlign w:val="center"/>
          </w:tcPr>
          <w:p w:rsidR="00B24EFC" w:rsidRDefault="000F2FB6">
            <w:pPr>
              <w:jc w:val="center"/>
            </w:pPr>
            <w:r>
              <w:rPr>
                <w:rFonts w:eastAsiaTheme="minorEastAsia"/>
                <w:color w:val="000000" w:themeColor="text1"/>
                <w:szCs w:val="21"/>
              </w:rPr>
              <w:t>申购</w:t>
            </w:r>
          </w:p>
        </w:tc>
        <w:tc>
          <w:tcPr>
            <w:tcW w:w="1370" w:type="dxa"/>
            <w:vAlign w:val="center"/>
          </w:tcPr>
          <w:p w:rsidR="00B24EFC" w:rsidRDefault="000F2FB6">
            <w:pPr>
              <w:jc w:val="center"/>
            </w:pPr>
            <w:r>
              <w:rPr>
                <w:rFonts w:eastAsiaTheme="minorEastAsia"/>
                <w:color w:val="000000" w:themeColor="text1"/>
                <w:szCs w:val="21"/>
              </w:rPr>
              <w:t>2024-05-17</w:t>
            </w:r>
          </w:p>
        </w:tc>
        <w:tc>
          <w:tcPr>
            <w:tcW w:w="1701" w:type="dxa"/>
            <w:vAlign w:val="center"/>
          </w:tcPr>
          <w:p w:rsidR="00B24EFC" w:rsidRDefault="000F2FB6">
            <w:pPr>
              <w:jc w:val="right"/>
            </w:pPr>
            <w:r>
              <w:rPr>
                <w:rFonts w:eastAsiaTheme="minorEastAsia"/>
                <w:color w:val="000000" w:themeColor="text1"/>
                <w:szCs w:val="21"/>
              </w:rPr>
              <w:t>333,125.50</w:t>
            </w:r>
          </w:p>
        </w:tc>
        <w:tc>
          <w:tcPr>
            <w:tcW w:w="1842" w:type="dxa"/>
            <w:vAlign w:val="center"/>
          </w:tcPr>
          <w:p w:rsidR="00B24EFC" w:rsidRDefault="000F2FB6">
            <w:pPr>
              <w:jc w:val="right"/>
            </w:pPr>
            <w:r>
              <w:rPr>
                <w:rFonts w:eastAsiaTheme="minorEastAsia"/>
                <w:color w:val="000000" w:themeColor="text1"/>
                <w:szCs w:val="21"/>
              </w:rPr>
              <w:t>374,000.00</w:t>
            </w:r>
          </w:p>
        </w:tc>
        <w:tc>
          <w:tcPr>
            <w:tcW w:w="1397" w:type="dxa"/>
            <w:vAlign w:val="center"/>
          </w:tcPr>
          <w:p w:rsidR="00B24EFC" w:rsidRDefault="000F2FB6">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601,009.05</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90,833.49</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（一）中国证监会准予本基金募集注册的文件</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B24EFC" w:rsidRDefault="000F2FB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2FB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2FB6">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F2FB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摩根尚睿混合型基金中基金</w:t>
    </w:r>
    <w:r>
      <w:t>(FOF)2024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2FB6"/>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4EFC"/>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DD184-3C75-4A4E-8EDF-D57BA485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35</TotalTime>
  <Pages>16</Pages>
  <Words>1395</Words>
  <Characters>7958</Characters>
  <Application>Microsoft Office Word</Application>
  <DocSecurity>0</DocSecurity>
  <Lines>66</Lines>
  <Paragraphs>18</Paragraphs>
  <ScaleCrop>false</ScaleCrop>
  <Company>TRT. Ltd. Co.</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226</cp:revision>
  <cp:lastPrinted>2007-07-19T00:46:00Z</cp:lastPrinted>
  <dcterms:created xsi:type="dcterms:W3CDTF">2013-06-21T06:56:00Z</dcterms:created>
  <dcterms:modified xsi:type="dcterms:W3CDTF">2024-07-18T01:49:00Z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