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摩根尚睿混合型基金中基金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摩根尚睿混合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32,785,948.74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投资策略：本基金将综合考量宏观经济运行情况、基金资产配置策略、底层资产运营情况、流动性及估值水平等因素，精选公募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、其他投资策略：包括债券投资策略、中小企业私募债投资策略、证券公司短期公司债投资策略、资产支持证券投资策略。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本基金的业绩比较基准为：中证偏股型基金指数收益率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C45C0" w:rsidRDefault="002954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29,484,734.60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3,301,214.14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514,389.43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51,386.56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-205,424.89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-29,786.79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35,153,889.41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3,870,635.28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1.1725</w:t>
            </w:r>
          </w:p>
        </w:tc>
      </w:tr>
    </w:tbl>
    <w:p w:rsidR="00FC45C0" w:rsidRDefault="002954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45C0">
        <w:tc>
          <w:tcPr>
            <w:tcW w:w="1290" w:type="dxa"/>
            <w:vAlign w:val="center"/>
          </w:tcPr>
          <w:p w:rsidR="00FC45C0" w:rsidRDefault="002954F0">
            <w:pPr>
              <w:jc w:val="left"/>
            </w:pPr>
            <w:r>
              <w:rPr>
                <w:rFonts w:eastAsiaTheme="minorEastAsia"/>
                <w:color w:val="000000" w:themeColor="text1"/>
                <w:szCs w:val="21"/>
              </w:rPr>
              <w:t>过去三个月</w:t>
            </w:r>
          </w:p>
        </w:tc>
        <w:tc>
          <w:tcPr>
            <w:tcW w:w="1291" w:type="dxa"/>
            <w:vAlign w:val="center"/>
          </w:tcPr>
          <w:p w:rsidR="00FC45C0" w:rsidRDefault="002954F0">
            <w:pPr>
              <w:jc w:val="right"/>
            </w:pPr>
            <w:r>
              <w:rPr>
                <w:rFonts w:eastAsiaTheme="minorEastAsia"/>
                <w:color w:val="000000" w:themeColor="text1"/>
                <w:szCs w:val="21"/>
              </w:rPr>
              <w:t>-0.73%</w:t>
            </w:r>
          </w:p>
        </w:tc>
        <w:tc>
          <w:tcPr>
            <w:tcW w:w="1291" w:type="dxa"/>
            <w:vAlign w:val="center"/>
          </w:tcPr>
          <w:p w:rsidR="00FC45C0" w:rsidRDefault="002954F0">
            <w:pPr>
              <w:jc w:val="right"/>
            </w:pPr>
            <w:r>
              <w:rPr>
                <w:rFonts w:eastAsiaTheme="minorEastAsia"/>
                <w:color w:val="000000" w:themeColor="text1"/>
                <w:szCs w:val="21"/>
              </w:rPr>
              <w:t>1.56%</w:t>
            </w:r>
          </w:p>
        </w:tc>
        <w:tc>
          <w:tcPr>
            <w:tcW w:w="1291" w:type="dxa"/>
            <w:vAlign w:val="center"/>
          </w:tcPr>
          <w:p w:rsidR="00FC45C0" w:rsidRDefault="002954F0">
            <w:pPr>
              <w:jc w:val="right"/>
            </w:pPr>
            <w:r>
              <w:rPr>
                <w:rFonts w:eastAsiaTheme="minorEastAsia"/>
                <w:color w:val="000000" w:themeColor="text1"/>
                <w:szCs w:val="21"/>
              </w:rPr>
              <w:t>-1.58%</w:t>
            </w:r>
          </w:p>
        </w:tc>
        <w:tc>
          <w:tcPr>
            <w:tcW w:w="1291" w:type="dxa"/>
            <w:vAlign w:val="center"/>
          </w:tcPr>
          <w:p w:rsidR="00FC45C0" w:rsidRDefault="002954F0">
            <w:pPr>
              <w:jc w:val="right"/>
            </w:pPr>
            <w:r>
              <w:rPr>
                <w:rFonts w:eastAsiaTheme="minorEastAsia"/>
                <w:color w:val="000000" w:themeColor="text1"/>
                <w:szCs w:val="21"/>
              </w:rPr>
              <w:t>1.35%</w:t>
            </w:r>
          </w:p>
        </w:tc>
        <w:tc>
          <w:tcPr>
            <w:tcW w:w="1291" w:type="dxa"/>
            <w:vAlign w:val="center"/>
          </w:tcPr>
          <w:p w:rsidR="00FC45C0" w:rsidRDefault="002954F0">
            <w:pPr>
              <w:jc w:val="right"/>
            </w:pPr>
            <w:r>
              <w:rPr>
                <w:rFonts w:eastAsiaTheme="minorEastAsia"/>
                <w:color w:val="000000" w:themeColor="text1"/>
                <w:szCs w:val="21"/>
              </w:rPr>
              <w:t>0.85%</w:t>
            </w:r>
          </w:p>
        </w:tc>
        <w:tc>
          <w:tcPr>
            <w:tcW w:w="1291" w:type="dxa"/>
            <w:vAlign w:val="center"/>
          </w:tcPr>
          <w:p w:rsidR="00FC45C0" w:rsidRDefault="002954F0">
            <w:pPr>
              <w:jc w:val="right"/>
            </w:pPr>
            <w:r>
              <w:rPr>
                <w:rFonts w:eastAsiaTheme="minorEastAsia"/>
                <w:color w:val="000000" w:themeColor="text1"/>
                <w:szCs w:val="21"/>
              </w:rPr>
              <w:t>0.21%</w:t>
            </w:r>
          </w:p>
        </w:tc>
      </w:tr>
      <w:tr w:rsidR="00FC45C0">
        <w:tc>
          <w:tcPr>
            <w:tcW w:w="1290" w:type="dxa"/>
            <w:vAlign w:val="center"/>
          </w:tcPr>
          <w:p w:rsidR="00FC45C0" w:rsidRDefault="002954F0">
            <w:pPr>
              <w:jc w:val="left"/>
            </w:pPr>
            <w:r>
              <w:rPr>
                <w:rFonts w:eastAsiaTheme="minorEastAsia"/>
                <w:color w:val="000000" w:themeColor="text1"/>
                <w:szCs w:val="21"/>
              </w:rPr>
              <w:t>过去六个月</w:t>
            </w:r>
          </w:p>
        </w:tc>
        <w:tc>
          <w:tcPr>
            <w:tcW w:w="1291" w:type="dxa"/>
            <w:vAlign w:val="center"/>
          </w:tcPr>
          <w:p w:rsidR="00FC45C0" w:rsidRDefault="002954F0">
            <w:pPr>
              <w:jc w:val="right"/>
            </w:pPr>
            <w:r>
              <w:rPr>
                <w:rFonts w:eastAsiaTheme="minorEastAsia"/>
                <w:color w:val="000000" w:themeColor="text1"/>
                <w:szCs w:val="21"/>
              </w:rPr>
              <w:t>13.38%</w:t>
            </w:r>
          </w:p>
        </w:tc>
        <w:tc>
          <w:tcPr>
            <w:tcW w:w="1291" w:type="dxa"/>
            <w:vAlign w:val="center"/>
          </w:tcPr>
          <w:p w:rsidR="00FC45C0" w:rsidRDefault="002954F0">
            <w:pPr>
              <w:jc w:val="right"/>
            </w:pPr>
            <w:r>
              <w:rPr>
                <w:rFonts w:eastAsiaTheme="minorEastAsia"/>
                <w:color w:val="000000" w:themeColor="text1"/>
                <w:szCs w:val="21"/>
              </w:rPr>
              <w:t>1.57%</w:t>
            </w:r>
          </w:p>
        </w:tc>
        <w:tc>
          <w:tcPr>
            <w:tcW w:w="1291" w:type="dxa"/>
            <w:vAlign w:val="center"/>
          </w:tcPr>
          <w:p w:rsidR="00FC45C0" w:rsidRDefault="002954F0">
            <w:pPr>
              <w:jc w:val="right"/>
            </w:pPr>
            <w:r>
              <w:rPr>
                <w:rFonts w:eastAsiaTheme="minorEastAsia"/>
                <w:color w:val="000000" w:themeColor="text1"/>
                <w:szCs w:val="21"/>
              </w:rPr>
              <w:t>8.23%</w:t>
            </w:r>
          </w:p>
        </w:tc>
        <w:tc>
          <w:tcPr>
            <w:tcW w:w="1291" w:type="dxa"/>
            <w:vAlign w:val="center"/>
          </w:tcPr>
          <w:p w:rsidR="00FC45C0" w:rsidRDefault="002954F0">
            <w:pPr>
              <w:jc w:val="right"/>
            </w:pPr>
            <w:r>
              <w:rPr>
                <w:rFonts w:eastAsiaTheme="minorEastAsia"/>
                <w:color w:val="000000" w:themeColor="text1"/>
                <w:szCs w:val="21"/>
              </w:rPr>
              <w:t>1.32%</w:t>
            </w:r>
          </w:p>
        </w:tc>
        <w:tc>
          <w:tcPr>
            <w:tcW w:w="1291" w:type="dxa"/>
            <w:vAlign w:val="center"/>
          </w:tcPr>
          <w:p w:rsidR="00FC45C0" w:rsidRDefault="002954F0">
            <w:pPr>
              <w:jc w:val="right"/>
            </w:pPr>
            <w:r>
              <w:rPr>
                <w:rFonts w:eastAsiaTheme="minorEastAsia"/>
                <w:color w:val="000000" w:themeColor="text1"/>
                <w:szCs w:val="21"/>
              </w:rPr>
              <w:t>5.15%</w:t>
            </w:r>
          </w:p>
        </w:tc>
        <w:tc>
          <w:tcPr>
            <w:tcW w:w="1291" w:type="dxa"/>
            <w:vAlign w:val="center"/>
          </w:tcPr>
          <w:p w:rsidR="00FC45C0" w:rsidRDefault="002954F0">
            <w:pPr>
              <w:jc w:val="right"/>
            </w:pPr>
            <w:r>
              <w:rPr>
                <w:rFonts w:eastAsiaTheme="minorEastAsia"/>
                <w:color w:val="000000" w:themeColor="text1"/>
                <w:szCs w:val="21"/>
              </w:rPr>
              <w:t>0.25%</w:t>
            </w:r>
          </w:p>
        </w:tc>
      </w:tr>
      <w:tr w:rsidR="00FC45C0">
        <w:tc>
          <w:tcPr>
            <w:tcW w:w="1290" w:type="dxa"/>
            <w:vAlign w:val="center"/>
          </w:tcPr>
          <w:p w:rsidR="00FC45C0" w:rsidRDefault="002954F0">
            <w:pPr>
              <w:jc w:val="left"/>
            </w:pPr>
            <w:r>
              <w:rPr>
                <w:rFonts w:eastAsiaTheme="minorEastAsia"/>
                <w:color w:val="000000" w:themeColor="text1"/>
                <w:szCs w:val="21"/>
              </w:rPr>
              <w:t>过去一年</w:t>
            </w:r>
          </w:p>
        </w:tc>
        <w:tc>
          <w:tcPr>
            <w:tcW w:w="1291" w:type="dxa"/>
            <w:vAlign w:val="center"/>
          </w:tcPr>
          <w:p w:rsidR="00FC45C0" w:rsidRDefault="002954F0">
            <w:pPr>
              <w:jc w:val="right"/>
            </w:pPr>
            <w:r>
              <w:rPr>
                <w:rFonts w:eastAsiaTheme="minorEastAsia"/>
                <w:color w:val="000000" w:themeColor="text1"/>
                <w:szCs w:val="21"/>
              </w:rPr>
              <w:t>8.84%</w:t>
            </w:r>
          </w:p>
        </w:tc>
        <w:tc>
          <w:tcPr>
            <w:tcW w:w="1291" w:type="dxa"/>
            <w:vAlign w:val="center"/>
          </w:tcPr>
          <w:p w:rsidR="00FC45C0" w:rsidRDefault="002954F0">
            <w:pPr>
              <w:jc w:val="right"/>
            </w:pPr>
            <w:r>
              <w:rPr>
                <w:rFonts w:eastAsiaTheme="minorEastAsia"/>
                <w:color w:val="000000" w:themeColor="text1"/>
                <w:szCs w:val="21"/>
              </w:rPr>
              <w:t>1.38%</w:t>
            </w:r>
          </w:p>
        </w:tc>
        <w:tc>
          <w:tcPr>
            <w:tcW w:w="1291" w:type="dxa"/>
            <w:vAlign w:val="center"/>
          </w:tcPr>
          <w:p w:rsidR="00FC45C0" w:rsidRDefault="002954F0">
            <w:pPr>
              <w:jc w:val="right"/>
            </w:pPr>
            <w:r>
              <w:rPr>
                <w:rFonts w:eastAsiaTheme="minorEastAsia"/>
                <w:color w:val="000000" w:themeColor="text1"/>
                <w:szCs w:val="21"/>
              </w:rPr>
              <w:t>3.86%</w:t>
            </w:r>
          </w:p>
        </w:tc>
        <w:tc>
          <w:tcPr>
            <w:tcW w:w="1291" w:type="dxa"/>
            <w:vAlign w:val="center"/>
          </w:tcPr>
          <w:p w:rsidR="00FC45C0" w:rsidRDefault="002954F0">
            <w:pPr>
              <w:jc w:val="right"/>
            </w:pPr>
            <w:r>
              <w:rPr>
                <w:rFonts w:eastAsiaTheme="minorEastAsia"/>
                <w:color w:val="000000" w:themeColor="text1"/>
                <w:szCs w:val="21"/>
              </w:rPr>
              <w:t>1.13%</w:t>
            </w:r>
          </w:p>
        </w:tc>
        <w:tc>
          <w:tcPr>
            <w:tcW w:w="1291" w:type="dxa"/>
            <w:vAlign w:val="center"/>
          </w:tcPr>
          <w:p w:rsidR="00FC45C0" w:rsidRDefault="002954F0">
            <w:pPr>
              <w:jc w:val="right"/>
            </w:pPr>
            <w:r>
              <w:rPr>
                <w:rFonts w:eastAsiaTheme="minorEastAsia"/>
                <w:color w:val="000000" w:themeColor="text1"/>
                <w:szCs w:val="21"/>
              </w:rPr>
              <w:t>4.98%</w:t>
            </w:r>
          </w:p>
        </w:tc>
        <w:tc>
          <w:tcPr>
            <w:tcW w:w="1291" w:type="dxa"/>
            <w:vAlign w:val="center"/>
          </w:tcPr>
          <w:p w:rsidR="00FC45C0" w:rsidRDefault="002954F0">
            <w:pPr>
              <w:jc w:val="right"/>
            </w:pPr>
            <w:r>
              <w:rPr>
                <w:rFonts w:eastAsiaTheme="minorEastAsia"/>
                <w:color w:val="000000" w:themeColor="text1"/>
                <w:szCs w:val="21"/>
              </w:rPr>
              <w:t>0.25%</w:t>
            </w:r>
          </w:p>
        </w:tc>
      </w:tr>
      <w:tr w:rsidR="00FC45C0">
        <w:tc>
          <w:tcPr>
            <w:tcW w:w="1290" w:type="dxa"/>
            <w:vAlign w:val="center"/>
          </w:tcPr>
          <w:p w:rsidR="00FC45C0" w:rsidRDefault="002954F0">
            <w:pPr>
              <w:jc w:val="left"/>
            </w:pPr>
            <w:r>
              <w:rPr>
                <w:rFonts w:eastAsiaTheme="minorEastAsia"/>
                <w:color w:val="000000" w:themeColor="text1"/>
                <w:szCs w:val="21"/>
              </w:rPr>
              <w:t>过去三年</w:t>
            </w:r>
          </w:p>
        </w:tc>
        <w:tc>
          <w:tcPr>
            <w:tcW w:w="1291" w:type="dxa"/>
            <w:vAlign w:val="center"/>
          </w:tcPr>
          <w:p w:rsidR="00FC45C0" w:rsidRDefault="002954F0">
            <w:pPr>
              <w:jc w:val="right"/>
            </w:pPr>
            <w:r>
              <w:rPr>
                <w:rFonts w:eastAsiaTheme="minorEastAsia"/>
                <w:color w:val="000000" w:themeColor="text1"/>
                <w:szCs w:val="21"/>
              </w:rPr>
              <w:t>-22.25%</w:t>
            </w:r>
          </w:p>
        </w:tc>
        <w:tc>
          <w:tcPr>
            <w:tcW w:w="1291" w:type="dxa"/>
            <w:vAlign w:val="center"/>
          </w:tcPr>
          <w:p w:rsidR="00FC45C0" w:rsidRDefault="002954F0">
            <w:pPr>
              <w:jc w:val="right"/>
            </w:pPr>
            <w:r>
              <w:rPr>
                <w:rFonts w:eastAsiaTheme="minorEastAsia"/>
                <w:color w:val="000000" w:themeColor="text1"/>
                <w:szCs w:val="21"/>
              </w:rPr>
              <w:t>1.07%</w:t>
            </w:r>
          </w:p>
        </w:tc>
        <w:tc>
          <w:tcPr>
            <w:tcW w:w="1291" w:type="dxa"/>
            <w:vAlign w:val="center"/>
          </w:tcPr>
          <w:p w:rsidR="00FC45C0" w:rsidRDefault="002954F0">
            <w:pPr>
              <w:jc w:val="right"/>
            </w:pPr>
            <w:r>
              <w:rPr>
                <w:rFonts w:eastAsiaTheme="minorEastAsia"/>
                <w:color w:val="000000" w:themeColor="text1"/>
                <w:szCs w:val="21"/>
              </w:rPr>
              <w:t>-19.27%</w:t>
            </w:r>
          </w:p>
        </w:tc>
        <w:tc>
          <w:tcPr>
            <w:tcW w:w="1291" w:type="dxa"/>
            <w:vAlign w:val="center"/>
          </w:tcPr>
          <w:p w:rsidR="00FC45C0" w:rsidRDefault="002954F0">
            <w:pPr>
              <w:jc w:val="right"/>
            </w:pPr>
            <w:r>
              <w:rPr>
                <w:rFonts w:eastAsiaTheme="minorEastAsia"/>
                <w:color w:val="000000" w:themeColor="text1"/>
                <w:szCs w:val="21"/>
              </w:rPr>
              <w:t>0.86%</w:t>
            </w:r>
          </w:p>
        </w:tc>
        <w:tc>
          <w:tcPr>
            <w:tcW w:w="1291" w:type="dxa"/>
            <w:vAlign w:val="center"/>
          </w:tcPr>
          <w:p w:rsidR="00FC45C0" w:rsidRDefault="002954F0">
            <w:pPr>
              <w:jc w:val="right"/>
            </w:pPr>
            <w:r>
              <w:rPr>
                <w:rFonts w:eastAsiaTheme="minorEastAsia"/>
                <w:color w:val="000000" w:themeColor="text1"/>
                <w:szCs w:val="21"/>
              </w:rPr>
              <w:t>-2.98%</w:t>
            </w:r>
          </w:p>
        </w:tc>
        <w:tc>
          <w:tcPr>
            <w:tcW w:w="1291" w:type="dxa"/>
            <w:vAlign w:val="center"/>
          </w:tcPr>
          <w:p w:rsidR="00FC45C0" w:rsidRDefault="002954F0">
            <w:pPr>
              <w:jc w:val="right"/>
            </w:pPr>
            <w:r>
              <w:rPr>
                <w:rFonts w:eastAsiaTheme="minorEastAsia"/>
                <w:color w:val="000000" w:themeColor="text1"/>
                <w:szCs w:val="21"/>
              </w:rPr>
              <w:t>0.21%</w:t>
            </w:r>
          </w:p>
        </w:tc>
      </w:tr>
      <w:tr w:rsidR="00FC45C0">
        <w:tc>
          <w:tcPr>
            <w:tcW w:w="1290" w:type="dxa"/>
            <w:vAlign w:val="center"/>
          </w:tcPr>
          <w:p w:rsidR="00FC45C0" w:rsidRDefault="002954F0">
            <w:pPr>
              <w:jc w:val="left"/>
            </w:pPr>
            <w:r>
              <w:rPr>
                <w:rFonts w:eastAsiaTheme="minorEastAsia"/>
                <w:color w:val="000000" w:themeColor="text1"/>
                <w:szCs w:val="21"/>
              </w:rPr>
              <w:t>过去五年</w:t>
            </w:r>
          </w:p>
        </w:tc>
        <w:tc>
          <w:tcPr>
            <w:tcW w:w="1291" w:type="dxa"/>
            <w:vAlign w:val="center"/>
          </w:tcPr>
          <w:p w:rsidR="00FC45C0" w:rsidRDefault="002954F0">
            <w:pPr>
              <w:jc w:val="right"/>
            </w:pPr>
            <w:r>
              <w:rPr>
                <w:rFonts w:eastAsiaTheme="minorEastAsia"/>
                <w:color w:val="000000" w:themeColor="text1"/>
                <w:szCs w:val="21"/>
              </w:rPr>
              <w:t>-0.28%</w:t>
            </w:r>
          </w:p>
        </w:tc>
        <w:tc>
          <w:tcPr>
            <w:tcW w:w="1291" w:type="dxa"/>
            <w:vAlign w:val="center"/>
          </w:tcPr>
          <w:p w:rsidR="00FC45C0" w:rsidRDefault="002954F0">
            <w:pPr>
              <w:jc w:val="right"/>
            </w:pPr>
            <w:r>
              <w:rPr>
                <w:rFonts w:eastAsiaTheme="minorEastAsia"/>
                <w:color w:val="000000" w:themeColor="text1"/>
                <w:szCs w:val="21"/>
              </w:rPr>
              <w:t>1.00%</w:t>
            </w:r>
          </w:p>
        </w:tc>
        <w:tc>
          <w:tcPr>
            <w:tcW w:w="1291" w:type="dxa"/>
            <w:vAlign w:val="center"/>
          </w:tcPr>
          <w:p w:rsidR="00FC45C0" w:rsidRDefault="002954F0">
            <w:pPr>
              <w:jc w:val="right"/>
            </w:pPr>
            <w:r>
              <w:rPr>
                <w:rFonts w:eastAsiaTheme="minorEastAsia"/>
                <w:color w:val="000000" w:themeColor="text1"/>
                <w:szCs w:val="21"/>
              </w:rPr>
              <w:t>-5.20%</w:t>
            </w:r>
          </w:p>
        </w:tc>
        <w:tc>
          <w:tcPr>
            <w:tcW w:w="1291" w:type="dxa"/>
            <w:vAlign w:val="center"/>
          </w:tcPr>
          <w:p w:rsidR="00FC45C0" w:rsidRDefault="002954F0">
            <w:pPr>
              <w:jc w:val="right"/>
            </w:pPr>
            <w:r>
              <w:rPr>
                <w:rFonts w:eastAsiaTheme="minorEastAsia"/>
                <w:color w:val="000000" w:themeColor="text1"/>
                <w:szCs w:val="21"/>
              </w:rPr>
              <w:t>0.82%</w:t>
            </w:r>
          </w:p>
        </w:tc>
        <w:tc>
          <w:tcPr>
            <w:tcW w:w="1291" w:type="dxa"/>
            <w:vAlign w:val="center"/>
          </w:tcPr>
          <w:p w:rsidR="00FC45C0" w:rsidRDefault="002954F0">
            <w:pPr>
              <w:jc w:val="right"/>
            </w:pPr>
            <w:r>
              <w:rPr>
                <w:rFonts w:eastAsiaTheme="minorEastAsia"/>
                <w:color w:val="000000" w:themeColor="text1"/>
                <w:szCs w:val="21"/>
              </w:rPr>
              <w:t>4.92%</w:t>
            </w:r>
          </w:p>
        </w:tc>
        <w:tc>
          <w:tcPr>
            <w:tcW w:w="1291" w:type="dxa"/>
            <w:vAlign w:val="center"/>
          </w:tcPr>
          <w:p w:rsidR="00FC45C0" w:rsidRDefault="002954F0">
            <w:pPr>
              <w:jc w:val="right"/>
            </w:pPr>
            <w:r>
              <w:rPr>
                <w:rFonts w:eastAsiaTheme="minorEastAsia"/>
                <w:color w:val="000000" w:themeColor="text1"/>
                <w:szCs w:val="21"/>
              </w:rPr>
              <w:t>0.18%</w:t>
            </w:r>
          </w:p>
        </w:tc>
      </w:tr>
      <w:tr w:rsidR="00FC45C0">
        <w:tc>
          <w:tcPr>
            <w:tcW w:w="1290" w:type="dxa"/>
            <w:vAlign w:val="center"/>
          </w:tcPr>
          <w:p w:rsidR="00FC45C0" w:rsidRDefault="002954F0">
            <w:pPr>
              <w:jc w:val="left"/>
            </w:pPr>
            <w:r>
              <w:rPr>
                <w:rFonts w:eastAsiaTheme="minorEastAsia"/>
                <w:color w:val="000000" w:themeColor="text1"/>
                <w:szCs w:val="21"/>
              </w:rPr>
              <w:t>自基金合同生效起至今</w:t>
            </w:r>
          </w:p>
        </w:tc>
        <w:tc>
          <w:tcPr>
            <w:tcW w:w="1291" w:type="dxa"/>
            <w:vAlign w:val="center"/>
          </w:tcPr>
          <w:p w:rsidR="00FC45C0" w:rsidRDefault="002954F0">
            <w:pPr>
              <w:jc w:val="right"/>
            </w:pPr>
            <w:r>
              <w:rPr>
                <w:rFonts w:eastAsiaTheme="minorEastAsia"/>
                <w:color w:val="000000" w:themeColor="text1"/>
                <w:szCs w:val="21"/>
              </w:rPr>
              <w:t>19.23%</w:t>
            </w:r>
          </w:p>
        </w:tc>
        <w:tc>
          <w:tcPr>
            <w:tcW w:w="1291" w:type="dxa"/>
            <w:vAlign w:val="center"/>
          </w:tcPr>
          <w:p w:rsidR="00FC45C0" w:rsidRDefault="002954F0">
            <w:pPr>
              <w:jc w:val="right"/>
            </w:pPr>
            <w:r>
              <w:rPr>
                <w:rFonts w:eastAsiaTheme="minorEastAsia"/>
                <w:color w:val="000000" w:themeColor="text1"/>
                <w:szCs w:val="21"/>
              </w:rPr>
              <w:t>0.91%</w:t>
            </w:r>
          </w:p>
        </w:tc>
        <w:tc>
          <w:tcPr>
            <w:tcW w:w="1291" w:type="dxa"/>
            <w:vAlign w:val="center"/>
          </w:tcPr>
          <w:p w:rsidR="00FC45C0" w:rsidRDefault="002954F0">
            <w:pPr>
              <w:jc w:val="right"/>
            </w:pPr>
            <w:r>
              <w:rPr>
                <w:rFonts w:eastAsiaTheme="minorEastAsia"/>
                <w:color w:val="000000" w:themeColor="text1"/>
                <w:szCs w:val="21"/>
              </w:rPr>
              <w:t>7.29%</w:t>
            </w:r>
          </w:p>
        </w:tc>
        <w:tc>
          <w:tcPr>
            <w:tcW w:w="1291" w:type="dxa"/>
            <w:vAlign w:val="center"/>
          </w:tcPr>
          <w:p w:rsidR="00FC45C0" w:rsidRDefault="002954F0">
            <w:pPr>
              <w:jc w:val="right"/>
            </w:pPr>
            <w:r>
              <w:rPr>
                <w:rFonts w:eastAsiaTheme="minorEastAsia"/>
                <w:color w:val="000000" w:themeColor="text1"/>
                <w:szCs w:val="21"/>
              </w:rPr>
              <w:t>0.82%</w:t>
            </w:r>
          </w:p>
        </w:tc>
        <w:tc>
          <w:tcPr>
            <w:tcW w:w="1291" w:type="dxa"/>
            <w:vAlign w:val="center"/>
          </w:tcPr>
          <w:p w:rsidR="00FC45C0" w:rsidRDefault="002954F0">
            <w:pPr>
              <w:jc w:val="right"/>
            </w:pPr>
            <w:r>
              <w:rPr>
                <w:rFonts w:eastAsiaTheme="minorEastAsia"/>
                <w:color w:val="000000" w:themeColor="text1"/>
                <w:szCs w:val="21"/>
              </w:rPr>
              <w:t>11.94%</w:t>
            </w:r>
          </w:p>
        </w:tc>
        <w:tc>
          <w:tcPr>
            <w:tcW w:w="1291" w:type="dxa"/>
            <w:vAlign w:val="center"/>
          </w:tcPr>
          <w:p w:rsidR="00FC45C0" w:rsidRDefault="002954F0">
            <w:pPr>
              <w:jc w:val="right"/>
            </w:pPr>
            <w:r>
              <w:rPr>
                <w:rFonts w:eastAsiaTheme="minorEastAsia"/>
                <w:color w:val="000000" w:themeColor="text1"/>
                <w:szCs w:val="21"/>
              </w:rPr>
              <w:t>0.09%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45C0">
        <w:tc>
          <w:tcPr>
            <w:tcW w:w="1290" w:type="dxa"/>
            <w:vAlign w:val="center"/>
          </w:tcPr>
          <w:p w:rsidR="00FC45C0" w:rsidRDefault="002954F0">
            <w:pPr>
              <w:jc w:val="left"/>
            </w:pPr>
            <w:r>
              <w:rPr>
                <w:rFonts w:eastAsiaTheme="minorEastAsia"/>
                <w:color w:val="000000" w:themeColor="text1"/>
                <w:szCs w:val="21"/>
              </w:rPr>
              <w:t>过去三个月</w:t>
            </w:r>
          </w:p>
        </w:tc>
        <w:tc>
          <w:tcPr>
            <w:tcW w:w="1291" w:type="dxa"/>
            <w:vAlign w:val="center"/>
          </w:tcPr>
          <w:p w:rsidR="00FC45C0" w:rsidRDefault="002954F0">
            <w:pPr>
              <w:jc w:val="right"/>
            </w:pPr>
            <w:r>
              <w:rPr>
                <w:rFonts w:eastAsiaTheme="minorEastAsia"/>
                <w:color w:val="000000" w:themeColor="text1"/>
                <w:szCs w:val="21"/>
              </w:rPr>
              <w:t>-0.88%</w:t>
            </w:r>
          </w:p>
        </w:tc>
        <w:tc>
          <w:tcPr>
            <w:tcW w:w="1291" w:type="dxa"/>
            <w:vAlign w:val="center"/>
          </w:tcPr>
          <w:p w:rsidR="00FC45C0" w:rsidRDefault="002954F0">
            <w:pPr>
              <w:jc w:val="right"/>
            </w:pPr>
            <w:r>
              <w:rPr>
                <w:rFonts w:eastAsiaTheme="minorEastAsia"/>
                <w:color w:val="000000" w:themeColor="text1"/>
                <w:szCs w:val="21"/>
              </w:rPr>
              <w:t>1.56%</w:t>
            </w:r>
          </w:p>
        </w:tc>
        <w:tc>
          <w:tcPr>
            <w:tcW w:w="1291" w:type="dxa"/>
            <w:vAlign w:val="center"/>
          </w:tcPr>
          <w:p w:rsidR="00FC45C0" w:rsidRDefault="002954F0">
            <w:pPr>
              <w:jc w:val="right"/>
            </w:pPr>
            <w:r>
              <w:rPr>
                <w:rFonts w:eastAsiaTheme="minorEastAsia"/>
                <w:color w:val="000000" w:themeColor="text1"/>
                <w:szCs w:val="21"/>
              </w:rPr>
              <w:t>-1.58%</w:t>
            </w:r>
          </w:p>
        </w:tc>
        <w:tc>
          <w:tcPr>
            <w:tcW w:w="1291" w:type="dxa"/>
            <w:vAlign w:val="center"/>
          </w:tcPr>
          <w:p w:rsidR="00FC45C0" w:rsidRDefault="002954F0">
            <w:pPr>
              <w:jc w:val="right"/>
            </w:pPr>
            <w:r>
              <w:rPr>
                <w:rFonts w:eastAsiaTheme="minorEastAsia"/>
                <w:color w:val="000000" w:themeColor="text1"/>
                <w:szCs w:val="21"/>
              </w:rPr>
              <w:t>1.35%</w:t>
            </w:r>
          </w:p>
        </w:tc>
        <w:tc>
          <w:tcPr>
            <w:tcW w:w="1291" w:type="dxa"/>
            <w:vAlign w:val="center"/>
          </w:tcPr>
          <w:p w:rsidR="00FC45C0" w:rsidRDefault="002954F0">
            <w:pPr>
              <w:jc w:val="right"/>
            </w:pPr>
            <w:r>
              <w:rPr>
                <w:rFonts w:eastAsiaTheme="minorEastAsia"/>
                <w:color w:val="000000" w:themeColor="text1"/>
                <w:szCs w:val="21"/>
              </w:rPr>
              <w:t>0.70%</w:t>
            </w:r>
          </w:p>
        </w:tc>
        <w:tc>
          <w:tcPr>
            <w:tcW w:w="1291" w:type="dxa"/>
            <w:vAlign w:val="center"/>
          </w:tcPr>
          <w:p w:rsidR="00FC45C0" w:rsidRDefault="002954F0">
            <w:pPr>
              <w:jc w:val="right"/>
            </w:pPr>
            <w:r>
              <w:rPr>
                <w:rFonts w:eastAsiaTheme="minorEastAsia"/>
                <w:color w:val="000000" w:themeColor="text1"/>
                <w:szCs w:val="21"/>
              </w:rPr>
              <w:t>0.21%</w:t>
            </w:r>
          </w:p>
        </w:tc>
      </w:tr>
      <w:tr w:rsidR="00FC45C0">
        <w:tc>
          <w:tcPr>
            <w:tcW w:w="1290" w:type="dxa"/>
            <w:vAlign w:val="center"/>
          </w:tcPr>
          <w:p w:rsidR="00FC45C0" w:rsidRDefault="002954F0">
            <w:pPr>
              <w:jc w:val="left"/>
            </w:pPr>
            <w:r>
              <w:rPr>
                <w:rFonts w:eastAsiaTheme="minorEastAsia"/>
                <w:color w:val="000000" w:themeColor="text1"/>
                <w:szCs w:val="21"/>
              </w:rPr>
              <w:t>过去六个月</w:t>
            </w:r>
          </w:p>
        </w:tc>
        <w:tc>
          <w:tcPr>
            <w:tcW w:w="1291" w:type="dxa"/>
            <w:vAlign w:val="center"/>
          </w:tcPr>
          <w:p w:rsidR="00FC45C0" w:rsidRDefault="002954F0">
            <w:pPr>
              <w:jc w:val="right"/>
            </w:pPr>
            <w:r>
              <w:rPr>
                <w:rFonts w:eastAsiaTheme="minorEastAsia"/>
                <w:color w:val="000000" w:themeColor="text1"/>
                <w:szCs w:val="21"/>
              </w:rPr>
              <w:t>13.04%</w:t>
            </w:r>
          </w:p>
        </w:tc>
        <w:tc>
          <w:tcPr>
            <w:tcW w:w="1291" w:type="dxa"/>
            <w:vAlign w:val="center"/>
          </w:tcPr>
          <w:p w:rsidR="00FC45C0" w:rsidRDefault="002954F0">
            <w:pPr>
              <w:jc w:val="right"/>
            </w:pPr>
            <w:r>
              <w:rPr>
                <w:rFonts w:eastAsiaTheme="minorEastAsia"/>
                <w:color w:val="000000" w:themeColor="text1"/>
                <w:szCs w:val="21"/>
              </w:rPr>
              <w:t>1.57%</w:t>
            </w:r>
          </w:p>
        </w:tc>
        <w:tc>
          <w:tcPr>
            <w:tcW w:w="1291" w:type="dxa"/>
            <w:vAlign w:val="center"/>
          </w:tcPr>
          <w:p w:rsidR="00FC45C0" w:rsidRDefault="002954F0">
            <w:pPr>
              <w:jc w:val="right"/>
            </w:pPr>
            <w:r>
              <w:rPr>
                <w:rFonts w:eastAsiaTheme="minorEastAsia"/>
                <w:color w:val="000000" w:themeColor="text1"/>
                <w:szCs w:val="21"/>
              </w:rPr>
              <w:t>8.23%</w:t>
            </w:r>
          </w:p>
        </w:tc>
        <w:tc>
          <w:tcPr>
            <w:tcW w:w="1291" w:type="dxa"/>
            <w:vAlign w:val="center"/>
          </w:tcPr>
          <w:p w:rsidR="00FC45C0" w:rsidRDefault="002954F0">
            <w:pPr>
              <w:jc w:val="right"/>
            </w:pPr>
            <w:r>
              <w:rPr>
                <w:rFonts w:eastAsiaTheme="minorEastAsia"/>
                <w:color w:val="000000" w:themeColor="text1"/>
                <w:szCs w:val="21"/>
              </w:rPr>
              <w:t>1.32%</w:t>
            </w:r>
          </w:p>
        </w:tc>
        <w:tc>
          <w:tcPr>
            <w:tcW w:w="1291" w:type="dxa"/>
            <w:vAlign w:val="center"/>
          </w:tcPr>
          <w:p w:rsidR="00FC45C0" w:rsidRDefault="002954F0">
            <w:pPr>
              <w:jc w:val="right"/>
            </w:pPr>
            <w:r>
              <w:rPr>
                <w:rFonts w:eastAsiaTheme="minorEastAsia"/>
                <w:color w:val="000000" w:themeColor="text1"/>
                <w:szCs w:val="21"/>
              </w:rPr>
              <w:t>4.81%</w:t>
            </w:r>
          </w:p>
        </w:tc>
        <w:tc>
          <w:tcPr>
            <w:tcW w:w="1291" w:type="dxa"/>
            <w:vAlign w:val="center"/>
          </w:tcPr>
          <w:p w:rsidR="00FC45C0" w:rsidRDefault="002954F0">
            <w:pPr>
              <w:jc w:val="right"/>
            </w:pPr>
            <w:r>
              <w:rPr>
                <w:rFonts w:eastAsiaTheme="minorEastAsia"/>
                <w:color w:val="000000" w:themeColor="text1"/>
                <w:szCs w:val="21"/>
              </w:rPr>
              <w:t>0.25%</w:t>
            </w:r>
          </w:p>
        </w:tc>
      </w:tr>
      <w:tr w:rsidR="00FC45C0">
        <w:tc>
          <w:tcPr>
            <w:tcW w:w="1290" w:type="dxa"/>
            <w:vAlign w:val="center"/>
          </w:tcPr>
          <w:p w:rsidR="00FC45C0" w:rsidRDefault="002954F0">
            <w:pPr>
              <w:jc w:val="left"/>
            </w:pPr>
            <w:r>
              <w:rPr>
                <w:rFonts w:eastAsiaTheme="minorEastAsia"/>
                <w:color w:val="000000" w:themeColor="text1"/>
                <w:szCs w:val="21"/>
              </w:rPr>
              <w:t>过去一年</w:t>
            </w:r>
          </w:p>
        </w:tc>
        <w:tc>
          <w:tcPr>
            <w:tcW w:w="1291" w:type="dxa"/>
            <w:vAlign w:val="center"/>
          </w:tcPr>
          <w:p w:rsidR="00FC45C0" w:rsidRDefault="002954F0">
            <w:pPr>
              <w:jc w:val="right"/>
            </w:pPr>
            <w:r>
              <w:rPr>
                <w:rFonts w:eastAsiaTheme="minorEastAsia"/>
                <w:color w:val="000000" w:themeColor="text1"/>
                <w:szCs w:val="21"/>
              </w:rPr>
              <w:t>8.17%</w:t>
            </w:r>
          </w:p>
        </w:tc>
        <w:tc>
          <w:tcPr>
            <w:tcW w:w="1291" w:type="dxa"/>
            <w:vAlign w:val="center"/>
          </w:tcPr>
          <w:p w:rsidR="00FC45C0" w:rsidRDefault="002954F0">
            <w:pPr>
              <w:jc w:val="right"/>
            </w:pPr>
            <w:r>
              <w:rPr>
                <w:rFonts w:eastAsiaTheme="minorEastAsia"/>
                <w:color w:val="000000" w:themeColor="text1"/>
                <w:szCs w:val="21"/>
              </w:rPr>
              <w:t>1.38%</w:t>
            </w:r>
          </w:p>
        </w:tc>
        <w:tc>
          <w:tcPr>
            <w:tcW w:w="1291" w:type="dxa"/>
            <w:vAlign w:val="center"/>
          </w:tcPr>
          <w:p w:rsidR="00FC45C0" w:rsidRDefault="002954F0">
            <w:pPr>
              <w:jc w:val="right"/>
            </w:pPr>
            <w:r>
              <w:rPr>
                <w:rFonts w:eastAsiaTheme="minorEastAsia"/>
                <w:color w:val="000000" w:themeColor="text1"/>
                <w:szCs w:val="21"/>
              </w:rPr>
              <w:t>3.86%</w:t>
            </w:r>
          </w:p>
        </w:tc>
        <w:tc>
          <w:tcPr>
            <w:tcW w:w="1291" w:type="dxa"/>
            <w:vAlign w:val="center"/>
          </w:tcPr>
          <w:p w:rsidR="00FC45C0" w:rsidRDefault="002954F0">
            <w:pPr>
              <w:jc w:val="right"/>
            </w:pPr>
            <w:r>
              <w:rPr>
                <w:rFonts w:eastAsiaTheme="minorEastAsia"/>
                <w:color w:val="000000" w:themeColor="text1"/>
                <w:szCs w:val="21"/>
              </w:rPr>
              <w:t>1.13%</w:t>
            </w:r>
          </w:p>
        </w:tc>
        <w:tc>
          <w:tcPr>
            <w:tcW w:w="1291" w:type="dxa"/>
            <w:vAlign w:val="center"/>
          </w:tcPr>
          <w:p w:rsidR="00FC45C0" w:rsidRDefault="002954F0">
            <w:pPr>
              <w:jc w:val="right"/>
            </w:pPr>
            <w:r>
              <w:rPr>
                <w:rFonts w:eastAsiaTheme="minorEastAsia"/>
                <w:color w:val="000000" w:themeColor="text1"/>
                <w:szCs w:val="21"/>
              </w:rPr>
              <w:t>4.31%</w:t>
            </w:r>
          </w:p>
        </w:tc>
        <w:tc>
          <w:tcPr>
            <w:tcW w:w="1291" w:type="dxa"/>
            <w:vAlign w:val="center"/>
          </w:tcPr>
          <w:p w:rsidR="00FC45C0" w:rsidRDefault="002954F0">
            <w:pPr>
              <w:jc w:val="right"/>
            </w:pPr>
            <w:r>
              <w:rPr>
                <w:rFonts w:eastAsiaTheme="minorEastAsia"/>
                <w:color w:val="000000" w:themeColor="text1"/>
                <w:szCs w:val="21"/>
              </w:rPr>
              <w:t>0.25%</w:t>
            </w:r>
          </w:p>
        </w:tc>
      </w:tr>
      <w:tr w:rsidR="00FC45C0">
        <w:tc>
          <w:tcPr>
            <w:tcW w:w="1290" w:type="dxa"/>
            <w:vAlign w:val="center"/>
          </w:tcPr>
          <w:p w:rsidR="00FC45C0" w:rsidRDefault="002954F0">
            <w:pPr>
              <w:jc w:val="left"/>
            </w:pPr>
            <w:r>
              <w:rPr>
                <w:rFonts w:eastAsiaTheme="minorEastAsia"/>
                <w:color w:val="000000" w:themeColor="text1"/>
                <w:szCs w:val="21"/>
              </w:rPr>
              <w:t>过去三年</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r>
      <w:tr w:rsidR="00FC45C0">
        <w:tc>
          <w:tcPr>
            <w:tcW w:w="1290" w:type="dxa"/>
            <w:vAlign w:val="center"/>
          </w:tcPr>
          <w:p w:rsidR="00FC45C0" w:rsidRDefault="002954F0">
            <w:pPr>
              <w:jc w:val="left"/>
            </w:pPr>
            <w:r>
              <w:rPr>
                <w:rFonts w:eastAsiaTheme="minorEastAsia"/>
                <w:color w:val="000000" w:themeColor="text1"/>
                <w:szCs w:val="21"/>
              </w:rPr>
              <w:t>过去五年</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c>
          <w:tcPr>
            <w:tcW w:w="1291" w:type="dxa"/>
            <w:vAlign w:val="center"/>
          </w:tcPr>
          <w:p w:rsidR="00FC45C0" w:rsidRDefault="002954F0">
            <w:pPr>
              <w:jc w:val="right"/>
            </w:pPr>
            <w:r>
              <w:rPr>
                <w:rFonts w:eastAsiaTheme="minorEastAsia"/>
                <w:color w:val="000000" w:themeColor="text1"/>
                <w:szCs w:val="21"/>
              </w:rPr>
              <w:t>-</w:t>
            </w:r>
          </w:p>
        </w:tc>
      </w:tr>
      <w:tr w:rsidR="00FC45C0">
        <w:tc>
          <w:tcPr>
            <w:tcW w:w="1290" w:type="dxa"/>
            <w:vAlign w:val="center"/>
          </w:tcPr>
          <w:p w:rsidR="00FC45C0" w:rsidRDefault="002954F0">
            <w:pPr>
              <w:jc w:val="left"/>
            </w:pPr>
            <w:r>
              <w:rPr>
                <w:rFonts w:eastAsiaTheme="minorEastAsia"/>
                <w:color w:val="000000" w:themeColor="text1"/>
                <w:szCs w:val="21"/>
              </w:rPr>
              <w:t>自基金合同生效起至今</w:t>
            </w:r>
          </w:p>
        </w:tc>
        <w:tc>
          <w:tcPr>
            <w:tcW w:w="1291" w:type="dxa"/>
            <w:vAlign w:val="center"/>
          </w:tcPr>
          <w:p w:rsidR="00FC45C0" w:rsidRDefault="002954F0">
            <w:pPr>
              <w:jc w:val="right"/>
            </w:pPr>
            <w:r>
              <w:rPr>
                <w:rFonts w:eastAsiaTheme="minorEastAsia"/>
                <w:color w:val="000000" w:themeColor="text1"/>
                <w:szCs w:val="21"/>
              </w:rPr>
              <w:t>-17.04%</w:t>
            </w:r>
          </w:p>
        </w:tc>
        <w:tc>
          <w:tcPr>
            <w:tcW w:w="1291" w:type="dxa"/>
            <w:vAlign w:val="center"/>
          </w:tcPr>
          <w:p w:rsidR="00FC45C0" w:rsidRDefault="002954F0">
            <w:pPr>
              <w:jc w:val="right"/>
            </w:pPr>
            <w:r>
              <w:rPr>
                <w:rFonts w:eastAsiaTheme="minorEastAsia"/>
                <w:color w:val="000000" w:themeColor="text1"/>
                <w:szCs w:val="21"/>
              </w:rPr>
              <w:t>1.07%</w:t>
            </w:r>
          </w:p>
        </w:tc>
        <w:tc>
          <w:tcPr>
            <w:tcW w:w="1291" w:type="dxa"/>
            <w:vAlign w:val="center"/>
          </w:tcPr>
          <w:p w:rsidR="00FC45C0" w:rsidRDefault="002954F0">
            <w:pPr>
              <w:jc w:val="right"/>
            </w:pPr>
            <w:r>
              <w:rPr>
                <w:rFonts w:eastAsiaTheme="minorEastAsia"/>
                <w:color w:val="000000" w:themeColor="text1"/>
                <w:szCs w:val="21"/>
              </w:rPr>
              <w:t>-16.62%</w:t>
            </w:r>
          </w:p>
        </w:tc>
        <w:tc>
          <w:tcPr>
            <w:tcW w:w="1291" w:type="dxa"/>
            <w:vAlign w:val="center"/>
          </w:tcPr>
          <w:p w:rsidR="00FC45C0" w:rsidRDefault="002954F0">
            <w:pPr>
              <w:jc w:val="right"/>
            </w:pPr>
            <w:r>
              <w:rPr>
                <w:rFonts w:eastAsiaTheme="minorEastAsia"/>
                <w:color w:val="000000" w:themeColor="text1"/>
                <w:szCs w:val="21"/>
              </w:rPr>
              <w:t>0.87%</w:t>
            </w:r>
          </w:p>
        </w:tc>
        <w:tc>
          <w:tcPr>
            <w:tcW w:w="1291" w:type="dxa"/>
            <w:vAlign w:val="center"/>
          </w:tcPr>
          <w:p w:rsidR="00FC45C0" w:rsidRDefault="002954F0">
            <w:pPr>
              <w:jc w:val="right"/>
            </w:pPr>
            <w:r>
              <w:rPr>
                <w:rFonts w:eastAsiaTheme="minorEastAsia"/>
                <w:color w:val="000000" w:themeColor="text1"/>
                <w:szCs w:val="21"/>
              </w:rPr>
              <w:t>-0.42%</w:t>
            </w:r>
          </w:p>
        </w:tc>
        <w:tc>
          <w:tcPr>
            <w:tcW w:w="1291" w:type="dxa"/>
            <w:vAlign w:val="center"/>
          </w:tcPr>
          <w:p w:rsidR="00FC45C0" w:rsidRDefault="002954F0">
            <w:pPr>
              <w:jc w:val="right"/>
            </w:pPr>
            <w:r>
              <w:rPr>
                <w:rFonts w:eastAsiaTheme="minorEastAsia"/>
                <w:color w:val="000000" w:themeColor="text1"/>
                <w:szCs w:val="21"/>
              </w:rPr>
              <w:t>0.20%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摩根尚睿混合型基金中基金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．摩根尚睿混合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．摩根尚睿混合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C45C0">
        <w:tc>
          <w:tcPr>
            <w:tcW w:w="952" w:type="dxa"/>
            <w:vAlign w:val="center"/>
          </w:tcPr>
          <w:p w:rsidR="00FC45C0" w:rsidRDefault="002954F0">
            <w:pPr>
              <w:jc w:val="center"/>
            </w:pPr>
            <w:r>
              <w:rPr>
                <w:rFonts w:eastAsiaTheme="minorEastAsia"/>
                <w:color w:val="000000" w:themeColor="text1"/>
                <w:szCs w:val="21"/>
              </w:rPr>
              <w:t>吴春杰</w:t>
            </w:r>
          </w:p>
        </w:tc>
        <w:tc>
          <w:tcPr>
            <w:tcW w:w="930" w:type="dxa"/>
            <w:vAlign w:val="center"/>
          </w:tcPr>
          <w:p w:rsidR="00FC45C0" w:rsidRDefault="002954F0">
            <w:pPr>
              <w:jc w:val="center"/>
            </w:pPr>
            <w:r>
              <w:rPr>
                <w:rFonts w:eastAsiaTheme="minorEastAsia"/>
                <w:color w:val="000000" w:themeColor="text1"/>
                <w:szCs w:val="21"/>
              </w:rPr>
              <w:t>本基金基金经理</w:t>
            </w:r>
          </w:p>
        </w:tc>
        <w:tc>
          <w:tcPr>
            <w:tcW w:w="1210" w:type="dxa"/>
            <w:vAlign w:val="center"/>
          </w:tcPr>
          <w:p w:rsidR="00FC45C0" w:rsidRDefault="002954F0">
            <w:pPr>
              <w:jc w:val="center"/>
            </w:pPr>
            <w:r>
              <w:rPr>
                <w:rFonts w:eastAsiaTheme="minorEastAsia"/>
                <w:color w:val="000000" w:themeColor="text1"/>
                <w:szCs w:val="21"/>
              </w:rPr>
              <w:t>2022-03-04</w:t>
            </w:r>
          </w:p>
        </w:tc>
        <w:tc>
          <w:tcPr>
            <w:tcW w:w="1309" w:type="dxa"/>
            <w:vAlign w:val="center"/>
          </w:tcPr>
          <w:p w:rsidR="00FC45C0" w:rsidRDefault="002954F0">
            <w:pPr>
              <w:jc w:val="center"/>
            </w:pPr>
            <w:r>
              <w:rPr>
                <w:rFonts w:eastAsiaTheme="minorEastAsia"/>
                <w:color w:val="000000" w:themeColor="text1"/>
                <w:szCs w:val="21"/>
              </w:rPr>
              <w:t>-</w:t>
            </w:r>
          </w:p>
        </w:tc>
        <w:tc>
          <w:tcPr>
            <w:tcW w:w="1254" w:type="dxa"/>
            <w:vAlign w:val="center"/>
          </w:tcPr>
          <w:p w:rsidR="00FC45C0" w:rsidRDefault="002954F0">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FC45C0" w:rsidRDefault="002954F0">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FC45C0" w:rsidRDefault="002954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年四季度，国内权益市场走势以震荡为主，区间中证</w:t>
      </w:r>
      <w:r>
        <w:rPr>
          <w:rFonts w:eastAsiaTheme="minorEastAsia"/>
          <w:color w:val="000000" w:themeColor="text1"/>
          <w:szCs w:val="21"/>
        </w:rPr>
        <w:t>800</w:t>
      </w:r>
      <w:r>
        <w:rPr>
          <w:rFonts w:eastAsiaTheme="minorEastAsia"/>
          <w:color w:val="000000" w:themeColor="text1"/>
          <w:szCs w:val="21"/>
        </w:rPr>
        <w:t>涨跌幅为</w:t>
      </w:r>
      <w:r>
        <w:rPr>
          <w:rFonts w:eastAsiaTheme="minorEastAsia"/>
          <w:color w:val="000000" w:themeColor="text1"/>
          <w:szCs w:val="21"/>
        </w:rPr>
        <w:t>-1.6%</w:t>
      </w:r>
      <w:r>
        <w:rPr>
          <w:rFonts w:eastAsiaTheme="minorEastAsia"/>
          <w:color w:val="000000" w:themeColor="text1"/>
          <w:szCs w:val="21"/>
        </w:rPr>
        <w:t>。三季度末，</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日的政治局会议，政策面释放了稳股市、稳房市、稳经济的信号，</w:t>
      </w:r>
      <w:r>
        <w:rPr>
          <w:rFonts w:eastAsiaTheme="minorEastAsia"/>
          <w:color w:val="000000" w:themeColor="text1"/>
          <w:szCs w:val="21"/>
        </w:rPr>
        <w:t>A</w:t>
      </w:r>
      <w:r>
        <w:rPr>
          <w:rFonts w:eastAsiaTheme="minorEastAsia"/>
          <w:color w:val="000000" w:themeColor="text1"/>
          <w:szCs w:val="21"/>
        </w:rPr>
        <w:t>股经历快速上涨后，四季度进入对具体稳增长政策力度、政策效果的观察期。国内债券方面，在适度宽松的货币政策基调下，市场对降准、降息持有较高期待，国债收益率曲线整体下移，截至季末，</w:t>
      </w:r>
      <w:r>
        <w:rPr>
          <w:rFonts w:eastAsiaTheme="minorEastAsia"/>
          <w:color w:val="000000" w:themeColor="text1"/>
          <w:szCs w:val="21"/>
        </w:rPr>
        <w:t>10</w:t>
      </w:r>
      <w:r>
        <w:rPr>
          <w:rFonts w:eastAsiaTheme="minorEastAsia"/>
          <w:color w:val="000000" w:themeColor="text1"/>
          <w:szCs w:val="21"/>
        </w:rPr>
        <w:t>年期国债本季度下行</w:t>
      </w:r>
      <w:r>
        <w:rPr>
          <w:rFonts w:eastAsiaTheme="minorEastAsia"/>
          <w:color w:val="000000" w:themeColor="text1"/>
          <w:szCs w:val="21"/>
        </w:rPr>
        <w:t>48BP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海外方面，美股延续小幅反弹。美国大选落定，胜选者主张更大力度的减税政策、放松监管政策或将有利于美股盈利增长，标普</w:t>
      </w:r>
      <w:r>
        <w:rPr>
          <w:rFonts w:eastAsiaTheme="minorEastAsia"/>
          <w:color w:val="000000" w:themeColor="text1"/>
          <w:szCs w:val="21"/>
        </w:rPr>
        <w:t>500</w:t>
      </w:r>
      <w:r>
        <w:rPr>
          <w:rFonts w:eastAsiaTheme="minorEastAsia"/>
          <w:color w:val="000000" w:themeColor="text1"/>
          <w:szCs w:val="21"/>
        </w:rPr>
        <w:t>指数季度涨跌幅为</w:t>
      </w:r>
      <w:r>
        <w:rPr>
          <w:rFonts w:eastAsiaTheme="minorEastAsia"/>
          <w:color w:val="000000" w:themeColor="text1"/>
          <w:szCs w:val="21"/>
        </w:rPr>
        <w:t>2.1%</w:t>
      </w:r>
      <w:r>
        <w:rPr>
          <w:rFonts w:eastAsiaTheme="minorEastAsia"/>
          <w:color w:val="000000" w:themeColor="text1"/>
          <w:szCs w:val="21"/>
        </w:rPr>
        <w:t>。在随后</w:t>
      </w:r>
      <w:r>
        <w:rPr>
          <w:rFonts w:eastAsiaTheme="minorEastAsia"/>
          <w:color w:val="000000" w:themeColor="text1"/>
          <w:szCs w:val="21"/>
        </w:rPr>
        <w:t>12</w:t>
      </w:r>
      <w:r>
        <w:rPr>
          <w:rFonts w:eastAsiaTheme="minorEastAsia"/>
          <w:color w:val="000000" w:themeColor="text1"/>
          <w:szCs w:val="21"/>
        </w:rPr>
        <w:t>月议息会议上，美联储虽延续降息</w:t>
      </w:r>
      <w:r>
        <w:rPr>
          <w:rFonts w:eastAsiaTheme="minorEastAsia"/>
          <w:color w:val="000000" w:themeColor="text1"/>
          <w:szCs w:val="21"/>
        </w:rPr>
        <w:t>25BP</w:t>
      </w:r>
      <w:r>
        <w:rPr>
          <w:rFonts w:eastAsiaTheme="minorEastAsia"/>
          <w:color w:val="000000" w:themeColor="text1"/>
          <w:szCs w:val="21"/>
        </w:rPr>
        <w:t>，但对后续降息节奏偏谨慎，亦反映了大选对美国未来经济前景可能发生的潜在影响的预期变化，截至季末，</w:t>
      </w:r>
      <w:r>
        <w:rPr>
          <w:rFonts w:eastAsiaTheme="minorEastAsia"/>
          <w:color w:val="000000" w:themeColor="text1"/>
          <w:szCs w:val="21"/>
        </w:rPr>
        <w:t>10</w:t>
      </w:r>
      <w:r>
        <w:rPr>
          <w:rFonts w:eastAsiaTheme="minorEastAsia"/>
          <w:color w:val="000000" w:themeColor="text1"/>
          <w:szCs w:val="21"/>
        </w:rPr>
        <w:t>年期美债收益率季度大幅上行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4.58%</w:t>
      </w:r>
      <w:r>
        <w:rPr>
          <w:rFonts w:eastAsiaTheme="minorEastAsia"/>
          <w:color w:val="000000" w:themeColor="text1"/>
          <w:szCs w:val="21"/>
        </w:rPr>
        <w:t>。</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四季度，基金</w:t>
      </w:r>
      <w:r>
        <w:rPr>
          <w:rFonts w:eastAsiaTheme="minorEastAsia"/>
          <w:color w:val="000000" w:themeColor="text1"/>
          <w:szCs w:val="21"/>
        </w:rPr>
        <w:t>A</w:t>
      </w:r>
      <w:r>
        <w:rPr>
          <w:rFonts w:eastAsiaTheme="minorEastAsia"/>
          <w:color w:val="000000" w:themeColor="text1"/>
          <w:szCs w:val="21"/>
        </w:rPr>
        <w:t>份额累计收益率</w:t>
      </w:r>
      <w:r>
        <w:rPr>
          <w:rFonts w:eastAsiaTheme="minorEastAsia"/>
          <w:color w:val="000000" w:themeColor="text1"/>
          <w:szCs w:val="21"/>
        </w:rPr>
        <w:t>-0.73%</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份额累计收益率</w:t>
      </w:r>
      <w:r>
        <w:rPr>
          <w:rFonts w:eastAsiaTheme="minorEastAsia"/>
          <w:color w:val="000000" w:themeColor="text1"/>
          <w:szCs w:val="21"/>
        </w:rPr>
        <w:t>-0.88%</w:t>
      </w:r>
      <w:r>
        <w:rPr>
          <w:rFonts w:eastAsiaTheme="minorEastAsia"/>
          <w:color w:val="000000" w:themeColor="text1"/>
          <w:szCs w:val="21"/>
        </w:rPr>
        <w:t>，基准累计收益率</w:t>
      </w:r>
      <w:r>
        <w:rPr>
          <w:rFonts w:eastAsiaTheme="minorEastAsia"/>
          <w:color w:val="000000" w:themeColor="text1"/>
          <w:szCs w:val="21"/>
        </w:rPr>
        <w:t>-1.58%</w:t>
      </w:r>
      <w:r>
        <w:rPr>
          <w:rFonts w:eastAsiaTheme="minorEastAsia"/>
          <w:color w:val="000000" w:themeColor="text1"/>
          <w:szCs w:val="21"/>
        </w:rPr>
        <w:t>，风格与行业配置具备正贡献。组合围绕业绩比较基准运作，结合战术资产配置观点进行多元化配置，整体超配高风险资产，结构上阶段性超配国内权益及电子、非银板块具正贡献，黄金等多元资产丰富收益来源。</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从全球宏观变化来讲，美联储降息周期的开启叠加美国大选结束，市场对于基准情形经济</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的信心逐步上升，从而支持对风险资产的配置，发达市场债券有利的配置时点有所延后。</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国内权益市场方面，三季度以来，国内宏观经济政策开始积极调整，</w:t>
      </w:r>
      <w:r>
        <w:rPr>
          <w:rFonts w:eastAsiaTheme="minorEastAsia"/>
          <w:color w:val="000000" w:themeColor="text1"/>
          <w:szCs w:val="21"/>
        </w:rPr>
        <w:t>11</w:t>
      </w:r>
      <w:r>
        <w:rPr>
          <w:rFonts w:eastAsiaTheme="minorEastAsia"/>
          <w:color w:val="000000" w:themeColor="text1"/>
          <w:szCs w:val="21"/>
        </w:rPr>
        <w:t>月初</w:t>
      </w:r>
      <w:r>
        <w:rPr>
          <w:rFonts w:eastAsiaTheme="minorEastAsia"/>
          <w:color w:val="000000" w:themeColor="text1"/>
          <w:szCs w:val="21"/>
        </w:rPr>
        <w:t>12</w:t>
      </w:r>
      <w:r>
        <w:rPr>
          <w:rFonts w:eastAsiaTheme="minorEastAsia"/>
          <w:color w:val="000000" w:themeColor="text1"/>
          <w:szCs w:val="21"/>
        </w:rPr>
        <w:t>万亿地方财政债务置换方案出台、四季度货币政策表述转为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，总体起到了稳定资本市场信心的效果。一方面，</w:t>
      </w:r>
      <w:r>
        <w:rPr>
          <w:rFonts w:eastAsiaTheme="minorEastAsia"/>
          <w:color w:val="000000" w:themeColor="text1"/>
          <w:szCs w:val="21"/>
        </w:rPr>
        <w:t>A</w:t>
      </w:r>
      <w:r>
        <w:rPr>
          <w:rFonts w:eastAsiaTheme="minorEastAsia"/>
          <w:color w:val="000000" w:themeColor="text1"/>
          <w:szCs w:val="21"/>
        </w:rPr>
        <w:t>股成交量持续处在较高水平，市场活跃度较好；另一方面，市场增量资金来源扩展，央行创设的互换便利工具逐步落地，以中证</w:t>
      </w:r>
      <w:r>
        <w:rPr>
          <w:rFonts w:eastAsiaTheme="minorEastAsia"/>
          <w:color w:val="000000" w:themeColor="text1"/>
          <w:szCs w:val="21"/>
        </w:rPr>
        <w:t>A500</w:t>
      </w:r>
      <w:r>
        <w:rPr>
          <w:rFonts w:eastAsiaTheme="minorEastAsia"/>
          <w:color w:val="000000" w:themeColor="text1"/>
          <w:szCs w:val="21"/>
        </w:rPr>
        <w:t>指数为代表的宽基</w:t>
      </w:r>
      <w:r>
        <w:rPr>
          <w:rFonts w:eastAsiaTheme="minorEastAsia"/>
          <w:color w:val="000000" w:themeColor="text1"/>
          <w:szCs w:val="21"/>
        </w:rPr>
        <w:t>ETF</w:t>
      </w:r>
      <w:r>
        <w:rPr>
          <w:rFonts w:eastAsiaTheme="minorEastAsia"/>
          <w:color w:val="000000" w:themeColor="text1"/>
          <w:szCs w:val="21"/>
        </w:rPr>
        <w:t>基金批量新发，同时，高风险偏好的两融资金余额呈现上升趋势。结构上，已经出台的</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补贴中对于拉动以家电、汽车为代表的消费品起到了较好的效果，预计</w:t>
      </w:r>
      <w:r>
        <w:rPr>
          <w:rFonts w:eastAsiaTheme="minorEastAsia"/>
          <w:color w:val="000000" w:themeColor="text1"/>
          <w:szCs w:val="21"/>
        </w:rPr>
        <w:t>2025</w:t>
      </w:r>
      <w:r>
        <w:rPr>
          <w:rFonts w:eastAsiaTheme="minorEastAsia"/>
          <w:color w:val="000000" w:themeColor="text1"/>
          <w:szCs w:val="21"/>
        </w:rPr>
        <w:t>年内需消费政策仍将是稳定经济增长的有力抓手。同时，与中长期经济结构调整方向相匹配的科技成长方向，也有望受益于相关产业的支持性政策。目前，我们对高风险资产持中性偏积极的看法，后续关注春节前后市场流动性的变化、</w:t>
      </w:r>
      <w:r>
        <w:rPr>
          <w:rFonts w:eastAsiaTheme="minorEastAsia"/>
          <w:color w:val="000000" w:themeColor="text1"/>
          <w:szCs w:val="21"/>
        </w:rPr>
        <w:t>3</w:t>
      </w:r>
      <w:r>
        <w:rPr>
          <w:rFonts w:eastAsiaTheme="minorEastAsia"/>
          <w:color w:val="000000" w:themeColor="text1"/>
          <w:szCs w:val="21"/>
        </w:rPr>
        <w:t>月初两会制定的经济工作目标、财政政策的发力方向，跟踪评估政策对经济基本面的影响，进而评估是否调整投资组合。港股方面，与国内经济复苏密切相关，部分港股上市企业盈利预期有所改善，同时有望受益于海外流动性环境改善，估值具吸引力。</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对于国内债券来讲，托底经济增长的政策在发力中，内外利差仍为负值，国内债相对</w:t>
      </w:r>
      <w:r w:rsidRPr="00B27A29">
        <w:rPr>
          <w:rFonts w:eastAsiaTheme="minorEastAsia"/>
          <w:color w:val="000000" w:themeColor="text1"/>
          <w:szCs w:val="21"/>
        </w:rPr>
        <w:t>A</w:t>
      </w:r>
      <w:r w:rsidRPr="00B27A29">
        <w:rPr>
          <w:rFonts w:eastAsiaTheme="minorEastAsia"/>
          <w:color w:val="000000" w:themeColor="text1"/>
          <w:szCs w:val="21"/>
        </w:rPr>
        <w:t>股股息率所反映的估值亦较贵。但考虑到当前处在地方政府化债进程中，实际利率高位下，货币政策为支持性的基调，国内债券的风险相对可控。考虑四季度债券收益率的大幅下行反映出对于潜在的降准、降息已有较大程度的抢跑，且年初将进入新一轮稳增长政策验证期，长久期利率的波动或有上升，后续仍以中短债策略为主。</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本报告期摩根尚睿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:-0.73%</w:t>
      </w:r>
      <w:r>
        <w:rPr>
          <w:rFonts w:eastAsiaTheme="minorEastAsia"/>
          <w:color w:val="000000" w:themeColor="text1"/>
          <w:szCs w:val="21"/>
        </w:rPr>
        <w:t>，同期业绩比较基准收益率为</w:t>
      </w:r>
      <w:r>
        <w:rPr>
          <w:rFonts w:eastAsiaTheme="minorEastAsia"/>
          <w:color w:val="000000" w:themeColor="text1"/>
          <w:szCs w:val="21"/>
        </w:rPr>
        <w:t>:-1.58%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摩根尚睿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2954F0">
      <w:pPr>
        <w:spacing w:line="360" w:lineRule="auto"/>
        <w:ind w:firstLineChars="200" w:firstLine="420"/>
        <w:rPr>
          <w:rFonts w:eastAsiaTheme="minorEastAsia"/>
          <w:color w:val="000000" w:themeColor="text1"/>
          <w:kern w:val="0"/>
          <w:szCs w:val="21"/>
        </w:rPr>
      </w:pPr>
      <w:r w:rsidRPr="002954F0">
        <w:rPr>
          <w:rFonts w:eastAsiaTheme="minorEastAsia" w:hint="eastAsia"/>
          <w:color w:val="000000" w:themeColor="text1"/>
          <w:kern w:val="0"/>
          <w:szCs w:val="21"/>
        </w:rPr>
        <w:t>截至本报告期末，本基金已连续超过</w:t>
      </w:r>
      <w:r w:rsidRPr="002954F0">
        <w:rPr>
          <w:rFonts w:eastAsiaTheme="minorEastAsia" w:hint="eastAsia"/>
          <w:color w:val="000000" w:themeColor="text1"/>
          <w:kern w:val="0"/>
          <w:szCs w:val="21"/>
        </w:rPr>
        <w:t>60</w:t>
      </w:r>
      <w:r w:rsidRPr="002954F0">
        <w:rPr>
          <w:rFonts w:eastAsiaTheme="minorEastAsia" w:hint="eastAsia"/>
          <w:color w:val="000000" w:themeColor="text1"/>
          <w:kern w:val="0"/>
          <w:szCs w:val="21"/>
        </w:rPr>
        <w:t>个工作日出现基金资产净值低于</w:t>
      </w:r>
      <w:r w:rsidRPr="002954F0">
        <w:rPr>
          <w:rFonts w:eastAsiaTheme="minorEastAsia" w:hint="eastAsia"/>
          <w:color w:val="000000" w:themeColor="text1"/>
          <w:kern w:val="0"/>
          <w:szCs w:val="21"/>
        </w:rPr>
        <w:t>5000</w:t>
      </w:r>
      <w:r w:rsidRPr="002954F0">
        <w:rPr>
          <w:rFonts w:eastAsiaTheme="minorEastAsia" w:hint="eastAsia"/>
          <w:color w:val="000000" w:themeColor="text1"/>
          <w:kern w:val="0"/>
          <w:szCs w:val="21"/>
        </w:rPr>
        <w:t>万元的情形，相应解决方案已报送中国证监会。</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35,958,638.47</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91.77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2,015,934.19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5.14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2,015,934.19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5.14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1,180,204.16</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3.01</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28,473.12</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39,183,249.94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2,015,934.19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2,015,934.19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C45C0">
        <w:tc>
          <w:tcPr>
            <w:tcW w:w="1504" w:type="dxa"/>
            <w:vAlign w:val="center"/>
          </w:tcPr>
          <w:p w:rsidR="00FC45C0" w:rsidRDefault="002954F0">
            <w:pPr>
              <w:jc w:val="center"/>
            </w:pPr>
            <w:r>
              <w:rPr>
                <w:rFonts w:eastAsiaTheme="minorEastAsia"/>
                <w:color w:val="000000" w:themeColor="text1"/>
                <w:szCs w:val="21"/>
              </w:rPr>
              <w:t>1</w:t>
            </w:r>
          </w:p>
        </w:tc>
        <w:tc>
          <w:tcPr>
            <w:tcW w:w="1504" w:type="dxa"/>
            <w:vAlign w:val="center"/>
          </w:tcPr>
          <w:p w:rsidR="00FC45C0" w:rsidRDefault="002954F0">
            <w:pPr>
              <w:jc w:val="center"/>
            </w:pPr>
            <w:r>
              <w:rPr>
                <w:rFonts w:eastAsiaTheme="minorEastAsia"/>
                <w:color w:val="000000" w:themeColor="text1"/>
                <w:szCs w:val="21"/>
              </w:rPr>
              <w:t>019749</w:t>
            </w:r>
          </w:p>
        </w:tc>
        <w:tc>
          <w:tcPr>
            <w:tcW w:w="1504" w:type="dxa"/>
            <w:vAlign w:val="center"/>
          </w:tcPr>
          <w:p w:rsidR="00FC45C0" w:rsidRDefault="002954F0">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rsidR="00FC45C0" w:rsidRDefault="002954F0">
            <w:pPr>
              <w:jc w:val="right"/>
            </w:pPr>
            <w:r>
              <w:rPr>
                <w:rFonts w:eastAsiaTheme="minorEastAsia"/>
                <w:color w:val="000000" w:themeColor="text1"/>
                <w:szCs w:val="21"/>
              </w:rPr>
              <w:t>15,000</w:t>
            </w:r>
          </w:p>
        </w:tc>
        <w:tc>
          <w:tcPr>
            <w:tcW w:w="1503" w:type="dxa"/>
            <w:vAlign w:val="center"/>
          </w:tcPr>
          <w:p w:rsidR="00FC45C0" w:rsidRDefault="002954F0">
            <w:pPr>
              <w:jc w:val="right"/>
            </w:pPr>
            <w:r>
              <w:rPr>
                <w:rFonts w:eastAsiaTheme="minorEastAsia"/>
                <w:color w:val="000000" w:themeColor="text1"/>
                <w:szCs w:val="21"/>
              </w:rPr>
              <w:t>1,511,642.47</w:t>
            </w:r>
          </w:p>
        </w:tc>
        <w:tc>
          <w:tcPr>
            <w:tcW w:w="1503" w:type="dxa"/>
            <w:vAlign w:val="center"/>
          </w:tcPr>
          <w:p w:rsidR="00FC45C0" w:rsidRDefault="002954F0">
            <w:pPr>
              <w:jc w:val="right"/>
            </w:pPr>
            <w:r>
              <w:rPr>
                <w:rFonts w:eastAsiaTheme="minorEastAsia"/>
                <w:color w:val="000000" w:themeColor="text1"/>
                <w:szCs w:val="21"/>
              </w:rPr>
              <w:t>3.87</w:t>
            </w:r>
          </w:p>
        </w:tc>
      </w:tr>
      <w:tr w:rsidR="00FC45C0">
        <w:tc>
          <w:tcPr>
            <w:tcW w:w="1504" w:type="dxa"/>
            <w:vAlign w:val="center"/>
          </w:tcPr>
          <w:p w:rsidR="00FC45C0" w:rsidRDefault="002954F0">
            <w:pPr>
              <w:jc w:val="center"/>
            </w:pPr>
            <w:r>
              <w:rPr>
                <w:rFonts w:eastAsiaTheme="minorEastAsia"/>
                <w:color w:val="000000" w:themeColor="text1"/>
                <w:szCs w:val="21"/>
              </w:rPr>
              <w:t>2</w:t>
            </w:r>
          </w:p>
        </w:tc>
        <w:tc>
          <w:tcPr>
            <w:tcW w:w="1504" w:type="dxa"/>
            <w:vAlign w:val="center"/>
          </w:tcPr>
          <w:p w:rsidR="00FC45C0" w:rsidRDefault="002954F0">
            <w:pPr>
              <w:jc w:val="center"/>
            </w:pPr>
            <w:r>
              <w:rPr>
                <w:rFonts w:eastAsiaTheme="minorEastAsia"/>
                <w:color w:val="000000" w:themeColor="text1"/>
                <w:szCs w:val="21"/>
              </w:rPr>
              <w:t>019740</w:t>
            </w:r>
          </w:p>
        </w:tc>
        <w:tc>
          <w:tcPr>
            <w:tcW w:w="1504" w:type="dxa"/>
            <w:vAlign w:val="center"/>
          </w:tcPr>
          <w:p w:rsidR="00FC45C0" w:rsidRDefault="002954F0">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FC45C0" w:rsidRDefault="002954F0">
            <w:pPr>
              <w:jc w:val="right"/>
            </w:pPr>
            <w:r>
              <w:rPr>
                <w:rFonts w:eastAsiaTheme="minorEastAsia"/>
                <w:color w:val="000000" w:themeColor="text1"/>
                <w:szCs w:val="21"/>
              </w:rPr>
              <w:t>4,980</w:t>
            </w:r>
          </w:p>
        </w:tc>
        <w:tc>
          <w:tcPr>
            <w:tcW w:w="1503" w:type="dxa"/>
            <w:vAlign w:val="center"/>
          </w:tcPr>
          <w:p w:rsidR="00FC45C0" w:rsidRDefault="002954F0">
            <w:pPr>
              <w:jc w:val="right"/>
            </w:pPr>
            <w:r>
              <w:rPr>
                <w:rFonts w:eastAsiaTheme="minorEastAsia"/>
                <w:color w:val="000000" w:themeColor="text1"/>
                <w:szCs w:val="21"/>
              </w:rPr>
              <w:t>504,291.72</w:t>
            </w:r>
          </w:p>
        </w:tc>
        <w:tc>
          <w:tcPr>
            <w:tcW w:w="1503" w:type="dxa"/>
            <w:vAlign w:val="center"/>
          </w:tcPr>
          <w:p w:rsidR="00FC45C0" w:rsidRDefault="002954F0">
            <w:pPr>
              <w:jc w:val="right"/>
            </w:pPr>
            <w:r>
              <w:rPr>
                <w:rFonts w:eastAsiaTheme="minorEastAsia"/>
                <w:color w:val="000000" w:themeColor="text1"/>
                <w:szCs w:val="21"/>
              </w:rPr>
              <w:t>1.29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2,314.63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26,158.49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28,473.12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FC45C0">
        <w:tc>
          <w:tcPr>
            <w:tcW w:w="817" w:type="dxa"/>
            <w:vAlign w:val="center"/>
          </w:tcPr>
          <w:p w:rsidR="00FC45C0" w:rsidRDefault="002954F0">
            <w:pPr>
              <w:jc w:val="center"/>
            </w:pPr>
            <w:r>
              <w:rPr>
                <w:sz w:val="24"/>
              </w:rPr>
              <w:t>1</w:t>
            </w:r>
          </w:p>
        </w:tc>
        <w:tc>
          <w:tcPr>
            <w:tcW w:w="1133" w:type="dxa"/>
            <w:vAlign w:val="center"/>
          </w:tcPr>
          <w:p w:rsidR="00FC45C0" w:rsidRDefault="002954F0">
            <w:pPr>
              <w:jc w:val="center"/>
            </w:pPr>
            <w:r>
              <w:rPr>
                <w:sz w:val="24"/>
              </w:rPr>
              <w:t>512760</w:t>
            </w:r>
          </w:p>
        </w:tc>
        <w:tc>
          <w:tcPr>
            <w:tcW w:w="1135" w:type="dxa"/>
            <w:vAlign w:val="center"/>
          </w:tcPr>
          <w:p w:rsidR="00FC45C0" w:rsidRDefault="002954F0">
            <w:pPr>
              <w:jc w:val="center"/>
            </w:pPr>
            <w:r>
              <w:rPr>
                <w:sz w:val="24"/>
              </w:rPr>
              <w:t>国泰</w:t>
            </w:r>
            <w:r>
              <w:rPr>
                <w:sz w:val="24"/>
              </w:rPr>
              <w:t>CES</w:t>
            </w:r>
            <w:r>
              <w:rPr>
                <w:sz w:val="24"/>
              </w:rPr>
              <w:t>半导体芯片行业</w:t>
            </w:r>
            <w:r>
              <w:rPr>
                <w:sz w:val="24"/>
              </w:rPr>
              <w:t>ETF</w:t>
            </w:r>
          </w:p>
        </w:tc>
        <w:tc>
          <w:tcPr>
            <w:tcW w:w="1135" w:type="dxa"/>
            <w:vAlign w:val="center"/>
          </w:tcPr>
          <w:p w:rsidR="00FC45C0" w:rsidRDefault="002954F0">
            <w:pPr>
              <w:jc w:val="center"/>
            </w:pPr>
            <w:r>
              <w:rPr>
                <w:sz w:val="24"/>
              </w:rPr>
              <w:t>交易型开放式</w:t>
            </w:r>
          </w:p>
        </w:tc>
        <w:tc>
          <w:tcPr>
            <w:tcW w:w="1133" w:type="dxa"/>
            <w:vAlign w:val="center"/>
          </w:tcPr>
          <w:p w:rsidR="00FC45C0" w:rsidRDefault="002954F0">
            <w:pPr>
              <w:jc w:val="center"/>
            </w:pPr>
            <w:r>
              <w:rPr>
                <w:sz w:val="24"/>
              </w:rPr>
              <w:t>2,555,600.00</w:t>
            </w:r>
          </w:p>
        </w:tc>
        <w:tc>
          <w:tcPr>
            <w:tcW w:w="1276" w:type="dxa"/>
            <w:vAlign w:val="center"/>
          </w:tcPr>
          <w:p w:rsidR="00FC45C0" w:rsidRDefault="002954F0">
            <w:pPr>
              <w:jc w:val="center"/>
            </w:pPr>
            <w:r>
              <w:rPr>
                <w:sz w:val="24"/>
              </w:rPr>
              <w:t>2,875,050.00</w:t>
            </w:r>
          </w:p>
        </w:tc>
        <w:tc>
          <w:tcPr>
            <w:tcW w:w="1135" w:type="dxa"/>
            <w:vAlign w:val="center"/>
          </w:tcPr>
          <w:p w:rsidR="00FC45C0" w:rsidRDefault="002954F0">
            <w:pPr>
              <w:jc w:val="center"/>
            </w:pPr>
            <w:r>
              <w:rPr>
                <w:sz w:val="24"/>
              </w:rPr>
              <w:t>7.37%</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2</w:t>
            </w:r>
          </w:p>
        </w:tc>
        <w:tc>
          <w:tcPr>
            <w:tcW w:w="1133" w:type="dxa"/>
            <w:vAlign w:val="center"/>
          </w:tcPr>
          <w:p w:rsidR="00FC45C0" w:rsidRDefault="002954F0">
            <w:pPr>
              <w:jc w:val="center"/>
            </w:pPr>
            <w:r>
              <w:rPr>
                <w:sz w:val="24"/>
              </w:rPr>
              <w:t>377240</w:t>
            </w:r>
          </w:p>
        </w:tc>
        <w:tc>
          <w:tcPr>
            <w:tcW w:w="1135" w:type="dxa"/>
            <w:vAlign w:val="center"/>
          </w:tcPr>
          <w:p w:rsidR="00FC45C0" w:rsidRDefault="002954F0">
            <w:pPr>
              <w:jc w:val="center"/>
            </w:pPr>
            <w:r>
              <w:rPr>
                <w:sz w:val="24"/>
              </w:rPr>
              <w:t>摩根新兴动力混合</w:t>
            </w:r>
            <w:r>
              <w:rPr>
                <w:sz w:val="24"/>
              </w:rPr>
              <w:t>A</w:t>
            </w:r>
            <w:r>
              <w:rPr>
                <w:sz w:val="24"/>
              </w:rPr>
              <w:t>类</w:t>
            </w:r>
          </w:p>
        </w:tc>
        <w:tc>
          <w:tcPr>
            <w:tcW w:w="1135" w:type="dxa"/>
            <w:vAlign w:val="center"/>
          </w:tcPr>
          <w:p w:rsidR="00FC45C0" w:rsidRDefault="002954F0">
            <w:pPr>
              <w:jc w:val="center"/>
            </w:pPr>
            <w:r>
              <w:rPr>
                <w:sz w:val="24"/>
              </w:rPr>
              <w:t>契约型开放式</w:t>
            </w:r>
          </w:p>
        </w:tc>
        <w:tc>
          <w:tcPr>
            <w:tcW w:w="1133" w:type="dxa"/>
            <w:vAlign w:val="center"/>
          </w:tcPr>
          <w:p w:rsidR="00FC45C0" w:rsidRDefault="002954F0">
            <w:pPr>
              <w:jc w:val="center"/>
            </w:pPr>
            <w:r>
              <w:rPr>
                <w:sz w:val="24"/>
              </w:rPr>
              <w:t>497,201.99</w:t>
            </w:r>
          </w:p>
        </w:tc>
        <w:tc>
          <w:tcPr>
            <w:tcW w:w="1276" w:type="dxa"/>
            <w:vAlign w:val="center"/>
          </w:tcPr>
          <w:p w:rsidR="00FC45C0" w:rsidRDefault="002954F0">
            <w:pPr>
              <w:jc w:val="center"/>
            </w:pPr>
            <w:r>
              <w:rPr>
                <w:sz w:val="24"/>
              </w:rPr>
              <w:t>2,434,947.31</w:t>
            </w:r>
          </w:p>
        </w:tc>
        <w:tc>
          <w:tcPr>
            <w:tcW w:w="1135" w:type="dxa"/>
            <w:vAlign w:val="center"/>
          </w:tcPr>
          <w:p w:rsidR="00FC45C0" w:rsidRDefault="002954F0">
            <w:pPr>
              <w:jc w:val="center"/>
            </w:pPr>
            <w:r>
              <w:rPr>
                <w:sz w:val="24"/>
              </w:rPr>
              <w:t>6.24%</w:t>
            </w:r>
          </w:p>
        </w:tc>
        <w:tc>
          <w:tcPr>
            <w:tcW w:w="1272" w:type="dxa"/>
            <w:vAlign w:val="center"/>
          </w:tcPr>
          <w:p w:rsidR="00FC45C0" w:rsidRDefault="002954F0">
            <w:pPr>
              <w:jc w:val="center"/>
            </w:pPr>
            <w:r>
              <w:rPr>
                <w:sz w:val="24"/>
              </w:rPr>
              <w:t>是</w:t>
            </w:r>
          </w:p>
        </w:tc>
      </w:tr>
      <w:tr w:rsidR="00FC45C0">
        <w:tc>
          <w:tcPr>
            <w:tcW w:w="817" w:type="dxa"/>
            <w:vAlign w:val="center"/>
          </w:tcPr>
          <w:p w:rsidR="00FC45C0" w:rsidRDefault="002954F0">
            <w:pPr>
              <w:jc w:val="center"/>
            </w:pPr>
            <w:r>
              <w:rPr>
                <w:sz w:val="24"/>
              </w:rPr>
              <w:t>3</w:t>
            </w:r>
          </w:p>
        </w:tc>
        <w:tc>
          <w:tcPr>
            <w:tcW w:w="1133" w:type="dxa"/>
            <w:vAlign w:val="center"/>
          </w:tcPr>
          <w:p w:rsidR="00FC45C0" w:rsidRDefault="002954F0">
            <w:pPr>
              <w:jc w:val="center"/>
            </w:pPr>
            <w:r>
              <w:rPr>
                <w:sz w:val="24"/>
              </w:rPr>
              <w:t>090016</w:t>
            </w:r>
          </w:p>
        </w:tc>
        <w:tc>
          <w:tcPr>
            <w:tcW w:w="1135" w:type="dxa"/>
            <w:vAlign w:val="center"/>
          </w:tcPr>
          <w:p w:rsidR="00FC45C0" w:rsidRDefault="002954F0">
            <w:pPr>
              <w:jc w:val="center"/>
            </w:pPr>
            <w:r>
              <w:rPr>
                <w:sz w:val="24"/>
              </w:rPr>
              <w:t>大成消费主题混合</w:t>
            </w:r>
            <w:r>
              <w:rPr>
                <w:sz w:val="24"/>
              </w:rPr>
              <w:t>A</w:t>
            </w:r>
          </w:p>
        </w:tc>
        <w:tc>
          <w:tcPr>
            <w:tcW w:w="1135" w:type="dxa"/>
            <w:vAlign w:val="center"/>
          </w:tcPr>
          <w:p w:rsidR="00FC45C0" w:rsidRDefault="002954F0">
            <w:pPr>
              <w:jc w:val="center"/>
            </w:pPr>
            <w:r>
              <w:rPr>
                <w:sz w:val="24"/>
              </w:rPr>
              <w:t>契约型开放式</w:t>
            </w:r>
          </w:p>
        </w:tc>
        <w:tc>
          <w:tcPr>
            <w:tcW w:w="1133" w:type="dxa"/>
            <w:vAlign w:val="center"/>
          </w:tcPr>
          <w:p w:rsidR="00FC45C0" w:rsidRDefault="002954F0">
            <w:pPr>
              <w:jc w:val="center"/>
            </w:pPr>
            <w:r>
              <w:rPr>
                <w:sz w:val="24"/>
              </w:rPr>
              <w:t>890,715.41</w:t>
            </w:r>
          </w:p>
        </w:tc>
        <w:tc>
          <w:tcPr>
            <w:tcW w:w="1276" w:type="dxa"/>
            <w:vAlign w:val="center"/>
          </w:tcPr>
          <w:p w:rsidR="00FC45C0" w:rsidRDefault="002954F0">
            <w:pPr>
              <w:jc w:val="center"/>
            </w:pPr>
            <w:r>
              <w:rPr>
                <w:sz w:val="24"/>
              </w:rPr>
              <w:t>1,727,364.39</w:t>
            </w:r>
          </w:p>
        </w:tc>
        <w:tc>
          <w:tcPr>
            <w:tcW w:w="1135" w:type="dxa"/>
            <w:vAlign w:val="center"/>
          </w:tcPr>
          <w:p w:rsidR="00FC45C0" w:rsidRDefault="002954F0">
            <w:pPr>
              <w:jc w:val="center"/>
            </w:pPr>
            <w:r>
              <w:rPr>
                <w:sz w:val="24"/>
              </w:rPr>
              <w:t>4.43%</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4</w:t>
            </w:r>
          </w:p>
        </w:tc>
        <w:tc>
          <w:tcPr>
            <w:tcW w:w="1133" w:type="dxa"/>
            <w:vAlign w:val="center"/>
          </w:tcPr>
          <w:p w:rsidR="00FC45C0" w:rsidRDefault="002954F0">
            <w:pPr>
              <w:jc w:val="center"/>
            </w:pPr>
            <w:r>
              <w:rPr>
                <w:sz w:val="24"/>
              </w:rPr>
              <w:t>001856</w:t>
            </w:r>
          </w:p>
        </w:tc>
        <w:tc>
          <w:tcPr>
            <w:tcW w:w="1135" w:type="dxa"/>
            <w:vAlign w:val="center"/>
          </w:tcPr>
          <w:p w:rsidR="00FC45C0" w:rsidRDefault="002954F0">
            <w:pPr>
              <w:jc w:val="center"/>
            </w:pPr>
            <w:r>
              <w:rPr>
                <w:sz w:val="24"/>
              </w:rPr>
              <w:t>易方达环保主题混合</w:t>
            </w:r>
            <w:r>
              <w:rPr>
                <w:sz w:val="24"/>
              </w:rPr>
              <w:t>A</w:t>
            </w:r>
          </w:p>
        </w:tc>
        <w:tc>
          <w:tcPr>
            <w:tcW w:w="1135" w:type="dxa"/>
            <w:vAlign w:val="center"/>
          </w:tcPr>
          <w:p w:rsidR="00FC45C0" w:rsidRDefault="002954F0">
            <w:pPr>
              <w:jc w:val="center"/>
            </w:pPr>
            <w:r>
              <w:rPr>
                <w:sz w:val="24"/>
              </w:rPr>
              <w:t>契约型开放式</w:t>
            </w:r>
          </w:p>
        </w:tc>
        <w:tc>
          <w:tcPr>
            <w:tcW w:w="1133" w:type="dxa"/>
            <w:vAlign w:val="center"/>
          </w:tcPr>
          <w:p w:rsidR="00FC45C0" w:rsidRDefault="002954F0">
            <w:pPr>
              <w:jc w:val="center"/>
            </w:pPr>
            <w:r>
              <w:rPr>
                <w:sz w:val="24"/>
              </w:rPr>
              <w:t>498,331.01</w:t>
            </w:r>
          </w:p>
        </w:tc>
        <w:tc>
          <w:tcPr>
            <w:tcW w:w="1276" w:type="dxa"/>
            <w:vAlign w:val="center"/>
          </w:tcPr>
          <w:p w:rsidR="00FC45C0" w:rsidRDefault="002954F0">
            <w:pPr>
              <w:jc w:val="center"/>
            </w:pPr>
            <w:r>
              <w:rPr>
                <w:sz w:val="24"/>
              </w:rPr>
              <w:t>1,666,917.23</w:t>
            </w:r>
          </w:p>
        </w:tc>
        <w:tc>
          <w:tcPr>
            <w:tcW w:w="1135" w:type="dxa"/>
            <w:vAlign w:val="center"/>
          </w:tcPr>
          <w:p w:rsidR="00FC45C0" w:rsidRDefault="002954F0">
            <w:pPr>
              <w:jc w:val="center"/>
            </w:pPr>
            <w:r>
              <w:rPr>
                <w:sz w:val="24"/>
              </w:rPr>
              <w:t>4.27%</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5</w:t>
            </w:r>
          </w:p>
        </w:tc>
        <w:tc>
          <w:tcPr>
            <w:tcW w:w="1133" w:type="dxa"/>
            <w:vAlign w:val="center"/>
          </w:tcPr>
          <w:p w:rsidR="00FC45C0" w:rsidRDefault="002954F0">
            <w:pPr>
              <w:jc w:val="center"/>
            </w:pPr>
            <w:r>
              <w:rPr>
                <w:sz w:val="24"/>
              </w:rPr>
              <w:t>513180</w:t>
            </w:r>
          </w:p>
        </w:tc>
        <w:tc>
          <w:tcPr>
            <w:tcW w:w="1135" w:type="dxa"/>
            <w:vAlign w:val="center"/>
          </w:tcPr>
          <w:p w:rsidR="00FC45C0" w:rsidRDefault="002954F0">
            <w:pPr>
              <w:jc w:val="center"/>
            </w:pPr>
            <w:r>
              <w:rPr>
                <w:sz w:val="24"/>
              </w:rPr>
              <w:t>华夏恒生科技</w:t>
            </w:r>
            <w:r>
              <w:rPr>
                <w:sz w:val="24"/>
              </w:rPr>
              <w:t>ETF(QDII)</w:t>
            </w:r>
          </w:p>
        </w:tc>
        <w:tc>
          <w:tcPr>
            <w:tcW w:w="1135" w:type="dxa"/>
            <w:vAlign w:val="center"/>
          </w:tcPr>
          <w:p w:rsidR="00FC45C0" w:rsidRDefault="002954F0">
            <w:pPr>
              <w:jc w:val="center"/>
            </w:pPr>
            <w:r>
              <w:rPr>
                <w:sz w:val="24"/>
              </w:rPr>
              <w:t>交易型开放式</w:t>
            </w:r>
          </w:p>
        </w:tc>
        <w:tc>
          <w:tcPr>
            <w:tcW w:w="1133" w:type="dxa"/>
            <w:vAlign w:val="center"/>
          </w:tcPr>
          <w:p w:rsidR="00FC45C0" w:rsidRDefault="002954F0">
            <w:pPr>
              <w:jc w:val="center"/>
            </w:pPr>
            <w:r>
              <w:rPr>
                <w:sz w:val="24"/>
              </w:rPr>
              <w:t>2,550,200.00</w:t>
            </w:r>
          </w:p>
        </w:tc>
        <w:tc>
          <w:tcPr>
            <w:tcW w:w="1276" w:type="dxa"/>
            <w:vAlign w:val="center"/>
          </w:tcPr>
          <w:p w:rsidR="00FC45C0" w:rsidRDefault="002954F0">
            <w:pPr>
              <w:jc w:val="center"/>
            </w:pPr>
            <w:r>
              <w:rPr>
                <w:sz w:val="24"/>
              </w:rPr>
              <w:t>1,558,172.20</w:t>
            </w:r>
          </w:p>
        </w:tc>
        <w:tc>
          <w:tcPr>
            <w:tcW w:w="1135" w:type="dxa"/>
            <w:vAlign w:val="center"/>
          </w:tcPr>
          <w:p w:rsidR="00FC45C0" w:rsidRDefault="002954F0">
            <w:pPr>
              <w:jc w:val="center"/>
            </w:pPr>
            <w:r>
              <w:rPr>
                <w:sz w:val="24"/>
              </w:rPr>
              <w:t>3.99%</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6</w:t>
            </w:r>
          </w:p>
        </w:tc>
        <w:tc>
          <w:tcPr>
            <w:tcW w:w="1133" w:type="dxa"/>
            <w:vAlign w:val="center"/>
          </w:tcPr>
          <w:p w:rsidR="00FC45C0" w:rsidRDefault="002954F0">
            <w:pPr>
              <w:jc w:val="center"/>
            </w:pPr>
            <w:r>
              <w:rPr>
                <w:sz w:val="24"/>
              </w:rPr>
              <w:t>159745</w:t>
            </w:r>
          </w:p>
        </w:tc>
        <w:tc>
          <w:tcPr>
            <w:tcW w:w="1135" w:type="dxa"/>
            <w:vAlign w:val="center"/>
          </w:tcPr>
          <w:p w:rsidR="00FC45C0" w:rsidRDefault="002954F0">
            <w:pPr>
              <w:jc w:val="center"/>
            </w:pPr>
            <w:r>
              <w:rPr>
                <w:sz w:val="24"/>
              </w:rPr>
              <w:t>建材</w:t>
            </w:r>
            <w:r>
              <w:rPr>
                <w:sz w:val="24"/>
              </w:rPr>
              <w:t>ETF</w:t>
            </w:r>
          </w:p>
        </w:tc>
        <w:tc>
          <w:tcPr>
            <w:tcW w:w="1135" w:type="dxa"/>
            <w:vAlign w:val="center"/>
          </w:tcPr>
          <w:p w:rsidR="00FC45C0" w:rsidRDefault="002954F0">
            <w:pPr>
              <w:jc w:val="center"/>
            </w:pPr>
            <w:r>
              <w:rPr>
                <w:sz w:val="24"/>
              </w:rPr>
              <w:t>交易型开放式</w:t>
            </w:r>
          </w:p>
        </w:tc>
        <w:tc>
          <w:tcPr>
            <w:tcW w:w="1133" w:type="dxa"/>
            <w:vAlign w:val="center"/>
          </w:tcPr>
          <w:p w:rsidR="00FC45C0" w:rsidRDefault="002954F0">
            <w:pPr>
              <w:jc w:val="center"/>
            </w:pPr>
            <w:r>
              <w:rPr>
                <w:sz w:val="24"/>
              </w:rPr>
              <w:t>2,439,900.00</w:t>
            </w:r>
          </w:p>
        </w:tc>
        <w:tc>
          <w:tcPr>
            <w:tcW w:w="1276" w:type="dxa"/>
            <w:vAlign w:val="center"/>
          </w:tcPr>
          <w:p w:rsidR="00FC45C0" w:rsidRDefault="002954F0">
            <w:pPr>
              <w:jc w:val="center"/>
            </w:pPr>
            <w:r>
              <w:rPr>
                <w:sz w:val="24"/>
              </w:rPr>
              <w:t>1,424,901.60</w:t>
            </w:r>
          </w:p>
        </w:tc>
        <w:tc>
          <w:tcPr>
            <w:tcW w:w="1135" w:type="dxa"/>
            <w:vAlign w:val="center"/>
          </w:tcPr>
          <w:p w:rsidR="00FC45C0" w:rsidRDefault="002954F0">
            <w:pPr>
              <w:jc w:val="center"/>
            </w:pPr>
            <w:r>
              <w:rPr>
                <w:sz w:val="24"/>
              </w:rPr>
              <w:t>3.65%</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7</w:t>
            </w:r>
          </w:p>
        </w:tc>
        <w:tc>
          <w:tcPr>
            <w:tcW w:w="1133" w:type="dxa"/>
            <w:vAlign w:val="center"/>
          </w:tcPr>
          <w:p w:rsidR="00FC45C0" w:rsidRDefault="002954F0">
            <w:pPr>
              <w:jc w:val="center"/>
            </w:pPr>
            <w:r>
              <w:rPr>
                <w:sz w:val="24"/>
              </w:rPr>
              <w:t>020009</w:t>
            </w:r>
          </w:p>
        </w:tc>
        <w:tc>
          <w:tcPr>
            <w:tcW w:w="1135" w:type="dxa"/>
            <w:vAlign w:val="center"/>
          </w:tcPr>
          <w:p w:rsidR="00FC45C0" w:rsidRDefault="002954F0">
            <w:pPr>
              <w:jc w:val="center"/>
            </w:pPr>
            <w:r>
              <w:rPr>
                <w:sz w:val="24"/>
              </w:rPr>
              <w:t>国泰金鹏蓝筹价值混合</w:t>
            </w:r>
          </w:p>
        </w:tc>
        <w:tc>
          <w:tcPr>
            <w:tcW w:w="1135" w:type="dxa"/>
            <w:vAlign w:val="center"/>
          </w:tcPr>
          <w:p w:rsidR="00FC45C0" w:rsidRDefault="002954F0">
            <w:pPr>
              <w:jc w:val="center"/>
            </w:pPr>
            <w:r>
              <w:rPr>
                <w:sz w:val="24"/>
              </w:rPr>
              <w:t>契约型开放式</w:t>
            </w:r>
          </w:p>
        </w:tc>
        <w:tc>
          <w:tcPr>
            <w:tcW w:w="1133" w:type="dxa"/>
            <w:vAlign w:val="center"/>
          </w:tcPr>
          <w:p w:rsidR="00FC45C0" w:rsidRDefault="002954F0">
            <w:pPr>
              <w:jc w:val="center"/>
            </w:pPr>
            <w:r>
              <w:rPr>
                <w:sz w:val="24"/>
              </w:rPr>
              <w:t>1,077,578.01</w:t>
            </w:r>
          </w:p>
        </w:tc>
        <w:tc>
          <w:tcPr>
            <w:tcW w:w="1276" w:type="dxa"/>
            <w:vAlign w:val="center"/>
          </w:tcPr>
          <w:p w:rsidR="00FC45C0" w:rsidRDefault="002954F0">
            <w:pPr>
              <w:jc w:val="center"/>
            </w:pPr>
            <w:r>
              <w:rPr>
                <w:sz w:val="24"/>
              </w:rPr>
              <w:t>1,367,446.49</w:t>
            </w:r>
          </w:p>
        </w:tc>
        <w:tc>
          <w:tcPr>
            <w:tcW w:w="1135" w:type="dxa"/>
            <w:vAlign w:val="center"/>
          </w:tcPr>
          <w:p w:rsidR="00FC45C0" w:rsidRDefault="002954F0">
            <w:pPr>
              <w:jc w:val="center"/>
            </w:pPr>
            <w:r>
              <w:rPr>
                <w:sz w:val="24"/>
              </w:rPr>
              <w:t>3.50%</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8</w:t>
            </w:r>
          </w:p>
        </w:tc>
        <w:tc>
          <w:tcPr>
            <w:tcW w:w="1133" w:type="dxa"/>
            <w:vAlign w:val="center"/>
          </w:tcPr>
          <w:p w:rsidR="00FC45C0" w:rsidRDefault="002954F0">
            <w:pPr>
              <w:jc w:val="center"/>
            </w:pPr>
            <w:r>
              <w:rPr>
                <w:sz w:val="24"/>
              </w:rPr>
              <w:t>513890</w:t>
            </w:r>
          </w:p>
        </w:tc>
        <w:tc>
          <w:tcPr>
            <w:tcW w:w="1135" w:type="dxa"/>
            <w:vAlign w:val="center"/>
          </w:tcPr>
          <w:p w:rsidR="00FC45C0" w:rsidRDefault="002954F0">
            <w:pPr>
              <w:jc w:val="center"/>
            </w:pPr>
            <w:r>
              <w:rPr>
                <w:sz w:val="24"/>
              </w:rPr>
              <w:t>摩根恒生科技</w:t>
            </w:r>
            <w:r>
              <w:rPr>
                <w:sz w:val="24"/>
              </w:rPr>
              <w:t>ETF(QDII)</w:t>
            </w:r>
          </w:p>
        </w:tc>
        <w:tc>
          <w:tcPr>
            <w:tcW w:w="1135" w:type="dxa"/>
            <w:vAlign w:val="center"/>
          </w:tcPr>
          <w:p w:rsidR="00FC45C0" w:rsidRDefault="002954F0">
            <w:pPr>
              <w:jc w:val="center"/>
            </w:pPr>
            <w:r>
              <w:rPr>
                <w:sz w:val="24"/>
              </w:rPr>
              <w:t>交易型开放式</w:t>
            </w:r>
          </w:p>
        </w:tc>
        <w:tc>
          <w:tcPr>
            <w:tcW w:w="1133" w:type="dxa"/>
            <w:vAlign w:val="center"/>
          </w:tcPr>
          <w:p w:rsidR="00FC45C0" w:rsidRDefault="002954F0">
            <w:pPr>
              <w:jc w:val="center"/>
            </w:pPr>
            <w:r>
              <w:rPr>
                <w:sz w:val="24"/>
              </w:rPr>
              <w:t>1,435,200.00</w:t>
            </w:r>
          </w:p>
        </w:tc>
        <w:tc>
          <w:tcPr>
            <w:tcW w:w="1276" w:type="dxa"/>
            <w:vAlign w:val="center"/>
          </w:tcPr>
          <w:p w:rsidR="00FC45C0" w:rsidRDefault="002954F0">
            <w:pPr>
              <w:jc w:val="center"/>
            </w:pPr>
            <w:r>
              <w:rPr>
                <w:sz w:val="24"/>
              </w:rPr>
              <w:t>1,306,032.00</w:t>
            </w:r>
          </w:p>
        </w:tc>
        <w:tc>
          <w:tcPr>
            <w:tcW w:w="1135" w:type="dxa"/>
            <w:vAlign w:val="center"/>
          </w:tcPr>
          <w:p w:rsidR="00FC45C0" w:rsidRDefault="002954F0">
            <w:pPr>
              <w:jc w:val="center"/>
            </w:pPr>
            <w:r>
              <w:rPr>
                <w:sz w:val="24"/>
              </w:rPr>
              <w:t>3.35%</w:t>
            </w:r>
          </w:p>
        </w:tc>
        <w:tc>
          <w:tcPr>
            <w:tcW w:w="1272" w:type="dxa"/>
            <w:vAlign w:val="center"/>
          </w:tcPr>
          <w:p w:rsidR="00FC45C0" w:rsidRDefault="002954F0">
            <w:pPr>
              <w:jc w:val="center"/>
            </w:pPr>
            <w:r>
              <w:rPr>
                <w:sz w:val="24"/>
              </w:rPr>
              <w:t>是</w:t>
            </w:r>
          </w:p>
        </w:tc>
      </w:tr>
      <w:tr w:rsidR="00FC45C0">
        <w:tc>
          <w:tcPr>
            <w:tcW w:w="817" w:type="dxa"/>
            <w:vAlign w:val="center"/>
          </w:tcPr>
          <w:p w:rsidR="00FC45C0" w:rsidRDefault="002954F0">
            <w:pPr>
              <w:jc w:val="center"/>
            </w:pPr>
            <w:r>
              <w:rPr>
                <w:sz w:val="24"/>
              </w:rPr>
              <w:t>9</w:t>
            </w:r>
          </w:p>
        </w:tc>
        <w:tc>
          <w:tcPr>
            <w:tcW w:w="1133" w:type="dxa"/>
            <w:vAlign w:val="center"/>
          </w:tcPr>
          <w:p w:rsidR="00FC45C0" w:rsidRDefault="002954F0">
            <w:pPr>
              <w:jc w:val="center"/>
            </w:pPr>
            <w:r>
              <w:rPr>
                <w:sz w:val="24"/>
              </w:rPr>
              <w:t>515030</w:t>
            </w:r>
          </w:p>
        </w:tc>
        <w:tc>
          <w:tcPr>
            <w:tcW w:w="1135" w:type="dxa"/>
            <w:vAlign w:val="center"/>
          </w:tcPr>
          <w:p w:rsidR="00FC45C0" w:rsidRDefault="002954F0">
            <w:pPr>
              <w:jc w:val="center"/>
            </w:pPr>
            <w:r>
              <w:rPr>
                <w:sz w:val="24"/>
              </w:rPr>
              <w:t>华夏中证新能源汽车</w:t>
            </w:r>
            <w:r>
              <w:rPr>
                <w:sz w:val="24"/>
              </w:rPr>
              <w:t>ETF</w:t>
            </w:r>
          </w:p>
        </w:tc>
        <w:tc>
          <w:tcPr>
            <w:tcW w:w="1135" w:type="dxa"/>
            <w:vAlign w:val="center"/>
          </w:tcPr>
          <w:p w:rsidR="00FC45C0" w:rsidRDefault="002954F0">
            <w:pPr>
              <w:jc w:val="center"/>
            </w:pPr>
            <w:r>
              <w:rPr>
                <w:sz w:val="24"/>
              </w:rPr>
              <w:t>交易型开放式</w:t>
            </w:r>
          </w:p>
        </w:tc>
        <w:tc>
          <w:tcPr>
            <w:tcW w:w="1133" w:type="dxa"/>
            <w:vAlign w:val="center"/>
          </w:tcPr>
          <w:p w:rsidR="00FC45C0" w:rsidRDefault="002954F0">
            <w:pPr>
              <w:jc w:val="center"/>
            </w:pPr>
            <w:r>
              <w:rPr>
                <w:sz w:val="24"/>
              </w:rPr>
              <w:t>995,500.00</w:t>
            </w:r>
          </w:p>
        </w:tc>
        <w:tc>
          <w:tcPr>
            <w:tcW w:w="1276" w:type="dxa"/>
            <w:vAlign w:val="center"/>
          </w:tcPr>
          <w:p w:rsidR="00FC45C0" w:rsidRDefault="002954F0">
            <w:pPr>
              <w:jc w:val="center"/>
            </w:pPr>
            <w:r>
              <w:rPr>
                <w:sz w:val="24"/>
              </w:rPr>
              <w:t>1,188,627.00</w:t>
            </w:r>
          </w:p>
        </w:tc>
        <w:tc>
          <w:tcPr>
            <w:tcW w:w="1135" w:type="dxa"/>
            <w:vAlign w:val="center"/>
          </w:tcPr>
          <w:p w:rsidR="00FC45C0" w:rsidRDefault="002954F0">
            <w:pPr>
              <w:jc w:val="center"/>
            </w:pPr>
            <w:r>
              <w:rPr>
                <w:sz w:val="24"/>
              </w:rPr>
              <w:t>3.05%</w:t>
            </w:r>
          </w:p>
        </w:tc>
        <w:tc>
          <w:tcPr>
            <w:tcW w:w="1272" w:type="dxa"/>
            <w:vAlign w:val="center"/>
          </w:tcPr>
          <w:p w:rsidR="00FC45C0" w:rsidRDefault="002954F0">
            <w:pPr>
              <w:jc w:val="center"/>
            </w:pPr>
            <w:r>
              <w:rPr>
                <w:sz w:val="24"/>
              </w:rPr>
              <w:t>否</w:t>
            </w:r>
          </w:p>
        </w:tc>
      </w:tr>
      <w:tr w:rsidR="00FC45C0">
        <w:tc>
          <w:tcPr>
            <w:tcW w:w="817" w:type="dxa"/>
            <w:vAlign w:val="center"/>
          </w:tcPr>
          <w:p w:rsidR="00FC45C0" w:rsidRDefault="002954F0">
            <w:pPr>
              <w:jc w:val="center"/>
            </w:pPr>
            <w:r>
              <w:rPr>
                <w:sz w:val="24"/>
              </w:rPr>
              <w:t>10</w:t>
            </w:r>
          </w:p>
        </w:tc>
        <w:tc>
          <w:tcPr>
            <w:tcW w:w="1133" w:type="dxa"/>
            <w:vAlign w:val="center"/>
          </w:tcPr>
          <w:p w:rsidR="00FC45C0" w:rsidRDefault="002954F0">
            <w:pPr>
              <w:jc w:val="center"/>
            </w:pPr>
            <w:r>
              <w:rPr>
                <w:sz w:val="24"/>
              </w:rPr>
              <w:t>006567</w:t>
            </w:r>
          </w:p>
        </w:tc>
        <w:tc>
          <w:tcPr>
            <w:tcW w:w="1135" w:type="dxa"/>
            <w:vAlign w:val="center"/>
          </w:tcPr>
          <w:p w:rsidR="00FC45C0" w:rsidRDefault="002954F0">
            <w:pPr>
              <w:jc w:val="center"/>
            </w:pPr>
            <w:r>
              <w:rPr>
                <w:sz w:val="24"/>
              </w:rPr>
              <w:t>中泰星元灵活配置混合</w:t>
            </w:r>
            <w:r>
              <w:rPr>
                <w:sz w:val="24"/>
              </w:rPr>
              <w:t>A</w:t>
            </w:r>
          </w:p>
        </w:tc>
        <w:tc>
          <w:tcPr>
            <w:tcW w:w="1135" w:type="dxa"/>
            <w:vAlign w:val="center"/>
          </w:tcPr>
          <w:p w:rsidR="00FC45C0" w:rsidRDefault="002954F0">
            <w:pPr>
              <w:jc w:val="center"/>
            </w:pPr>
            <w:r>
              <w:rPr>
                <w:sz w:val="24"/>
              </w:rPr>
              <w:t>契约型开放式</w:t>
            </w:r>
          </w:p>
        </w:tc>
        <w:tc>
          <w:tcPr>
            <w:tcW w:w="1133" w:type="dxa"/>
            <w:vAlign w:val="center"/>
          </w:tcPr>
          <w:p w:rsidR="00FC45C0" w:rsidRDefault="002954F0">
            <w:pPr>
              <w:jc w:val="center"/>
            </w:pPr>
            <w:r>
              <w:rPr>
                <w:sz w:val="24"/>
              </w:rPr>
              <w:t>409,736.72</w:t>
            </w:r>
          </w:p>
        </w:tc>
        <w:tc>
          <w:tcPr>
            <w:tcW w:w="1276" w:type="dxa"/>
            <w:vAlign w:val="center"/>
          </w:tcPr>
          <w:p w:rsidR="00FC45C0" w:rsidRDefault="002954F0">
            <w:pPr>
              <w:jc w:val="center"/>
            </w:pPr>
            <w:r>
              <w:rPr>
                <w:sz w:val="24"/>
              </w:rPr>
              <w:t>1,086,498.86</w:t>
            </w:r>
          </w:p>
        </w:tc>
        <w:tc>
          <w:tcPr>
            <w:tcW w:w="1135" w:type="dxa"/>
            <w:vAlign w:val="center"/>
          </w:tcPr>
          <w:p w:rsidR="00FC45C0" w:rsidRDefault="002954F0">
            <w:pPr>
              <w:jc w:val="center"/>
            </w:pPr>
            <w:r>
              <w:rPr>
                <w:sz w:val="24"/>
              </w:rPr>
              <w:t>2.78%</w:t>
            </w:r>
          </w:p>
        </w:tc>
        <w:tc>
          <w:tcPr>
            <w:tcW w:w="1272" w:type="dxa"/>
            <w:vAlign w:val="center"/>
          </w:tcPr>
          <w:p w:rsidR="00FC45C0" w:rsidRDefault="002954F0">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211.87</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3,919.54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1,588.06</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77,188.89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15,856.18</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14,252.99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2,912.61</w:t>
            </w:r>
          </w:p>
        </w:tc>
      </w:tr>
      <w:tr w:rsidR="00FC45C0">
        <w:tc>
          <w:tcPr>
            <w:tcW w:w="3012" w:type="dxa"/>
            <w:vAlign w:val="center"/>
          </w:tcPr>
          <w:p w:rsidR="00FC45C0" w:rsidRDefault="002954F0">
            <w:pPr>
              <w:jc w:val="left"/>
            </w:pPr>
            <w:r>
              <w:rPr>
                <w:rFonts w:eastAsiaTheme="minorEastAsia"/>
                <w:color w:val="000000" w:themeColor="text1"/>
                <w:sz w:val="24"/>
              </w:rPr>
              <w:t>当期交易基金产生的交易费（元）</w:t>
            </w:r>
          </w:p>
        </w:tc>
        <w:tc>
          <w:tcPr>
            <w:tcW w:w="3012" w:type="dxa"/>
            <w:vAlign w:val="center"/>
          </w:tcPr>
          <w:p w:rsidR="00FC45C0" w:rsidRDefault="002954F0">
            <w:pPr>
              <w:jc w:val="right"/>
            </w:pPr>
            <w:r>
              <w:rPr>
                <w:rFonts w:eastAsiaTheme="minorEastAsia"/>
                <w:color w:val="000000" w:themeColor="text1"/>
                <w:sz w:val="24"/>
              </w:rPr>
              <w:t>384.59</w:t>
            </w:r>
          </w:p>
        </w:tc>
        <w:tc>
          <w:tcPr>
            <w:tcW w:w="3012" w:type="dxa"/>
            <w:vAlign w:val="center"/>
          </w:tcPr>
          <w:p w:rsidR="00FC45C0" w:rsidRDefault="002954F0">
            <w:pPr>
              <w:jc w:val="right"/>
            </w:pPr>
            <w:r>
              <w:rPr>
                <w:rFonts w:eastAsiaTheme="minorEastAsia"/>
                <w:color w:val="000000" w:themeColor="text1"/>
                <w:sz w:val="24"/>
              </w:rPr>
              <w:t>8.07</w:t>
            </w:r>
          </w:p>
        </w:tc>
      </w:tr>
      <w:tr w:rsidR="00FC45C0">
        <w:tc>
          <w:tcPr>
            <w:tcW w:w="3012" w:type="dxa"/>
            <w:vAlign w:val="center"/>
          </w:tcPr>
          <w:p w:rsidR="00FC45C0" w:rsidRDefault="002954F0">
            <w:pPr>
              <w:jc w:val="left"/>
            </w:pPr>
            <w:r>
              <w:rPr>
                <w:rFonts w:eastAsiaTheme="minorEastAsia"/>
                <w:color w:val="000000" w:themeColor="text1"/>
                <w:sz w:val="24"/>
              </w:rPr>
              <w:t>当期交易基金产生的转换费（元）</w:t>
            </w:r>
          </w:p>
        </w:tc>
        <w:tc>
          <w:tcPr>
            <w:tcW w:w="3012" w:type="dxa"/>
            <w:vAlign w:val="center"/>
          </w:tcPr>
          <w:p w:rsidR="00FC45C0" w:rsidRDefault="002954F0">
            <w:pPr>
              <w:jc w:val="right"/>
            </w:pPr>
            <w:r>
              <w:rPr>
                <w:rFonts w:eastAsiaTheme="minorEastAsia"/>
                <w:color w:val="000000" w:themeColor="text1"/>
                <w:sz w:val="24"/>
              </w:rPr>
              <w:t>-</w:t>
            </w:r>
          </w:p>
        </w:tc>
        <w:tc>
          <w:tcPr>
            <w:tcW w:w="3012" w:type="dxa"/>
            <w:vAlign w:val="center"/>
          </w:tcPr>
          <w:p w:rsidR="00FC45C0" w:rsidRDefault="002954F0">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31,021,182.98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3,543,685.89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653,274.84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337,360.22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2,189,723.22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579,831.97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29,484,734.60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3,301,214.14</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877,010.28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877,010.28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2.67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（二）摩根尚睿混合型基金中基金</w:t>
      </w:r>
      <w:r>
        <w:rPr>
          <w:rFonts w:eastAsiaTheme="minorEastAsia"/>
          <w:color w:val="000000" w:themeColor="text1"/>
          <w:szCs w:val="21"/>
        </w:rPr>
        <w:t>(FOF)</w:t>
      </w:r>
      <w:r>
        <w:rPr>
          <w:rFonts w:eastAsiaTheme="minorEastAsia"/>
          <w:color w:val="000000" w:themeColor="text1"/>
          <w:szCs w:val="21"/>
        </w:rPr>
        <w:t>基金合同</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（三）摩根尚睿混合型基金中基金</w:t>
      </w:r>
      <w:r>
        <w:rPr>
          <w:rFonts w:eastAsiaTheme="minorEastAsia"/>
          <w:color w:val="000000" w:themeColor="text1"/>
          <w:szCs w:val="21"/>
        </w:rPr>
        <w:t>(FOF)</w:t>
      </w:r>
      <w:r>
        <w:rPr>
          <w:rFonts w:eastAsiaTheme="minorEastAsia"/>
          <w:color w:val="000000" w:themeColor="text1"/>
          <w:szCs w:val="21"/>
        </w:rPr>
        <w:t>托管协议</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FC45C0" w:rsidRDefault="002954F0">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0A9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0A9F">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D0A9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摩根尚睿混合型基金中基金</w:t>
    </w:r>
    <w:r>
      <w:t>(FOF)2024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0A9F"/>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54F0"/>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45C0"/>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0D843-9B87-467B-ADB9-76CBCE9B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35</TotalTime>
  <Pages>16</Pages>
  <Words>1341</Words>
  <Characters>7644</Characters>
  <Application>Microsoft Office Word</Application>
  <DocSecurity>0</DocSecurity>
  <Lines>63</Lines>
  <Paragraphs>17</Paragraphs>
  <ScaleCrop>false</ScaleCrop>
  <Company>TRT. Ltd. Co.</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227</cp:revision>
  <cp:lastPrinted>2007-07-19T00:46:00Z</cp:lastPrinted>
  <dcterms:created xsi:type="dcterms:W3CDTF">2013-06-21T06:56:00Z</dcterms:created>
  <dcterms:modified xsi:type="dcterms:W3CDTF">2025-01-21T06:16:00Z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