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上投摩根动力精选混合型证券投资基金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2019年第3季度报告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2019年9月30日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二〇一九年十月二十五日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基金托管人中国银行股份有限公司根据本基金合同规定，于2019年10月24日复核了本报告中的财务指标、净值表现和投资组合报告等内容，保证复核内容不存在虚假记载、误导性陈述或者重大遗漏。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本报告期自2019年7月1日起至9月30日止。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上投摩根动力精选混合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006250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006250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2019年1月29日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17,603,019.58</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本基金采用定量及定性研究方法，自下而上精选具有较高增长潜力的公司， 在有效控制风险的前提下，力争实现基金资产的长期增值。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3、债券投资策略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中证800 指数收益率×80%+中债总指数收益率×20%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本基金属于混合型基金产品，预期风险和收益水平高于债券型基金和货币市场基金，低于股票型基金。</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2019年7月1日-2019年9月30日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6,761,974.58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7,188,700.34</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0.1541</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18,819,270.90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1.0691</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11.62%</w:t>
            </w:r>
          </w:p>
        </w:tc>
        <w:tc>
          <w:tcPr>
            <w:vAlign w:val="center"/>
          </w:tcPr>
          <w:p>
            <w:pPr>
              <w:jc w:val="center"/>
            </w:pPr>
            <w:r>
              <w:rPr>
                <w:rFonts w:asciiTheme="minorEastAsia" w:eastAsiaTheme="minorEastAsia" w:hAnsiTheme="minorEastAsia"/>
                <w:color w:themeColor="text1" w:val="000000"/>
                <w:kern w:val="0"/>
                <w:sz w:val="21"/>
              </w:rPr>
              <w:t>1.00%</w:t>
            </w:r>
          </w:p>
        </w:tc>
        <w:tc>
          <w:tcPr>
            <w:vAlign w:val="center"/>
          </w:tcPr>
          <w:p>
            <w:pPr>
              <w:jc w:val="center"/>
            </w:pPr>
            <w:r>
              <w:rPr>
                <w:rFonts w:asciiTheme="minorEastAsia" w:eastAsiaTheme="minorEastAsia" w:hAnsiTheme="minorEastAsia"/>
                <w:color w:themeColor="text1" w:val="000000"/>
                <w:kern w:val="0"/>
                <w:sz w:val="21"/>
              </w:rPr>
              <w:t>-0.09%</w:t>
            </w:r>
          </w:p>
        </w:tc>
        <w:tc>
          <w:tcPr>
            <w:vAlign w:val="center"/>
          </w:tcPr>
          <w:p>
            <w:pPr>
              <w:jc w:val="center"/>
            </w:pPr>
            <w:r>
              <w:rPr>
                <w:rFonts w:asciiTheme="minorEastAsia" w:eastAsiaTheme="minorEastAsia" w:hAnsiTheme="minorEastAsia"/>
                <w:color w:themeColor="text1" w:val="000000"/>
                <w:kern w:val="0"/>
                <w:sz w:val="21"/>
              </w:rPr>
              <w:t>0.79%</w:t>
            </w:r>
          </w:p>
        </w:tc>
        <w:tc>
          <w:tcPr>
            <w:vAlign w:val="center"/>
          </w:tcPr>
          <w:p>
            <w:pPr>
              <w:jc w:val="center"/>
            </w:pPr>
            <w:r>
              <w:rPr>
                <w:rFonts w:asciiTheme="minorEastAsia" w:eastAsiaTheme="minorEastAsia" w:hAnsiTheme="minorEastAsia"/>
                <w:color w:themeColor="text1" w:val="000000"/>
                <w:kern w:val="0"/>
                <w:sz w:val="21"/>
              </w:rPr>
              <w:t>11.71%</w:t>
            </w:r>
          </w:p>
        </w:tc>
        <w:tc>
          <w:tcPr>
            <w:vAlign w:val="center"/>
          </w:tcPr>
          <w:p>
            <w:pPr>
              <w:jc w:val="center"/>
            </w:pPr>
            <w:r>
              <w:rPr>
                <w:rFonts w:asciiTheme="minorEastAsia" w:eastAsiaTheme="minorEastAsia" w:hAnsiTheme="minorEastAsia"/>
                <w:color w:themeColor="text1" w:val="000000"/>
                <w:kern w:val="0"/>
                <w:sz w:val="21"/>
              </w:rPr>
              <w:t>0.21%</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上投摩根动力精选混合型证券投资基金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2019年1月29日</w:t>
      </w:r>
      <w:r>
        <w:rPr>
          <w:rFonts w:asciiTheme="minorEastAsia" w:eastAsiaTheme="minorEastAsia" w:hAnsiTheme="minorEastAsia" w:hint="eastAsia"/>
          <w:color w:themeColor="text1" w:val="000000"/>
        </w:rPr>
        <w:t>至2019年9月30日)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注：本基金合同生效日为2019年1月29日，截至报告期末本基金合同生效未满一年。</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本基金建仓期自2019年1月29日至2019年7月26日，建仓期结束时资产配置比例符合本基金基金合同规定。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张富盛</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2019-01-29</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9年</w:t>
            </w:r>
          </w:p>
        </w:tc>
        <w:tc>
          <w:tcPr>
            <w:vAlign w:val="center"/>
          </w:tcPr>
          <w:p>
            <w:pPr>
              <w:jc w:val="both"/>
            </w:pPr>
            <w:r>
              <w:rPr>
                <w:rFonts w:asciiTheme="minorEastAsia" w:eastAsiaTheme="minorEastAsia" w:hAnsiTheme="minorEastAsia"/>
                <w:color w:themeColor="text1" w:val="000000"/>
              </w:rPr>
              <w:t>张富盛先生，上海交通大学金融学学士，自2007年8月至2010年3月，在德勤华永会计师事务所担任高级税务咨询；自2010年3月至2011年2月，在中国国际金融有限公司担任分析师；自2011年2月至2015年8月在北京高华证券有限责任公司担任投资研究部经理；自2015年8月起加入上投摩根基金管理有限公司，历任行业专家、基金经理助理、基金经理。自2018年3月起担任上投摩根转型动力灵活配置混合型证券投资基金基金经理，自2019年1月起同时担任上投摩根动力精选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 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2. 张富盛先生为本基金首任基金经理，其任职日期为本基金基金合同生效之日；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3. 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动力精选混合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三季度市场的结构性特点表现明显，上证指数下跌2.5%，创业板指数上涨7.7%，其中中信电子元器件指数涨幅达到18.6%。本基金在运作中继续挖掘优质龙头公司的长期投资机会，同时根据产业发展趋势提高了科技股配置，总体取得不错的效果。</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四季度，我们将继续重点挖掘业绩能持续增长和受益产业发展趋势的个股；此外关注估值切换带来的机会，寻找估值相对合理的优质公司进行长期投资。具体看，医药中的CRO，医药消费以及医疗器械子板块，仍有望保持较高的业绩增速；产业发展趋势上，我们认为科技制造将是推动中国经济继续增长的核心动力，5G、消费电子等板块中的龙头公司2020年预期PEG仍较低；另外金融地产的PE估值具有相对优势，具备配置价值。总体来说，我们仍更注重公司的长期成长性，继续挖掘优质个股，力争为基金持有人创造持续稳定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本报告期上投摩根动力精选混合份额净值增长率为:11.62%，同期业绩比较基准收益率为:-0.09%。</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报告期内，本基金存在连续二十个工作日基金资产净值低于五千万元的情况，出现该情况的时间范围为2019年08月28日至2019年09月30日。</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基金管理人拟调整本基金运作方式，加大营销力度，提升基金规模，方案已报监管机关。</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15,007,567.50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77.82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15,007,567.50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77.82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4,207,408.17</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21.82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70,709.40</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0.37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19,285,685.07</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11,595,339.42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61.61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1,860,663.80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9.89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234,625.92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1,316,938.36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7.00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15,007,567.50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79.75</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003816</w:t>
            </w:r>
          </w:p>
        </w:tc>
        <w:tc>
          <w:tcPr>
            <w:vAlign w:val="center"/>
          </w:tcPr>
          <w:p>
            <w:pPr>
              <w:jc w:val="center"/>
            </w:pPr>
            <w:r>
              <w:rPr>
                <w:rFonts w:asciiTheme="minorEastAsia" w:cs="宋体" w:eastAsiaTheme="minorEastAsia" w:hAnsiTheme="minorEastAsia"/>
                <w:color w:themeColor="text1" w:val="000000"/>
                <w:kern w:val="0"/>
                <w:sz w:val="21"/>
              </w:rPr>
              <w:t>中国广核</w:t>
            </w:r>
          </w:p>
        </w:tc>
        <w:tc>
          <w:tcPr>
            <w:vAlign w:val="center"/>
          </w:tcPr>
          <w:p>
            <w:pPr>
              <w:jc w:val="right"/>
            </w:pPr>
            <w:r>
              <w:rPr>
                <w:rFonts w:asciiTheme="minorEastAsia" w:cs="宋体" w:eastAsiaTheme="minorEastAsia" w:hAnsiTheme="minorEastAsia"/>
                <w:color w:themeColor="text1" w:val="000000"/>
                <w:kern w:val="0"/>
                <w:sz w:val="21"/>
              </w:rPr>
              <w:t>489,637.00</w:t>
            </w:r>
          </w:p>
        </w:tc>
        <w:tc>
          <w:tcPr>
            <w:vAlign w:val="center"/>
          </w:tcPr>
          <w:p>
            <w:pPr>
              <w:jc w:val="right"/>
            </w:pPr>
            <w:r>
              <w:rPr>
                <w:rFonts w:asciiTheme="minorEastAsia" w:cs="宋体" w:eastAsiaTheme="minorEastAsia" w:hAnsiTheme="minorEastAsia"/>
                <w:color w:themeColor="text1" w:val="000000"/>
                <w:kern w:val="0"/>
                <w:sz w:val="21"/>
              </w:rPr>
              <w:t>1,860,663.80</w:t>
            </w:r>
          </w:p>
        </w:tc>
        <w:tc>
          <w:tcPr>
            <w:vAlign w:val="center"/>
          </w:tcPr>
          <w:p>
            <w:pPr>
              <w:jc w:val="right"/>
            </w:pPr>
            <w:r>
              <w:rPr>
                <w:rFonts w:asciiTheme="minorEastAsia" w:cs="宋体" w:eastAsiaTheme="minorEastAsia" w:hAnsiTheme="minorEastAsia"/>
                <w:color w:themeColor="text1" w:val="000000"/>
                <w:kern w:val="0"/>
                <w:sz w:val="21"/>
              </w:rPr>
              <w:t>9.89</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300482</w:t>
            </w:r>
          </w:p>
        </w:tc>
        <w:tc>
          <w:tcPr>
            <w:vAlign w:val="center"/>
          </w:tcPr>
          <w:p>
            <w:pPr>
              <w:jc w:val="center"/>
            </w:pPr>
            <w:r>
              <w:rPr>
                <w:rFonts w:asciiTheme="minorEastAsia" w:cs="宋体" w:eastAsiaTheme="minorEastAsia" w:hAnsiTheme="minorEastAsia"/>
                <w:color w:themeColor="text1" w:val="000000"/>
                <w:kern w:val="0"/>
                <w:sz w:val="21"/>
              </w:rPr>
              <w:t>万孚生物</w:t>
            </w:r>
          </w:p>
        </w:tc>
        <w:tc>
          <w:tcPr>
            <w:vAlign w:val="center"/>
          </w:tcPr>
          <w:p>
            <w:pPr>
              <w:jc w:val="right"/>
            </w:pPr>
            <w:r>
              <w:rPr>
                <w:rFonts w:asciiTheme="minorEastAsia" w:cs="宋体" w:eastAsiaTheme="minorEastAsia" w:hAnsiTheme="minorEastAsia"/>
                <w:color w:themeColor="text1" w:val="000000"/>
                <w:kern w:val="0"/>
                <w:sz w:val="21"/>
              </w:rPr>
              <w:t>22,893.00</w:t>
            </w:r>
          </w:p>
        </w:tc>
        <w:tc>
          <w:tcPr>
            <w:vAlign w:val="center"/>
          </w:tcPr>
          <w:p>
            <w:pPr>
              <w:jc w:val="right"/>
            </w:pPr>
            <w:r>
              <w:rPr>
                <w:rFonts w:asciiTheme="minorEastAsia" w:cs="宋体" w:eastAsiaTheme="minorEastAsia" w:hAnsiTheme="minorEastAsia"/>
                <w:color w:themeColor="text1" w:val="000000"/>
                <w:kern w:val="0"/>
                <w:sz w:val="21"/>
              </w:rPr>
              <w:t>1,117,178.40</w:t>
            </w:r>
          </w:p>
        </w:tc>
        <w:tc>
          <w:tcPr>
            <w:vAlign w:val="center"/>
          </w:tcPr>
          <w:p>
            <w:pPr>
              <w:jc w:val="right"/>
            </w:pPr>
            <w:r>
              <w:rPr>
                <w:rFonts w:asciiTheme="minorEastAsia" w:cs="宋体" w:eastAsiaTheme="minorEastAsia" w:hAnsiTheme="minorEastAsia"/>
                <w:color w:themeColor="text1" w:val="000000"/>
                <w:kern w:val="0"/>
                <w:sz w:val="21"/>
              </w:rPr>
              <w:t>5.94</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41,724.00</w:t>
            </w:r>
          </w:p>
        </w:tc>
        <w:tc>
          <w:tcPr>
            <w:vAlign w:val="center"/>
          </w:tcPr>
          <w:p>
            <w:pPr>
              <w:jc w:val="right"/>
            </w:pPr>
            <w:r>
              <w:rPr>
                <w:rFonts w:asciiTheme="minorEastAsia" w:cs="宋体" w:eastAsiaTheme="minorEastAsia" w:hAnsiTheme="minorEastAsia"/>
                <w:color w:themeColor="text1" w:val="000000"/>
                <w:kern w:val="0"/>
                <w:sz w:val="21"/>
              </w:rPr>
              <w:t>1,094,420.52</w:t>
            </w:r>
          </w:p>
        </w:tc>
        <w:tc>
          <w:tcPr>
            <w:vAlign w:val="center"/>
          </w:tcPr>
          <w:p>
            <w:pPr>
              <w:jc w:val="right"/>
            </w:pPr>
            <w:r>
              <w:rPr>
                <w:rFonts w:asciiTheme="minorEastAsia" w:cs="宋体" w:eastAsiaTheme="minorEastAsia" w:hAnsiTheme="minorEastAsia"/>
                <w:color w:themeColor="text1" w:val="000000"/>
                <w:kern w:val="0"/>
                <w:sz w:val="21"/>
              </w:rPr>
              <w:t>5.82</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600519</w:t>
            </w:r>
          </w:p>
        </w:tc>
        <w:tc>
          <w:tcPr>
            <w:vAlign w:val="center"/>
          </w:tcPr>
          <w:p>
            <w:pPr>
              <w:jc w:val="center"/>
            </w:pPr>
            <w:r>
              <w:rPr>
                <w:rFonts w:asciiTheme="minorEastAsia" w:cs="宋体" w:eastAsiaTheme="minorEastAsia" w:hAnsiTheme="minorEastAsia"/>
                <w:color w:themeColor="text1" w:val="000000"/>
                <w:kern w:val="0"/>
                <w:sz w:val="21"/>
              </w:rPr>
              <w:t>贵州茅台</w:t>
            </w:r>
          </w:p>
        </w:tc>
        <w:tc>
          <w:tcPr>
            <w:vAlign w:val="center"/>
          </w:tcPr>
          <w:p>
            <w:pPr>
              <w:jc w:val="right"/>
            </w:pPr>
            <w:r>
              <w:rPr>
                <w:rFonts w:asciiTheme="minorEastAsia" w:cs="宋体" w:eastAsiaTheme="minorEastAsia" w:hAnsiTheme="minorEastAsia"/>
                <w:color w:themeColor="text1" w:val="000000"/>
                <w:kern w:val="0"/>
                <w:sz w:val="21"/>
              </w:rPr>
              <w:t>951.00</w:t>
            </w:r>
          </w:p>
        </w:tc>
        <w:tc>
          <w:tcPr>
            <w:vAlign w:val="center"/>
          </w:tcPr>
          <w:p>
            <w:pPr>
              <w:jc w:val="right"/>
            </w:pPr>
            <w:r>
              <w:rPr>
                <w:rFonts w:asciiTheme="minorEastAsia" w:cs="宋体" w:eastAsiaTheme="minorEastAsia" w:hAnsiTheme="minorEastAsia"/>
                <w:color w:themeColor="text1" w:val="000000"/>
                <w:kern w:val="0"/>
                <w:sz w:val="21"/>
              </w:rPr>
              <w:t>1,093,650.00</w:t>
            </w:r>
          </w:p>
        </w:tc>
        <w:tc>
          <w:tcPr>
            <w:vAlign w:val="center"/>
          </w:tcPr>
          <w:p>
            <w:pPr>
              <w:jc w:val="right"/>
            </w:pPr>
            <w:r>
              <w:rPr>
                <w:rFonts w:asciiTheme="minorEastAsia" w:cs="宋体" w:eastAsiaTheme="minorEastAsia" w:hAnsiTheme="minorEastAsia"/>
                <w:color w:themeColor="text1" w:val="000000"/>
                <w:kern w:val="0"/>
                <w:sz w:val="21"/>
              </w:rPr>
              <w:t>5.81</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002821</w:t>
            </w:r>
          </w:p>
        </w:tc>
        <w:tc>
          <w:tcPr>
            <w:vAlign w:val="center"/>
          </w:tcPr>
          <w:p>
            <w:pPr>
              <w:jc w:val="center"/>
            </w:pPr>
            <w:r>
              <w:rPr>
                <w:rFonts w:asciiTheme="minorEastAsia" w:cs="宋体" w:eastAsiaTheme="minorEastAsia" w:hAnsiTheme="minorEastAsia"/>
                <w:color w:themeColor="text1" w:val="000000"/>
                <w:kern w:val="0"/>
                <w:sz w:val="21"/>
              </w:rPr>
              <w:t>凯莱英</w:t>
            </w:r>
          </w:p>
        </w:tc>
        <w:tc>
          <w:tcPr>
            <w:vAlign w:val="center"/>
          </w:tcPr>
          <w:p>
            <w:pPr>
              <w:jc w:val="right"/>
            </w:pPr>
            <w:r>
              <w:rPr>
                <w:rFonts w:asciiTheme="minorEastAsia" w:cs="宋体" w:eastAsiaTheme="minorEastAsia" w:hAnsiTheme="minorEastAsia"/>
                <w:color w:themeColor="text1" w:val="000000"/>
                <w:kern w:val="0"/>
                <w:sz w:val="21"/>
              </w:rPr>
              <w:t>9,255.00</w:t>
            </w:r>
          </w:p>
        </w:tc>
        <w:tc>
          <w:tcPr>
            <w:vAlign w:val="center"/>
          </w:tcPr>
          <w:p>
            <w:pPr>
              <w:jc w:val="right"/>
            </w:pPr>
            <w:r>
              <w:rPr>
                <w:rFonts w:asciiTheme="minorEastAsia" w:cs="宋体" w:eastAsiaTheme="minorEastAsia" w:hAnsiTheme="minorEastAsia"/>
                <w:color w:themeColor="text1" w:val="000000"/>
                <w:kern w:val="0"/>
                <w:sz w:val="21"/>
              </w:rPr>
              <w:t>1,090,701.75</w:t>
            </w:r>
          </w:p>
        </w:tc>
        <w:tc>
          <w:tcPr>
            <w:vAlign w:val="center"/>
          </w:tcPr>
          <w:p>
            <w:pPr>
              <w:jc w:val="right"/>
            </w:pPr>
            <w:r>
              <w:rPr>
                <w:rFonts w:asciiTheme="minorEastAsia" w:cs="宋体" w:eastAsiaTheme="minorEastAsia" w:hAnsiTheme="minorEastAsia"/>
                <w:color w:themeColor="text1" w:val="000000"/>
                <w:kern w:val="0"/>
                <w:sz w:val="21"/>
              </w:rPr>
              <w:t>5.80</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601318</w:t>
            </w:r>
          </w:p>
        </w:tc>
        <w:tc>
          <w:tcPr>
            <w:vAlign w:val="center"/>
          </w:tcPr>
          <w:p>
            <w:pPr>
              <w:jc w:val="center"/>
            </w:pPr>
            <w:r>
              <w:rPr>
                <w:rFonts w:asciiTheme="minorEastAsia" w:cs="宋体" w:eastAsiaTheme="minorEastAsia" w:hAnsiTheme="minorEastAsia"/>
                <w:color w:themeColor="text1" w:val="000000"/>
                <w:kern w:val="0"/>
                <w:sz w:val="21"/>
              </w:rPr>
              <w:t>中国平安</w:t>
            </w:r>
          </w:p>
        </w:tc>
        <w:tc>
          <w:tcPr>
            <w:vAlign w:val="center"/>
          </w:tcPr>
          <w:p>
            <w:pPr>
              <w:jc w:val="right"/>
            </w:pPr>
            <w:r>
              <w:rPr>
                <w:rFonts w:asciiTheme="minorEastAsia" w:cs="宋体" w:eastAsiaTheme="minorEastAsia" w:hAnsiTheme="minorEastAsia"/>
                <w:color w:themeColor="text1" w:val="000000"/>
                <w:kern w:val="0"/>
                <w:sz w:val="21"/>
              </w:rPr>
              <w:t>10,404.00</w:t>
            </w:r>
          </w:p>
        </w:tc>
        <w:tc>
          <w:tcPr>
            <w:vAlign w:val="center"/>
          </w:tcPr>
          <w:p>
            <w:pPr>
              <w:jc w:val="right"/>
            </w:pPr>
            <w:r>
              <w:rPr>
                <w:rFonts w:asciiTheme="minorEastAsia" w:cs="宋体" w:eastAsiaTheme="minorEastAsia" w:hAnsiTheme="minorEastAsia"/>
                <w:color w:themeColor="text1" w:val="000000"/>
                <w:kern w:val="0"/>
                <w:sz w:val="21"/>
              </w:rPr>
              <w:t>905,564.16</w:t>
            </w:r>
          </w:p>
        </w:tc>
        <w:tc>
          <w:tcPr>
            <w:vAlign w:val="center"/>
          </w:tcPr>
          <w:p>
            <w:pPr>
              <w:jc w:val="right"/>
            </w:pPr>
            <w:r>
              <w:rPr>
                <w:rFonts w:asciiTheme="minorEastAsia" w:cs="宋体" w:eastAsiaTheme="minorEastAsia" w:hAnsiTheme="minorEastAsia"/>
                <w:color w:themeColor="text1" w:val="000000"/>
                <w:kern w:val="0"/>
                <w:sz w:val="21"/>
              </w:rPr>
              <w:t>4.81</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002475</w:t>
            </w:r>
          </w:p>
        </w:tc>
        <w:tc>
          <w:tcPr>
            <w:vAlign w:val="center"/>
          </w:tcPr>
          <w:p>
            <w:pPr>
              <w:jc w:val="center"/>
            </w:pPr>
            <w:r>
              <w:rPr>
                <w:rFonts w:asciiTheme="minorEastAsia" w:cs="宋体" w:eastAsiaTheme="minorEastAsia" w:hAnsiTheme="minorEastAsia"/>
                <w:color w:themeColor="text1" w:val="000000"/>
                <w:kern w:val="0"/>
                <w:sz w:val="21"/>
              </w:rPr>
              <w:t>立讯精密</w:t>
            </w:r>
          </w:p>
        </w:tc>
        <w:tc>
          <w:tcPr>
            <w:vAlign w:val="center"/>
          </w:tcPr>
          <w:p>
            <w:pPr>
              <w:jc w:val="right"/>
            </w:pPr>
            <w:r>
              <w:rPr>
                <w:rFonts w:asciiTheme="minorEastAsia" w:cs="宋体" w:eastAsiaTheme="minorEastAsia" w:hAnsiTheme="minorEastAsia"/>
                <w:color w:themeColor="text1" w:val="000000"/>
                <w:kern w:val="0"/>
                <w:sz w:val="21"/>
              </w:rPr>
              <w:t>29,973.00</w:t>
            </w:r>
          </w:p>
        </w:tc>
        <w:tc>
          <w:tcPr>
            <w:vAlign w:val="center"/>
          </w:tcPr>
          <w:p>
            <w:pPr>
              <w:jc w:val="right"/>
            </w:pPr>
            <w:r>
              <w:rPr>
                <w:rFonts w:asciiTheme="minorEastAsia" w:cs="宋体" w:eastAsiaTheme="minorEastAsia" w:hAnsiTheme="minorEastAsia"/>
                <w:color w:themeColor="text1" w:val="000000"/>
                <w:kern w:val="0"/>
                <w:sz w:val="21"/>
              </w:rPr>
              <w:t>802,077.48</w:t>
            </w:r>
          </w:p>
        </w:tc>
        <w:tc>
          <w:tcPr>
            <w:vAlign w:val="center"/>
          </w:tcPr>
          <w:p>
            <w:pPr>
              <w:jc w:val="right"/>
            </w:pPr>
            <w:r>
              <w:rPr>
                <w:rFonts w:asciiTheme="minorEastAsia" w:cs="宋体" w:eastAsiaTheme="minorEastAsia" w:hAnsiTheme="minorEastAsia"/>
                <w:color w:themeColor="text1" w:val="000000"/>
                <w:kern w:val="0"/>
                <w:sz w:val="21"/>
              </w:rPr>
              <w:t>4.26</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600438</w:t>
            </w:r>
          </w:p>
        </w:tc>
        <w:tc>
          <w:tcPr>
            <w:vAlign w:val="center"/>
          </w:tcPr>
          <w:p>
            <w:pPr>
              <w:jc w:val="center"/>
            </w:pPr>
            <w:r>
              <w:rPr>
                <w:rFonts w:asciiTheme="minorEastAsia" w:cs="宋体" w:eastAsiaTheme="minorEastAsia" w:hAnsiTheme="minorEastAsia"/>
                <w:color w:themeColor="text1" w:val="000000"/>
                <w:kern w:val="0"/>
                <w:sz w:val="21"/>
              </w:rPr>
              <w:t>通威股份</w:t>
            </w:r>
          </w:p>
        </w:tc>
        <w:tc>
          <w:tcPr>
            <w:vAlign w:val="center"/>
          </w:tcPr>
          <w:p>
            <w:pPr>
              <w:jc w:val="right"/>
            </w:pPr>
            <w:r>
              <w:rPr>
                <w:rFonts w:asciiTheme="minorEastAsia" w:cs="宋体" w:eastAsiaTheme="minorEastAsia" w:hAnsiTheme="minorEastAsia"/>
                <w:color w:themeColor="text1" w:val="000000"/>
                <w:kern w:val="0"/>
                <w:sz w:val="21"/>
              </w:rPr>
              <w:t>62,412.00</w:t>
            </w:r>
          </w:p>
        </w:tc>
        <w:tc>
          <w:tcPr>
            <w:vAlign w:val="center"/>
          </w:tcPr>
          <w:p>
            <w:pPr>
              <w:jc w:val="right"/>
            </w:pPr>
            <w:r>
              <w:rPr>
                <w:rFonts w:asciiTheme="minorEastAsia" w:cs="宋体" w:eastAsiaTheme="minorEastAsia" w:hAnsiTheme="minorEastAsia"/>
                <w:color w:themeColor="text1" w:val="000000"/>
                <w:kern w:val="0"/>
                <w:sz w:val="21"/>
              </w:rPr>
              <w:t>795,128.88</w:t>
            </w:r>
          </w:p>
        </w:tc>
        <w:tc>
          <w:tcPr>
            <w:vAlign w:val="center"/>
          </w:tcPr>
          <w:p>
            <w:pPr>
              <w:jc w:val="right"/>
            </w:pPr>
            <w:r>
              <w:rPr>
                <w:rFonts w:asciiTheme="minorEastAsia" w:cs="宋体" w:eastAsiaTheme="minorEastAsia" w:hAnsiTheme="minorEastAsia"/>
                <w:color w:themeColor="text1" w:val="000000"/>
                <w:kern w:val="0"/>
                <w:sz w:val="21"/>
              </w:rPr>
              <w:t>4.23</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600309</w:t>
            </w:r>
          </w:p>
        </w:tc>
        <w:tc>
          <w:tcPr>
            <w:vAlign w:val="center"/>
          </w:tcPr>
          <w:p>
            <w:pPr>
              <w:jc w:val="center"/>
            </w:pPr>
            <w:r>
              <w:rPr>
                <w:rFonts w:asciiTheme="minorEastAsia" w:cs="宋体" w:eastAsiaTheme="minorEastAsia" w:hAnsiTheme="minorEastAsia"/>
                <w:color w:themeColor="text1" w:val="000000"/>
                <w:kern w:val="0"/>
                <w:sz w:val="21"/>
              </w:rPr>
              <w:t>万华化学</w:t>
            </w:r>
          </w:p>
        </w:tc>
        <w:tc>
          <w:tcPr>
            <w:vAlign w:val="center"/>
          </w:tcPr>
          <w:p>
            <w:pPr>
              <w:jc w:val="right"/>
            </w:pPr>
            <w:r>
              <w:rPr>
                <w:rFonts w:asciiTheme="minorEastAsia" w:cs="宋体" w:eastAsiaTheme="minorEastAsia" w:hAnsiTheme="minorEastAsia"/>
                <w:color w:themeColor="text1" w:val="000000"/>
                <w:kern w:val="0"/>
                <w:sz w:val="21"/>
              </w:rPr>
              <w:t>17,351.00</w:t>
            </w:r>
          </w:p>
        </w:tc>
        <w:tc>
          <w:tcPr>
            <w:vAlign w:val="center"/>
          </w:tcPr>
          <w:p>
            <w:pPr>
              <w:jc w:val="right"/>
            </w:pPr>
            <w:r>
              <w:rPr>
                <w:rFonts w:asciiTheme="minorEastAsia" w:cs="宋体" w:eastAsiaTheme="minorEastAsia" w:hAnsiTheme="minorEastAsia"/>
                <w:color w:themeColor="text1" w:val="000000"/>
                <w:kern w:val="0"/>
                <w:sz w:val="21"/>
              </w:rPr>
              <w:t>766,046.65</w:t>
            </w:r>
          </w:p>
        </w:tc>
        <w:tc>
          <w:tcPr>
            <w:vAlign w:val="center"/>
          </w:tcPr>
          <w:p>
            <w:pPr>
              <w:jc w:val="right"/>
            </w:pPr>
            <w:r>
              <w:rPr>
                <w:rFonts w:asciiTheme="minorEastAsia" w:cs="宋体" w:eastAsiaTheme="minorEastAsia" w:hAnsiTheme="minorEastAsia"/>
                <w:color w:themeColor="text1" w:val="000000"/>
                <w:kern w:val="0"/>
                <w:sz w:val="21"/>
              </w:rPr>
              <w:t>4.07</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300601</w:t>
            </w:r>
          </w:p>
        </w:tc>
        <w:tc>
          <w:tcPr>
            <w:vAlign w:val="center"/>
          </w:tcPr>
          <w:p>
            <w:pPr>
              <w:jc w:val="center"/>
            </w:pPr>
            <w:r>
              <w:rPr>
                <w:rFonts w:asciiTheme="minorEastAsia" w:cs="宋体" w:eastAsiaTheme="minorEastAsia" w:hAnsiTheme="minorEastAsia"/>
                <w:color w:themeColor="text1" w:val="000000"/>
                <w:kern w:val="0"/>
                <w:sz w:val="21"/>
              </w:rPr>
              <w:t>康泰生物</w:t>
            </w:r>
          </w:p>
        </w:tc>
        <w:tc>
          <w:tcPr>
            <w:vAlign w:val="center"/>
          </w:tcPr>
          <w:p>
            <w:pPr>
              <w:jc w:val="right"/>
            </w:pPr>
            <w:r>
              <w:rPr>
                <w:rFonts w:asciiTheme="minorEastAsia" w:cs="宋体" w:eastAsiaTheme="minorEastAsia" w:hAnsiTheme="minorEastAsia"/>
                <w:color w:themeColor="text1" w:val="000000"/>
                <w:kern w:val="0"/>
                <w:sz w:val="21"/>
              </w:rPr>
              <w:t>8,615.00</w:t>
            </w:r>
          </w:p>
        </w:tc>
        <w:tc>
          <w:tcPr>
            <w:vAlign w:val="center"/>
          </w:tcPr>
          <w:p>
            <w:pPr>
              <w:jc w:val="right"/>
            </w:pPr>
            <w:r>
              <w:rPr>
                <w:rFonts w:asciiTheme="minorEastAsia" w:cs="宋体" w:eastAsiaTheme="minorEastAsia" w:hAnsiTheme="minorEastAsia"/>
                <w:color w:themeColor="text1" w:val="000000"/>
                <w:kern w:val="0"/>
                <w:sz w:val="21"/>
              </w:rPr>
              <w:t>639,577.60</w:t>
            </w:r>
          </w:p>
        </w:tc>
        <w:tc>
          <w:tcPr>
            <w:vAlign w:val="center"/>
          </w:tcPr>
          <w:p>
            <w:pPr>
              <w:jc w:val="right"/>
            </w:pPr>
            <w:r>
              <w:rPr>
                <w:rFonts w:asciiTheme="minorEastAsia" w:cs="宋体" w:eastAsiaTheme="minorEastAsia" w:hAnsiTheme="minorEastAsia"/>
                <w:color w:themeColor="text1" w:val="000000"/>
                <w:kern w:val="0"/>
                <w:sz w:val="21"/>
              </w:rPr>
              <w:t>3.40</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本基金投资的前十名证券的发行主体本期未出现被监管部门立案调查，或在报告编制日前一年内受到公开谴责、处罚的情形。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62,485.55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681.64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7,542.21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70,709.40</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083"/>
        <w:gridCol w:w="1302"/>
        <w:gridCol w:w="1301"/>
        <w:gridCol w:w="1805"/>
        <w:gridCol w:w="1655"/>
        <w:gridCol w:w="1367"/>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083"/>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30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3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805"/>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流通受限部分的公允价值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55"/>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r>
              <w:rPr>
                <w:rFonts w:asciiTheme="minorEastAsia" w:cs="宋体" w:eastAsiaTheme="minorEastAsia" w:hAnsiTheme="minorEastAsia"/>
                <w:color w:themeColor="text1" w:val="000000"/>
                <w:kern w:val="0"/>
                <w:sz w:val="21"/>
              </w:rPr>
              <w:t>(%)</w:t>
            </w:r>
          </w:p>
        </w:tc>
        <w:tc>
          <w:tcPr>
            <w:tcW w:type="dxa" w:w="136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流通受限情况说明</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003816</w:t>
            </w:r>
          </w:p>
        </w:tc>
        <w:tc>
          <w:tcPr>
            <w:vAlign w:val="center"/>
          </w:tcPr>
          <w:p>
            <w:pPr>
              <w:jc w:val="center"/>
            </w:pPr>
            <w:r>
              <w:rPr>
                <w:rFonts w:asciiTheme="minorEastAsia" w:cs="宋体" w:eastAsiaTheme="minorEastAsia" w:hAnsiTheme="minorEastAsia"/>
                <w:color w:themeColor="text1" w:val="000000"/>
                <w:kern w:val="0"/>
                <w:sz w:val="21"/>
              </w:rPr>
              <w:t>中国广核</w:t>
            </w:r>
          </w:p>
        </w:tc>
        <w:tc>
          <w:tcPr>
            <w:vAlign w:val="center"/>
          </w:tcPr>
          <w:p>
            <w:pPr>
              <w:jc w:val="right"/>
            </w:pPr>
            <w:r>
              <w:rPr>
                <w:rFonts w:asciiTheme="minorEastAsia" w:cs="宋体" w:eastAsiaTheme="minorEastAsia" w:hAnsiTheme="minorEastAsia"/>
                <w:color w:themeColor="text1" w:val="000000"/>
                <w:kern w:val="0"/>
                <w:sz w:val="21"/>
              </w:rPr>
              <w:t>1,860,210.20</w:t>
            </w:r>
          </w:p>
        </w:tc>
        <w:tc>
          <w:tcPr>
            <w:vAlign w:val="center"/>
          </w:tcPr>
          <w:p>
            <w:pPr>
              <w:jc w:val="right"/>
            </w:pPr>
            <w:r>
              <w:rPr>
                <w:rFonts w:asciiTheme="minorEastAsia" w:cs="宋体" w:eastAsiaTheme="minorEastAsia" w:hAnsiTheme="minorEastAsia"/>
                <w:color w:themeColor="text1" w:val="000000"/>
                <w:kern w:val="0"/>
                <w:sz w:val="21"/>
              </w:rPr>
              <w:t>9.88</w:t>
            </w:r>
          </w:p>
        </w:tc>
        <w:tc>
          <w:tcPr>
            <w:vAlign w:val="center"/>
          </w:tcPr>
          <w:p>
            <w:pPr>
              <w:jc w:val="right"/>
            </w:pPr>
            <w:r>
              <w:rPr>
                <w:rFonts w:asciiTheme="minorEastAsia" w:cs="宋体" w:eastAsiaTheme="minorEastAsia" w:hAnsiTheme="minorEastAsia"/>
                <w:color w:themeColor="text1" w:val="000000"/>
                <w:kern w:val="0"/>
                <w:sz w:val="21"/>
              </w:rPr>
              <w:t>筹划重大事项</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60,400,994.58</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2,861,449.72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45,659,424.72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17,603,019.58</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影响投资者决策的其他重要信息</w:t>
      </w:r>
    </w:p>
    <w:p>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Style w:val="30"/>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993"/>
        <w:gridCol w:w="992"/>
        <w:gridCol w:w="1843"/>
        <w:gridCol w:w="851"/>
        <w:gridCol w:w="850"/>
        <w:gridCol w:w="1134"/>
        <w:gridCol w:w="1419"/>
        <w:gridCol w:w="113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93"/>
            <w:vMerge w:val="restart"/>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投资者类别</w:t>
            </w:r>
            <w:r>
              <w:rPr>
                <w:rFonts w:ascii="宋体" w:hAnsi="宋体"/>
                <w:color w:val="000000"/>
                <w:kern w:val="0"/>
              </w:rPr>
              <w:t xml:space="preserve">  </w:t>
            </w:r>
          </w:p>
        </w:tc>
        <w:tc>
          <w:tcPr>
            <w:tcW w:type="dxa" w:w="5670"/>
            <w:gridSpan w:val="5"/>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type="dxa" w:w="2549"/>
            <w:gridSpan w:val="2"/>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93"/>
            <w:vMerge w:val="continue"/>
            <w:vAlign w:val="center"/>
          </w:tcPr>
          <w:p>
            <w:pPr>
              <w:autoSpaceDE w:val="0"/>
              <w:autoSpaceDN w:val="0"/>
              <w:adjustRightInd w:val="0"/>
              <w:jc w:val="center"/>
              <w:rPr>
                <w:rFonts w:ascii="宋体" w:hAnsi="宋体"/>
                <w:b/>
                <w:bCs/>
                <w:color w:val="000000"/>
                <w:kern w:val="0"/>
              </w:rPr>
            </w:pPr>
          </w:p>
        </w:tc>
        <w:tc>
          <w:tcPr>
            <w:tcW w:type="dxa" w:w="992"/>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type="dxa" w:w="1843"/>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type="dxa" w:w="851"/>
            <w:vAlign w:val="center"/>
          </w:tcPr>
          <w:p>
            <w:pPr>
              <w:widowControl/>
              <w:jc w:val="center"/>
              <w:rPr>
                <w:rFonts w:ascii="宋体" w:hAnsi="宋体"/>
                <w:b/>
                <w:bCs/>
                <w:color w:val="000000"/>
                <w:kern w:val="0"/>
              </w:rPr>
            </w:pPr>
            <w:r>
              <w:rPr>
                <w:rFonts w:ascii="宋体" w:hAnsi="宋体" w:hint="eastAsia"/>
                <w:color w:val="000000"/>
                <w:kern w:val="0"/>
              </w:rPr>
              <w:t>期初份额</w:t>
            </w:r>
          </w:p>
        </w:tc>
        <w:tc>
          <w:tcPr>
            <w:tcW w:type="dxa" w:w="850"/>
            <w:vAlign w:val="center"/>
          </w:tcPr>
          <w:p>
            <w:pPr>
              <w:widowControl/>
              <w:jc w:val="center"/>
              <w:rPr>
                <w:rFonts w:ascii="宋体" w:hAnsi="宋体"/>
                <w:b/>
                <w:bCs/>
                <w:color w:val="000000"/>
                <w:kern w:val="0"/>
              </w:rPr>
            </w:pPr>
            <w:r>
              <w:rPr>
                <w:rFonts w:ascii="宋体" w:hAnsi="宋体" w:hint="eastAsia"/>
                <w:color w:val="000000"/>
                <w:kern w:val="0"/>
              </w:rPr>
              <w:t>申购份额</w:t>
            </w:r>
          </w:p>
        </w:tc>
        <w:tc>
          <w:tcPr>
            <w:tcW w:type="dxa" w:w="1134"/>
            <w:vAlign w:val="center"/>
          </w:tcPr>
          <w:p>
            <w:pPr>
              <w:widowControl/>
              <w:jc w:val="center"/>
              <w:rPr>
                <w:rFonts w:ascii="宋体" w:hAnsi="宋体"/>
                <w:b/>
                <w:bCs/>
                <w:color w:val="000000"/>
                <w:kern w:val="0"/>
              </w:rPr>
            </w:pPr>
            <w:r>
              <w:rPr>
                <w:rFonts w:ascii="宋体" w:hAnsi="宋体" w:hint="eastAsia"/>
                <w:color w:val="000000"/>
                <w:kern w:val="0"/>
              </w:rPr>
              <w:t>赎回份额</w:t>
            </w:r>
          </w:p>
        </w:tc>
        <w:tc>
          <w:tcPr>
            <w:tcW w:type="dxa" w:w="1419"/>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type="dxa" w:w="1130"/>
            <w:vAlign w:val="center"/>
          </w:tcPr>
          <w:p>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tc>
          <w:tcPr>
            <w:vMerge w:val="restart"/>
          </w:tcPr>
          <w:p/>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20190828-20190905</w:t>
            </w:r>
          </w:p>
        </w:tc>
        <w:tc>
          <w:tcPr>
            <w:vAlign w:val="center"/>
          </w:tcPr>
          <w:p>
            <w:pPr>
              <w:jc w:val="center"/>
            </w:pPr>
            <w:r>
              <w:rPr>
                <w:rFonts w:ascii="宋体" w:hAnsi="宋体"/>
                <w:kern w:val="0"/>
              </w:rPr>
              <w:t>10,008,900.00</w:t>
            </w:r>
          </w:p>
        </w:tc>
        <w:tc>
          <w:tcPr>
            <w:vAlign w:val="center"/>
          </w:tcPr>
          <w:p>
            <w:pPr>
              <w:jc w:val="center"/>
            </w:pPr>
            <w:r>
              <w:rPr>
                <w:rFonts w:ascii="宋体" w:hAnsi="宋体"/>
                <w:kern w:val="0"/>
              </w:rPr>
              <w:t>0.00</w:t>
            </w:r>
          </w:p>
        </w:tc>
        <w:tc>
          <w:tcPr>
            <w:vAlign w:val="center"/>
          </w:tcPr>
          <w:p>
            <w:pPr>
              <w:jc w:val="center"/>
            </w:pPr>
            <w:r>
              <w:rPr>
                <w:rFonts w:ascii="宋体" w:hAnsi="宋体"/>
                <w:kern w:val="0"/>
              </w:rPr>
              <w:t>10,008,900.00</w:t>
            </w:r>
          </w:p>
        </w:tc>
        <w:tc>
          <w:tcPr>
            <w:vAlign w:val="center"/>
          </w:tcPr>
          <w:p>
            <w:pPr>
              <w:jc w:val="center"/>
            </w:pPr>
            <w:r>
              <w:rPr>
                <w:rFonts w:ascii="宋体" w:hAnsi="宋体"/>
                <w:kern w:val="0"/>
              </w:rPr>
              <w:t>0.00</w:t>
            </w:r>
          </w:p>
        </w:tc>
        <w:tc>
          <w:tcPr>
            <w:vAlign w:val="center"/>
          </w:tcPr>
          <w:p>
            <w:pPr>
              <w:jc w:val="center"/>
            </w:pPr>
            <w:r>
              <w:rPr>
                <w:rFonts w:ascii="宋体" w:hAnsi="宋体"/>
                <w:kern w:val="0"/>
              </w:rPr>
              <w:t>0.00%</w:t>
            </w:r>
          </w:p>
        </w:tc>
      </w:tr>
    </w:tbl>
    <w:tbl>
      <w:tblPr>
        <w:tblStyle w:val="30"/>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9212"/>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212"/>
            <w:vAlign w:val="center"/>
          </w:tcPr>
          <w:p>
            <w:pPr>
              <w:autoSpaceDE w:val="0"/>
              <w:autoSpaceDN w:val="0"/>
              <w:adjustRightInd w:val="0"/>
              <w:jc w:val="center"/>
              <w:rPr>
                <w:rFonts w:ascii="宋体" w:hAnsi="宋体"/>
                <w:kern w:val="0"/>
              </w:rPr>
            </w:pPr>
            <w:r>
              <w:rPr>
                <w:rFonts w:ascii="宋体" w:hAnsi="宋体"/>
                <w:color w:val="000000"/>
                <w:kern w:val="0"/>
              </w:rPr>
              <w:t>产品特有风险</w:t>
            </w:r>
            <w:r>
              <w:rPr>
                <w:rFonts w:ascii="宋体" w:hAnsi="宋体"/>
                <w:kern w:val="0"/>
              </w:rPr>
              <w:t/>
            </w:r>
            <w:r>
              <w:rPr>
                <w:rFonts w:ascii="宋体" w:hAnsi="宋体" w:hint="eastAsia"/>
                <w:kern w:val="0"/>
              </w:rPr>
              <w:t/>
            </w:r>
            <w:r>
              <w:rPr>
                <w:rFonts w:ascii="宋体" w:hAnsi="宋体"/>
                <w:kern w:val="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212"/>
            <w:vAlign w:val="center"/>
          </w:tcPr>
          <w:p>
            <w:pPr>
              <w:autoSpaceDE w:val="0"/>
              <w:autoSpaceDN w:val="0"/>
              <w:adjustRightInd w:val="0"/>
              <w:jc w:val="left"/>
              <w:rPr>
                <w:rFonts w:ascii="宋体" w:hAnsi="宋体"/>
                <w:kern w:val="0"/>
              </w:rPr>
            </w:pPr>
            <w:r>
              <w:rPr>
                <w:rFonts w:ascii="宋体" w:hAnsi="宋体" w:hint="eastAsia"/>
                <w:kern w:val="0"/>
              </w:rPr>
              <w:t/>
            </w:r>
            <w:r>
              <w:rPr>
                <w:rFonts w:ascii="宋体" w:hAnsi="宋体"/>
                <w:kern w:val="0"/>
              </w:rPr>
              <w:t/>
            </w:r>
            <w:r>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rPr>
              <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§9</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1、中国证监会准予上投摩根动力精选混合型证券投资基金注册的文件；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2、《上投摩根动力精选混合型证券投资基金基金合同》；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3、《上投摩根动力精选混合型证券投资基金托管协议》；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4、《上投摩根开放式基金业务规则》；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5、基金管理人业务资格批件、营业执照；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基金管理人或基金托管人住所。</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二〇一九年十月二十五日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上投摩根动力精选混合型证券投资基金2019年第3季度报告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