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A317B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上投摩根动力精选混合型证券投资基金</w:t>
      </w:r>
    </w:p>
    <w:p w:rsidR="00070B3E" w:rsidRDefault="00A317B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070B3E" w:rsidRDefault="00A317B3">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jc w:val="center"/>
        <w:rPr>
          <w:rFonts w:asciiTheme="minorEastAsia" w:eastAsiaTheme="minorEastAsia" w:hAnsiTheme="minorEastAsia"/>
          <w:b/>
          <w:bCs/>
          <w:color w:val="000000" w:themeColor="text1"/>
          <w:sz w:val="24"/>
          <w:szCs w:val="24"/>
        </w:rPr>
      </w:pPr>
    </w:p>
    <w:p w:rsidR="00070B3E" w:rsidRDefault="00070B3E">
      <w:pPr>
        <w:spacing w:line="360" w:lineRule="auto"/>
        <w:rPr>
          <w:rFonts w:asciiTheme="minorEastAsia" w:eastAsiaTheme="minorEastAsia" w:hAnsiTheme="minorEastAsia"/>
          <w:b/>
          <w:bCs/>
          <w:color w:val="000000" w:themeColor="text1"/>
          <w:sz w:val="24"/>
          <w:szCs w:val="24"/>
        </w:rPr>
      </w:pPr>
    </w:p>
    <w:p w:rsidR="00070B3E" w:rsidRDefault="00A317B3">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070B3E" w:rsidRDefault="00A317B3">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070B3E" w:rsidRDefault="00A317B3">
      <w:pPr>
        <w:spacing w:line="360" w:lineRule="auto"/>
        <w:ind w:firstLineChars="900" w:firstLine="2168"/>
        <w:rPr>
          <w:rFonts w:asciiTheme="minorEastAsia" w:eastAsiaTheme="minorEastAsia" w:hAnsiTheme="minorEastAsia"/>
          <w:b/>
          <w:color w:val="000000" w:themeColor="text1"/>
          <w:sz w:val="24"/>
          <w:szCs w:val="24"/>
        </w:rPr>
        <w:sectPr w:rsidR="00070B3E">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070B3E" w:rsidRDefault="00A317B3">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基金托管人中国银行股份有限公司根据本基金合同规定，于2020年1月17日复核了本报告中的财务指标、净值表现和投资组合报告等内容，保证复核内容不存在虚假记载、误导性陈述或者重大遗漏。 </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070B3E" w:rsidRDefault="00A317B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070B3E">
        <w:tc>
          <w:tcPr>
            <w:tcW w:w="2835"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上投摩根动力精选混合</w:t>
            </w:r>
          </w:p>
        </w:tc>
      </w:tr>
      <w:tr w:rsidR="00070B3E">
        <w:tc>
          <w:tcPr>
            <w:tcW w:w="2835" w:type="dxa"/>
            <w:tcBorders>
              <w:top w:val="single" w:sz="4" w:space="0" w:color="auto"/>
              <w:left w:val="single" w:sz="4" w:space="0" w:color="auto"/>
              <w:bottom w:val="single" w:sz="4" w:space="0" w:color="auto"/>
              <w:right w:val="single" w:sz="4" w:space="0" w:color="auto"/>
            </w:tcBorders>
            <w:vAlign w:val="center"/>
          </w:tcPr>
          <w:p w:rsidR="00070B3E" w:rsidRDefault="00A317B3">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070B3E" w:rsidRDefault="00A317B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006250</w:t>
            </w:r>
          </w:p>
        </w:tc>
      </w:tr>
      <w:tr w:rsidR="00070B3E">
        <w:tc>
          <w:tcPr>
            <w:tcW w:w="2835" w:type="dxa"/>
            <w:tcBorders>
              <w:top w:val="single" w:sz="4" w:space="0" w:color="auto"/>
              <w:left w:val="single" w:sz="4" w:space="0" w:color="auto"/>
              <w:bottom w:val="single" w:sz="4" w:space="0" w:color="auto"/>
              <w:right w:val="single" w:sz="4" w:space="0" w:color="auto"/>
            </w:tcBorders>
            <w:vAlign w:val="center"/>
          </w:tcPr>
          <w:p w:rsidR="00070B3E" w:rsidRDefault="00A317B3">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070B3E" w:rsidRDefault="00A317B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006250</w:t>
            </w:r>
          </w:p>
        </w:tc>
      </w:tr>
      <w:tr w:rsidR="00070B3E">
        <w:tc>
          <w:tcPr>
            <w:tcW w:w="2835"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070B3E">
        <w:tc>
          <w:tcPr>
            <w:tcW w:w="2835"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2019年1月29日</w:t>
            </w:r>
          </w:p>
        </w:tc>
      </w:tr>
      <w:tr w:rsidR="00070B3E">
        <w:tc>
          <w:tcPr>
            <w:tcW w:w="2835"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11,152,547.91</w:t>
            </w:r>
            <w:r>
              <w:rPr>
                <w:rFonts w:asciiTheme="minorEastAsia" w:eastAsiaTheme="minorEastAsia" w:hAnsiTheme="minorEastAsia" w:hint="eastAsia"/>
                <w:color w:val="000000" w:themeColor="text1"/>
                <w:kern w:val="0"/>
              </w:rPr>
              <w:t>份</w:t>
            </w:r>
          </w:p>
        </w:tc>
      </w:tr>
      <w:tr w:rsidR="00070B3E">
        <w:tc>
          <w:tcPr>
            <w:tcW w:w="2835"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本基金采用定量及定性研究方法，自下而上精选具有较高增长潜力的公司， 在有效控制风险的前提下，力争实现基金资产的长期增值。</w:t>
            </w:r>
          </w:p>
        </w:tc>
      </w:tr>
      <w:tr w:rsidR="00070B3E">
        <w:tc>
          <w:tcPr>
            <w:tcW w:w="2835"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1、资产配置策略</w:t>
            </w:r>
          </w:p>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本基金将综合分析和持续跟踪基本面、政策面、市场面等多方面因素，对宏观经济、国家政策、资金面和市场情绪等影响证券市场的重要因素进行深入分析，结合股票、债</w:t>
            </w:r>
            <w:r>
              <w:rPr>
                <w:rFonts w:asciiTheme="minorEastAsia" w:eastAsiaTheme="minorEastAsia" w:hAnsiTheme="minorEastAsia"/>
                <w:color w:val="000000" w:themeColor="text1"/>
                <w:kern w:val="0"/>
              </w:rPr>
              <w:lastRenderedPageBreak/>
              <w:t>券等各类资产风险收益特征，确定合适的资产配置比例。</w:t>
            </w:r>
          </w:p>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2、股票投资策略</w:t>
            </w:r>
          </w:p>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充分发挥基金管理人的研究优势，深入分析中国经济持续发展的动力，包括产业结构升级、新兴产业发展、消费升级、一带一路区域联动等因素，挖掘个股的投资价值，自下而上精选具有较高增长潜力的公司构建投资组合，并在实际投资过程中进行调整优化。</w:t>
            </w:r>
          </w:p>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3、债券投资策略</w:t>
            </w:r>
          </w:p>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tc>
      </w:tr>
      <w:tr w:rsidR="00070B3E">
        <w:tc>
          <w:tcPr>
            <w:tcW w:w="2835"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中证800 指数收益率×80%+中债总指数收益率×20%</w:t>
            </w:r>
          </w:p>
        </w:tc>
      </w:tr>
      <w:tr w:rsidR="00070B3E">
        <w:tc>
          <w:tcPr>
            <w:tcW w:w="2835"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本基金属于混合型基金产品，预期风险和收益水平高于债券型基金和货币市场基金，低于股票型基金。</w:t>
            </w:r>
          </w:p>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本基金风险收益特征会定期评估并在公司网站发布，请投资者关注。</w:t>
            </w:r>
          </w:p>
        </w:tc>
      </w:tr>
      <w:tr w:rsidR="00070B3E">
        <w:tc>
          <w:tcPr>
            <w:tcW w:w="2835"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070B3E">
        <w:tc>
          <w:tcPr>
            <w:tcW w:w="2835"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070B3E" w:rsidRDefault="00A317B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070B3E" w:rsidRDefault="00A317B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A317B3" w:rsidTr="00A317B3">
        <w:tc>
          <w:tcPr>
            <w:tcW w:w="3402" w:type="dxa"/>
            <w:vAlign w:val="center"/>
          </w:tcPr>
          <w:p w:rsidR="00070B3E" w:rsidRDefault="00A317B3">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070B3E" w:rsidRDefault="00A317B3">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070B3E" w:rsidRDefault="00A317B3">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A317B3" w:rsidTr="00A317B3">
        <w:tc>
          <w:tcPr>
            <w:tcW w:w="3402"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lastRenderedPageBreak/>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070B3E" w:rsidRDefault="00A317B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1,979,163.35</w:t>
            </w:r>
          </w:p>
        </w:tc>
      </w:tr>
      <w:tr w:rsidR="00A317B3" w:rsidTr="00A317B3">
        <w:tc>
          <w:tcPr>
            <w:tcW w:w="3402"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070B3E" w:rsidRDefault="00A317B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1,809,558.15</w:t>
            </w:r>
          </w:p>
        </w:tc>
      </w:tr>
      <w:tr w:rsidR="00A317B3" w:rsidTr="00A317B3">
        <w:tc>
          <w:tcPr>
            <w:tcW w:w="3402"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070B3E" w:rsidRDefault="00A317B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0.1240</w:t>
            </w:r>
          </w:p>
        </w:tc>
      </w:tr>
      <w:tr w:rsidR="00A317B3" w:rsidTr="00A317B3">
        <w:tc>
          <w:tcPr>
            <w:tcW w:w="3402"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070B3E" w:rsidRDefault="00A317B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13,395,870.28</w:t>
            </w:r>
          </w:p>
        </w:tc>
      </w:tr>
      <w:tr w:rsidR="00A317B3" w:rsidTr="00A317B3">
        <w:trPr>
          <w:trHeight w:val="158"/>
        </w:trPr>
        <w:tc>
          <w:tcPr>
            <w:tcW w:w="3402" w:type="dxa"/>
            <w:vAlign w:val="center"/>
          </w:tcPr>
          <w:p w:rsidR="00070B3E" w:rsidRDefault="00A317B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070B3E" w:rsidRDefault="00A317B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1.2011</w:t>
            </w:r>
          </w:p>
        </w:tc>
      </w:tr>
    </w:tbl>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070B3E" w:rsidRDefault="00A317B3">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070B3E">
        <w:tc>
          <w:tcPr>
            <w:tcW w:w="1395"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070B3E">
        <w:tc>
          <w:tcPr>
            <w:tcW w:w="1395" w:type="dxa"/>
            <w:vAlign w:val="center"/>
          </w:tcPr>
          <w:p w:rsidR="00070B3E" w:rsidRDefault="00A317B3">
            <w:pPr>
              <w:jc w:val="left"/>
            </w:pPr>
            <w:r>
              <w:rPr>
                <w:rFonts w:asciiTheme="minorEastAsia" w:eastAsiaTheme="minorEastAsia" w:hAnsiTheme="minorEastAsia"/>
                <w:color w:val="000000" w:themeColor="text1"/>
                <w:kern w:val="0"/>
              </w:rPr>
              <w:t>过去三个月</w:t>
            </w:r>
          </w:p>
        </w:tc>
        <w:tc>
          <w:tcPr>
            <w:tcW w:w="1092" w:type="dxa"/>
            <w:vAlign w:val="center"/>
          </w:tcPr>
          <w:p w:rsidR="00070B3E" w:rsidRDefault="00A317B3">
            <w:pPr>
              <w:jc w:val="center"/>
            </w:pPr>
            <w:r>
              <w:rPr>
                <w:rFonts w:asciiTheme="minorEastAsia" w:eastAsiaTheme="minorEastAsia" w:hAnsiTheme="minorEastAsia"/>
                <w:color w:val="000000" w:themeColor="text1"/>
                <w:kern w:val="0"/>
              </w:rPr>
              <w:t>12.35%</w:t>
            </w:r>
          </w:p>
        </w:tc>
        <w:tc>
          <w:tcPr>
            <w:tcW w:w="1161" w:type="dxa"/>
            <w:vAlign w:val="center"/>
          </w:tcPr>
          <w:p w:rsidR="00070B3E" w:rsidRDefault="00A317B3">
            <w:pPr>
              <w:jc w:val="center"/>
            </w:pPr>
            <w:r>
              <w:rPr>
                <w:rFonts w:asciiTheme="minorEastAsia" w:eastAsiaTheme="minorEastAsia" w:hAnsiTheme="minorEastAsia"/>
                <w:color w:val="000000" w:themeColor="text1"/>
                <w:kern w:val="0"/>
              </w:rPr>
              <w:t>1.07%</w:t>
            </w:r>
          </w:p>
        </w:tc>
        <w:tc>
          <w:tcPr>
            <w:tcW w:w="1181" w:type="dxa"/>
            <w:vAlign w:val="center"/>
          </w:tcPr>
          <w:p w:rsidR="00070B3E" w:rsidRDefault="00A317B3">
            <w:pPr>
              <w:jc w:val="center"/>
            </w:pPr>
            <w:r>
              <w:rPr>
                <w:rFonts w:asciiTheme="minorEastAsia" w:eastAsiaTheme="minorEastAsia" w:hAnsiTheme="minorEastAsia"/>
                <w:color w:val="000000" w:themeColor="text1"/>
                <w:kern w:val="0"/>
              </w:rPr>
              <w:t>5.94%</w:t>
            </w:r>
          </w:p>
        </w:tc>
        <w:tc>
          <w:tcPr>
            <w:tcW w:w="1188" w:type="dxa"/>
            <w:vAlign w:val="center"/>
          </w:tcPr>
          <w:p w:rsidR="00070B3E" w:rsidRDefault="00A317B3">
            <w:pPr>
              <w:jc w:val="center"/>
            </w:pPr>
            <w:r>
              <w:rPr>
                <w:rFonts w:asciiTheme="minorEastAsia" w:eastAsiaTheme="minorEastAsia" w:hAnsiTheme="minorEastAsia"/>
                <w:color w:val="000000" w:themeColor="text1"/>
                <w:kern w:val="0"/>
              </w:rPr>
              <w:t>0.60%</w:t>
            </w:r>
          </w:p>
        </w:tc>
        <w:tc>
          <w:tcPr>
            <w:tcW w:w="1199" w:type="dxa"/>
            <w:vAlign w:val="center"/>
          </w:tcPr>
          <w:p w:rsidR="00070B3E" w:rsidRDefault="00A317B3">
            <w:pPr>
              <w:jc w:val="center"/>
            </w:pPr>
            <w:r>
              <w:rPr>
                <w:rFonts w:asciiTheme="minorEastAsia" w:eastAsiaTheme="minorEastAsia" w:hAnsiTheme="minorEastAsia"/>
                <w:color w:val="000000" w:themeColor="text1"/>
                <w:kern w:val="0"/>
              </w:rPr>
              <w:t>6.41%</w:t>
            </w:r>
          </w:p>
        </w:tc>
        <w:tc>
          <w:tcPr>
            <w:tcW w:w="1204" w:type="dxa"/>
            <w:vAlign w:val="center"/>
          </w:tcPr>
          <w:p w:rsidR="00070B3E" w:rsidRDefault="00A317B3">
            <w:pPr>
              <w:jc w:val="center"/>
            </w:pPr>
            <w:r>
              <w:rPr>
                <w:rFonts w:asciiTheme="minorEastAsia" w:eastAsiaTheme="minorEastAsia" w:hAnsiTheme="minorEastAsia"/>
                <w:color w:val="000000" w:themeColor="text1"/>
                <w:kern w:val="0"/>
              </w:rPr>
              <w:t>0.47%</w:t>
            </w:r>
          </w:p>
        </w:tc>
      </w:tr>
    </w:tbl>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070B3E" w:rsidRDefault="00A317B3">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上投摩根动力精选混合型证券投资基金</w:t>
      </w:r>
    </w:p>
    <w:p w:rsidR="00070B3E" w:rsidRDefault="00A317B3">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070B3E" w:rsidRDefault="00A317B3">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2019年1月29日</w:t>
      </w:r>
      <w:r>
        <w:rPr>
          <w:rFonts w:asciiTheme="minorEastAsia" w:eastAsiaTheme="minorEastAsia" w:hAnsiTheme="minorEastAsia" w:hint="eastAsia"/>
          <w:color w:val="000000" w:themeColor="text1"/>
        </w:rPr>
        <w:t>至2019年12月31日)</w:t>
      </w:r>
    </w:p>
    <w:p w:rsidR="00070B3E" w:rsidRDefault="00A317B3">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lastRenderedPageBreak/>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注：本基金合同生效日为2019年1月29日，截至报告期末本基金合同生效未满一年。</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本基金建仓期自2019年1月29日至2019年7月26日，建仓期结束时资产配置比例符合本基金基金合同规定。</w:t>
      </w:r>
    </w:p>
    <w:p w:rsidR="00070B3E" w:rsidRDefault="00070B3E">
      <w:pPr>
        <w:tabs>
          <w:tab w:val="left" w:pos="1800"/>
        </w:tabs>
        <w:spacing w:line="360" w:lineRule="auto"/>
        <w:rPr>
          <w:rFonts w:asciiTheme="minorEastAsia" w:eastAsiaTheme="minorEastAsia" w:hAnsiTheme="minorEastAsia"/>
          <w:color w:val="000000" w:themeColor="text1"/>
          <w:sz w:val="24"/>
          <w:szCs w:val="24"/>
        </w:rPr>
      </w:pPr>
    </w:p>
    <w:p w:rsidR="00070B3E" w:rsidRDefault="00A317B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070B3E">
        <w:trPr>
          <w:cantSplit/>
          <w:trHeight w:val="292"/>
        </w:trPr>
        <w:tc>
          <w:tcPr>
            <w:tcW w:w="851" w:type="dxa"/>
            <w:vMerge w:val="restart"/>
            <w:vAlign w:val="center"/>
          </w:tcPr>
          <w:p w:rsidR="00070B3E" w:rsidRDefault="00A317B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070B3E" w:rsidRDefault="00A317B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070B3E" w:rsidRDefault="00A317B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070B3E">
        <w:trPr>
          <w:cantSplit/>
        </w:trPr>
        <w:tc>
          <w:tcPr>
            <w:tcW w:w="851" w:type="dxa"/>
            <w:vMerge/>
            <w:vAlign w:val="center"/>
          </w:tcPr>
          <w:p w:rsidR="00070B3E" w:rsidRDefault="00070B3E">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070B3E" w:rsidRDefault="00070B3E">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070B3E" w:rsidRDefault="00070B3E">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070B3E" w:rsidRDefault="00070B3E">
            <w:pPr>
              <w:widowControl/>
              <w:spacing w:line="360" w:lineRule="auto"/>
              <w:jc w:val="left"/>
              <w:rPr>
                <w:rFonts w:asciiTheme="minorEastAsia" w:eastAsiaTheme="minorEastAsia" w:hAnsiTheme="minorEastAsia"/>
                <w:color w:val="000000" w:themeColor="text1"/>
                <w:kern w:val="0"/>
              </w:rPr>
            </w:pPr>
          </w:p>
        </w:tc>
      </w:tr>
      <w:tr w:rsidR="00070B3E">
        <w:tc>
          <w:tcPr>
            <w:tcW w:w="851" w:type="dxa"/>
            <w:vAlign w:val="center"/>
          </w:tcPr>
          <w:p w:rsidR="00070B3E" w:rsidRDefault="00A317B3">
            <w:pPr>
              <w:jc w:val="center"/>
            </w:pPr>
            <w:r>
              <w:rPr>
                <w:rFonts w:asciiTheme="minorEastAsia" w:eastAsiaTheme="minorEastAsia" w:hAnsiTheme="minorEastAsia"/>
                <w:color w:val="000000" w:themeColor="text1"/>
              </w:rPr>
              <w:t>张富盛</w:t>
            </w:r>
          </w:p>
        </w:tc>
        <w:tc>
          <w:tcPr>
            <w:tcW w:w="850" w:type="dxa"/>
            <w:vAlign w:val="center"/>
          </w:tcPr>
          <w:p w:rsidR="00070B3E" w:rsidRDefault="00A317B3">
            <w:pPr>
              <w:jc w:val="center"/>
            </w:pPr>
            <w:r>
              <w:rPr>
                <w:rFonts w:asciiTheme="minorEastAsia" w:eastAsiaTheme="minorEastAsia" w:hAnsiTheme="minorEastAsia"/>
                <w:color w:val="000000" w:themeColor="text1"/>
              </w:rPr>
              <w:t>本基金基金经理</w:t>
            </w:r>
          </w:p>
        </w:tc>
        <w:tc>
          <w:tcPr>
            <w:tcW w:w="1560" w:type="dxa"/>
            <w:vAlign w:val="center"/>
          </w:tcPr>
          <w:p w:rsidR="00070B3E" w:rsidRDefault="00A317B3">
            <w:pPr>
              <w:jc w:val="center"/>
            </w:pPr>
            <w:r>
              <w:rPr>
                <w:rFonts w:asciiTheme="minorEastAsia" w:eastAsiaTheme="minorEastAsia" w:hAnsiTheme="minorEastAsia"/>
                <w:color w:val="000000" w:themeColor="text1"/>
              </w:rPr>
              <w:t>2019-01-29</w:t>
            </w:r>
          </w:p>
        </w:tc>
        <w:tc>
          <w:tcPr>
            <w:tcW w:w="1559" w:type="dxa"/>
            <w:vAlign w:val="center"/>
          </w:tcPr>
          <w:p w:rsidR="00070B3E" w:rsidRDefault="00A317B3">
            <w:pPr>
              <w:jc w:val="center"/>
            </w:pPr>
            <w:r>
              <w:rPr>
                <w:rFonts w:asciiTheme="minorEastAsia" w:eastAsiaTheme="minorEastAsia" w:hAnsiTheme="minorEastAsia"/>
                <w:color w:val="000000" w:themeColor="text1"/>
              </w:rPr>
              <w:t>-</w:t>
            </w:r>
          </w:p>
        </w:tc>
        <w:tc>
          <w:tcPr>
            <w:tcW w:w="1417" w:type="dxa"/>
            <w:vAlign w:val="center"/>
          </w:tcPr>
          <w:p w:rsidR="00070B3E" w:rsidRDefault="00A317B3">
            <w:pPr>
              <w:jc w:val="center"/>
            </w:pPr>
            <w:r>
              <w:rPr>
                <w:rFonts w:asciiTheme="minorEastAsia" w:eastAsiaTheme="minorEastAsia" w:hAnsiTheme="minorEastAsia"/>
                <w:color w:val="000000" w:themeColor="text1"/>
              </w:rPr>
              <w:t>9年</w:t>
            </w:r>
          </w:p>
        </w:tc>
        <w:tc>
          <w:tcPr>
            <w:tcW w:w="2694" w:type="dxa"/>
            <w:vAlign w:val="center"/>
          </w:tcPr>
          <w:p w:rsidR="00070B3E" w:rsidRDefault="00A317B3">
            <w:r>
              <w:rPr>
                <w:rFonts w:asciiTheme="minorEastAsia" w:eastAsiaTheme="minorEastAsia" w:hAnsiTheme="minorEastAsia"/>
                <w:color w:val="000000" w:themeColor="text1"/>
              </w:rPr>
              <w:t>张富盛先生，上海交通大学金融学学士，自2007年8月至2010年3月，在德勤华永会计师事务所担任高级税务咨询；自2010年3月至2011年2月，在中国国际金融有限公司担任分析师；自2011年2月至2015年8月在北京高华证券有限责任公司担任投资研究部经理；自2015年8月起加入上投摩根基金管理有限公司，历任行业专家、基金经理助理、基金经理。自</w:t>
            </w:r>
            <w:r>
              <w:rPr>
                <w:rFonts w:asciiTheme="minorEastAsia" w:eastAsiaTheme="minorEastAsia" w:hAnsiTheme="minorEastAsia"/>
                <w:color w:val="000000" w:themeColor="text1"/>
              </w:rPr>
              <w:lastRenderedPageBreak/>
              <w:t>2018年3月起担任上投摩根转型动力灵活配置混合型证券投资基金基金经理，自2019年1月起同时担任上投摩根动力精选混合型证券投资基金基金经理。</w:t>
            </w:r>
          </w:p>
        </w:tc>
      </w:tr>
    </w:tbl>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注：1. 任职日期和离任日期均指根据公司决定确定的聘任日期和解聘日期。</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 张富盛先生为本基金首任基金经理，其任职日期为本基金基金合同生效之日；</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 证券从业的含义遵从行业协会《证券业从业人员资格管理办法》的相关规定。</w:t>
      </w:r>
    </w:p>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070B3E" w:rsidRDefault="00B31065">
      <w:pPr>
        <w:spacing w:line="360" w:lineRule="auto"/>
        <w:ind w:firstLineChars="200" w:firstLine="420"/>
        <w:rPr>
          <w:rFonts w:asciiTheme="minorEastAsia" w:eastAsiaTheme="minorEastAsia" w:hAnsiTheme="minorEastAsia"/>
          <w:color w:val="000000" w:themeColor="text1"/>
        </w:rPr>
      </w:pPr>
      <w:r w:rsidRPr="00B31065">
        <w:rPr>
          <w:rFonts w:asciiTheme="minorEastAsia" w:eastAsiaTheme="minorEastAsia" w:hAnsiTheme="minorEastAsia" w:hint="eastAsia"/>
          <w:color w:val="000000" w:themeColor="text1"/>
        </w:rPr>
        <w:t>在本报告期内，基金管理人不存在损害基金份额持有人利益的行为，勤勉尽责地为基金份额持有人谋求利益。基金管理人遵守了《证券投资基金法》及其他有关法律法规、《上投摩根动力精选混合型证券投资基金基金合同》的规定。除以下情况外，基金经理对个股和投资组合的比例遵循了投资决策委员会的授权限制，基金投资比例符合基金合同和法律法规的要求：本基金曾出现个别由于市场及规则原因引起的投资组合的投资指标被动偏离相关比例要求的情形，截止信息披露日已恢复符合法规要求。</w:t>
      </w:r>
      <w:bookmarkStart w:id="0" w:name="_GoBack"/>
      <w:bookmarkEnd w:id="0"/>
    </w:p>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070B3E" w:rsidRDefault="00A317B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w:t>
      </w:r>
      <w:r>
        <w:rPr>
          <w:rFonts w:asciiTheme="minorEastAsia" w:eastAsiaTheme="minorEastAsia" w:hAnsiTheme="minorEastAsia"/>
          <w:color w:val="000000" w:themeColor="text1"/>
        </w:rPr>
        <w:lastRenderedPageBreak/>
        <w:t>时机和交易价差监控分析，未发现整体公平交易执行出现异常的情况。</w:t>
      </w:r>
    </w:p>
    <w:p w:rsidR="00070B3E" w:rsidRDefault="00A317B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070B3E" w:rsidRDefault="00070B3E">
      <w:pPr>
        <w:spacing w:line="360" w:lineRule="auto"/>
        <w:ind w:firstLineChars="200" w:firstLine="480"/>
        <w:rPr>
          <w:rFonts w:asciiTheme="minorEastAsia" w:eastAsiaTheme="minorEastAsia" w:hAnsiTheme="minorEastAsia"/>
          <w:color w:val="000000" w:themeColor="text1"/>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070B3E" w:rsidRDefault="00A317B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四季度市场整体震荡上行，结构性特点仍明显，上证指数上涨5%，创业板指数上涨10%，科技股和新能源车标的表现相对较好，医药和消费表现平稳。本基金继续保持从长期角度挖掘优质龙头公司的投资理念，根据产业发展趋势挖掘科技等高景气度行业的优质个股。</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我们将继续投资业绩持续高增长和产业发展趋势中较为受益的个股。具体看，医药在医保控费下细分行业分化较大，但仍可以找到创新药，医药服务外包等保持业绩高速增长的细分赛道；产业发展趋势上，我们认为科技制造将是推动中国经济继续增长的核心动力，5G、消费电子等板块中的龙头公司2020年业绩有望提速；另外新能源汽车在2020年将重新迎来快速增长，特别是下半年海外车型开始放量，行业成长性将更确定。总体来说，我们更注重公司的长期成长性，继续挖掘优质个股，力争为基金持有人创造持续稳定收益。</w:t>
      </w:r>
    </w:p>
    <w:p w:rsidR="00070B3E" w:rsidRDefault="00A317B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本报告期上投摩根动力精选混合份额净值增长率为:12.35%，同期业绩比较基准收益率为:5.94%。</w:t>
      </w:r>
    </w:p>
    <w:p w:rsidR="00070B3E" w:rsidRDefault="00070B3E">
      <w:pPr>
        <w:spacing w:line="360" w:lineRule="auto"/>
        <w:ind w:firstLineChars="200" w:firstLine="480"/>
        <w:rPr>
          <w:rFonts w:asciiTheme="minorEastAsia" w:eastAsiaTheme="minorEastAsia" w:hAnsiTheme="minorEastAsia"/>
          <w:color w:val="000000" w:themeColor="text1"/>
          <w:sz w:val="24"/>
          <w:szCs w:val="24"/>
        </w:rPr>
      </w:pPr>
    </w:p>
    <w:p w:rsidR="00070B3E" w:rsidRDefault="00A317B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报告期内，本基金存在连续六十个工作日基金资产净值低于五千万元的情况，出现该情况的时间范围为2019年08月28日至2019年12月31日。</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基金管理人拟调整本基金运作方式，加大营销力度，提升基金规模，方案已报监管机关。</w:t>
      </w:r>
    </w:p>
    <w:p w:rsidR="00070B3E" w:rsidRDefault="00A317B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070B3E">
        <w:trPr>
          <w:jc w:val="center"/>
        </w:trPr>
        <w:tc>
          <w:tcPr>
            <w:tcW w:w="720" w:type="dxa"/>
            <w:vAlign w:val="center"/>
          </w:tcPr>
          <w:p w:rsidR="00070B3E" w:rsidRDefault="00A317B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lastRenderedPageBreak/>
              <w:t>序号</w:t>
            </w:r>
          </w:p>
        </w:tc>
        <w:tc>
          <w:tcPr>
            <w:tcW w:w="3357" w:type="dxa"/>
            <w:vAlign w:val="center"/>
          </w:tcPr>
          <w:p w:rsidR="00070B3E" w:rsidRDefault="00A317B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070B3E" w:rsidRDefault="00A317B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070B3E" w:rsidRDefault="00A317B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070B3E">
        <w:trPr>
          <w:jc w:val="center"/>
        </w:trPr>
        <w:tc>
          <w:tcPr>
            <w:tcW w:w="720" w:type="dxa"/>
            <w:vAlign w:val="center"/>
          </w:tcPr>
          <w:p w:rsidR="00070B3E" w:rsidRDefault="00A317B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070B3E" w:rsidRDefault="00A317B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12,614,481.41</w:t>
            </w:r>
          </w:p>
        </w:tc>
        <w:tc>
          <w:tcPr>
            <w:tcW w:w="1843"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90.52</w:t>
            </w:r>
          </w:p>
        </w:tc>
      </w:tr>
      <w:tr w:rsidR="00070B3E">
        <w:trPr>
          <w:jc w:val="center"/>
        </w:trPr>
        <w:tc>
          <w:tcPr>
            <w:tcW w:w="720" w:type="dxa"/>
            <w:vAlign w:val="center"/>
          </w:tcPr>
          <w:p w:rsidR="00070B3E" w:rsidRDefault="00070B3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70B3E" w:rsidRDefault="00A317B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12,614,481.41</w:t>
            </w:r>
          </w:p>
        </w:tc>
        <w:tc>
          <w:tcPr>
            <w:tcW w:w="1843"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90.52</w:t>
            </w:r>
          </w:p>
        </w:tc>
      </w:tr>
      <w:tr w:rsidR="00070B3E">
        <w:trPr>
          <w:jc w:val="center"/>
        </w:trPr>
        <w:tc>
          <w:tcPr>
            <w:tcW w:w="720" w:type="dxa"/>
            <w:vAlign w:val="center"/>
          </w:tcPr>
          <w:p w:rsidR="00070B3E" w:rsidRDefault="00A317B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070B3E" w:rsidRDefault="00A317B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70B3E">
        <w:trPr>
          <w:jc w:val="center"/>
        </w:trPr>
        <w:tc>
          <w:tcPr>
            <w:tcW w:w="720" w:type="dxa"/>
            <w:vAlign w:val="center"/>
          </w:tcPr>
          <w:p w:rsidR="00070B3E" w:rsidRDefault="00070B3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70B3E" w:rsidRDefault="00A317B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70B3E">
        <w:trPr>
          <w:jc w:val="center"/>
        </w:trPr>
        <w:tc>
          <w:tcPr>
            <w:tcW w:w="720" w:type="dxa"/>
            <w:vAlign w:val="center"/>
          </w:tcPr>
          <w:p w:rsidR="00070B3E" w:rsidRDefault="00070B3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70B3E" w:rsidRDefault="00A317B3">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70B3E">
        <w:trPr>
          <w:jc w:val="center"/>
        </w:trPr>
        <w:tc>
          <w:tcPr>
            <w:tcW w:w="720" w:type="dxa"/>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070B3E" w:rsidRDefault="00A317B3">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70B3E">
        <w:trPr>
          <w:jc w:val="center"/>
        </w:trPr>
        <w:tc>
          <w:tcPr>
            <w:tcW w:w="720"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070B3E" w:rsidRDefault="00A317B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70B3E">
        <w:trPr>
          <w:jc w:val="center"/>
        </w:trPr>
        <w:tc>
          <w:tcPr>
            <w:tcW w:w="720" w:type="dxa"/>
            <w:vAlign w:val="center"/>
          </w:tcPr>
          <w:p w:rsidR="00070B3E" w:rsidRDefault="00A317B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070B3E" w:rsidRDefault="00A317B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70B3E">
        <w:trPr>
          <w:jc w:val="center"/>
        </w:trPr>
        <w:tc>
          <w:tcPr>
            <w:tcW w:w="720" w:type="dxa"/>
            <w:vAlign w:val="center"/>
          </w:tcPr>
          <w:p w:rsidR="00070B3E" w:rsidRDefault="00070B3E">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70B3E" w:rsidRDefault="00A317B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70B3E">
        <w:trPr>
          <w:jc w:val="center"/>
        </w:trPr>
        <w:tc>
          <w:tcPr>
            <w:tcW w:w="720" w:type="dxa"/>
            <w:vAlign w:val="center"/>
          </w:tcPr>
          <w:p w:rsidR="00070B3E" w:rsidRDefault="00A317B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070B3E" w:rsidRDefault="00A317B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1,243,322.33</w:t>
            </w:r>
          </w:p>
        </w:tc>
        <w:tc>
          <w:tcPr>
            <w:tcW w:w="1843" w:type="dxa"/>
            <w:vAlign w:val="center"/>
          </w:tcPr>
          <w:p w:rsidR="00070B3E" w:rsidRDefault="00A317B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8.92</w:t>
            </w:r>
          </w:p>
        </w:tc>
      </w:tr>
      <w:tr w:rsidR="00070B3E">
        <w:trPr>
          <w:jc w:val="center"/>
        </w:trPr>
        <w:tc>
          <w:tcPr>
            <w:tcW w:w="720" w:type="dxa"/>
            <w:vAlign w:val="center"/>
          </w:tcPr>
          <w:p w:rsidR="00070B3E" w:rsidRDefault="00A317B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070B3E" w:rsidRDefault="00A317B3">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77,500.97</w:t>
            </w:r>
          </w:p>
        </w:tc>
        <w:tc>
          <w:tcPr>
            <w:tcW w:w="1843" w:type="dxa"/>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0.56</w:t>
            </w:r>
          </w:p>
        </w:tc>
      </w:tr>
      <w:tr w:rsidR="00070B3E">
        <w:trPr>
          <w:jc w:val="center"/>
        </w:trPr>
        <w:tc>
          <w:tcPr>
            <w:tcW w:w="720" w:type="dxa"/>
            <w:vAlign w:val="center"/>
          </w:tcPr>
          <w:p w:rsidR="00070B3E" w:rsidRDefault="00A317B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070B3E" w:rsidRDefault="00A317B3">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13,935,304.71</w:t>
            </w:r>
          </w:p>
        </w:tc>
        <w:tc>
          <w:tcPr>
            <w:tcW w:w="1843" w:type="dxa"/>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070B3E" w:rsidRDefault="00070B3E">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070B3E" w:rsidRDefault="00A317B3">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070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541,512.00</w:t>
            </w:r>
          </w:p>
          <w:p w:rsidR="00070B3E" w:rsidRDefault="00070B3E">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4.04</w:t>
            </w:r>
          </w:p>
          <w:p w:rsidR="00070B3E" w:rsidRDefault="00070B3E">
            <w:pPr>
              <w:jc w:val="right"/>
              <w:rPr>
                <w:rFonts w:asciiTheme="minorEastAsia" w:eastAsiaTheme="minorEastAsia" w:hAnsiTheme="minorEastAsia" w:cs="宋体"/>
                <w:color w:val="000000" w:themeColor="text1"/>
                <w:kern w:val="0"/>
              </w:rPr>
            </w:pP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10,344,543.24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77.22</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1,728,426.17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12.90</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70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070B3E">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70B3E" w:rsidRDefault="00A317B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12,614,481.41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70B3E" w:rsidRDefault="00A317B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94.17</w:t>
            </w:r>
          </w:p>
        </w:tc>
      </w:tr>
    </w:tbl>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070B3E">
        <w:tc>
          <w:tcPr>
            <w:tcW w:w="817"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070B3E">
        <w:tc>
          <w:tcPr>
            <w:tcW w:w="817" w:type="dxa"/>
            <w:vAlign w:val="center"/>
          </w:tcPr>
          <w:p w:rsidR="00070B3E" w:rsidRDefault="00A317B3">
            <w:pPr>
              <w:jc w:val="center"/>
            </w:pPr>
            <w:r>
              <w:rPr>
                <w:rFonts w:asciiTheme="minorEastAsia" w:eastAsiaTheme="minorEastAsia" w:hAnsiTheme="minorEastAsia" w:cs="宋体"/>
                <w:color w:val="000000" w:themeColor="text1"/>
                <w:kern w:val="0"/>
              </w:rPr>
              <w:t>1</w:t>
            </w:r>
          </w:p>
        </w:tc>
        <w:tc>
          <w:tcPr>
            <w:tcW w:w="1276" w:type="dxa"/>
            <w:vAlign w:val="center"/>
          </w:tcPr>
          <w:p w:rsidR="00070B3E" w:rsidRDefault="00A317B3">
            <w:pPr>
              <w:jc w:val="center"/>
            </w:pPr>
            <w:r>
              <w:rPr>
                <w:rFonts w:asciiTheme="minorEastAsia" w:eastAsiaTheme="minorEastAsia" w:hAnsiTheme="minorEastAsia" w:cs="宋体"/>
                <w:color w:val="000000" w:themeColor="text1"/>
                <w:kern w:val="0"/>
              </w:rPr>
              <w:t>003816</w:t>
            </w:r>
          </w:p>
        </w:tc>
        <w:tc>
          <w:tcPr>
            <w:tcW w:w="1701" w:type="dxa"/>
            <w:vAlign w:val="center"/>
          </w:tcPr>
          <w:p w:rsidR="00070B3E" w:rsidRDefault="00A317B3">
            <w:pPr>
              <w:jc w:val="center"/>
            </w:pPr>
            <w:r>
              <w:rPr>
                <w:rFonts w:asciiTheme="minorEastAsia" w:eastAsiaTheme="minorEastAsia" w:hAnsiTheme="minorEastAsia" w:cs="宋体"/>
                <w:color w:val="000000" w:themeColor="text1"/>
                <w:kern w:val="0"/>
              </w:rPr>
              <w:t>中国广核</w:t>
            </w:r>
          </w:p>
        </w:tc>
        <w:tc>
          <w:tcPr>
            <w:tcW w:w="1276" w:type="dxa"/>
            <w:vAlign w:val="center"/>
          </w:tcPr>
          <w:p w:rsidR="00070B3E" w:rsidRDefault="00A317B3">
            <w:pPr>
              <w:jc w:val="right"/>
            </w:pPr>
            <w:r>
              <w:rPr>
                <w:rFonts w:asciiTheme="minorEastAsia" w:eastAsiaTheme="minorEastAsia" w:hAnsiTheme="minorEastAsia" w:cs="宋体"/>
                <w:color w:val="000000" w:themeColor="text1"/>
                <w:kern w:val="0"/>
              </w:rPr>
              <w:t>489,637.00</w:t>
            </w:r>
          </w:p>
        </w:tc>
        <w:tc>
          <w:tcPr>
            <w:tcW w:w="1842" w:type="dxa"/>
            <w:vAlign w:val="center"/>
          </w:tcPr>
          <w:p w:rsidR="00070B3E" w:rsidRDefault="00A317B3">
            <w:pPr>
              <w:jc w:val="right"/>
            </w:pPr>
            <w:r>
              <w:rPr>
                <w:rFonts w:asciiTheme="minorEastAsia" w:eastAsiaTheme="minorEastAsia" w:hAnsiTheme="minorEastAsia" w:cs="宋体"/>
                <w:color w:val="000000" w:themeColor="text1"/>
                <w:kern w:val="0"/>
              </w:rPr>
              <w:t>1,728,426.17</w:t>
            </w:r>
          </w:p>
        </w:tc>
        <w:tc>
          <w:tcPr>
            <w:tcW w:w="1616" w:type="dxa"/>
            <w:vAlign w:val="center"/>
          </w:tcPr>
          <w:p w:rsidR="00070B3E" w:rsidRDefault="00A317B3">
            <w:pPr>
              <w:jc w:val="right"/>
            </w:pPr>
            <w:r>
              <w:rPr>
                <w:rFonts w:asciiTheme="minorEastAsia" w:eastAsiaTheme="minorEastAsia" w:hAnsiTheme="minorEastAsia" w:cs="宋体"/>
                <w:color w:val="000000" w:themeColor="text1"/>
                <w:kern w:val="0"/>
              </w:rPr>
              <w:t>12.90</w:t>
            </w:r>
          </w:p>
        </w:tc>
      </w:tr>
      <w:tr w:rsidR="00070B3E">
        <w:tc>
          <w:tcPr>
            <w:tcW w:w="817" w:type="dxa"/>
            <w:vAlign w:val="center"/>
          </w:tcPr>
          <w:p w:rsidR="00070B3E" w:rsidRDefault="00A317B3">
            <w:pPr>
              <w:jc w:val="center"/>
            </w:pPr>
            <w:r>
              <w:rPr>
                <w:rFonts w:asciiTheme="minorEastAsia" w:eastAsiaTheme="minorEastAsia" w:hAnsiTheme="minorEastAsia" w:cs="宋体"/>
                <w:color w:val="000000" w:themeColor="text1"/>
                <w:kern w:val="0"/>
              </w:rPr>
              <w:t>2</w:t>
            </w:r>
          </w:p>
        </w:tc>
        <w:tc>
          <w:tcPr>
            <w:tcW w:w="1276" w:type="dxa"/>
            <w:vAlign w:val="center"/>
          </w:tcPr>
          <w:p w:rsidR="00070B3E" w:rsidRDefault="00A317B3">
            <w:pPr>
              <w:jc w:val="center"/>
            </w:pPr>
            <w:r>
              <w:rPr>
                <w:rFonts w:asciiTheme="minorEastAsia" w:eastAsiaTheme="minorEastAsia" w:hAnsiTheme="minorEastAsia" w:cs="宋体"/>
                <w:color w:val="000000" w:themeColor="text1"/>
                <w:kern w:val="0"/>
              </w:rPr>
              <w:t>002475</w:t>
            </w:r>
          </w:p>
        </w:tc>
        <w:tc>
          <w:tcPr>
            <w:tcW w:w="1701" w:type="dxa"/>
            <w:vAlign w:val="center"/>
          </w:tcPr>
          <w:p w:rsidR="00070B3E" w:rsidRDefault="00A317B3">
            <w:pPr>
              <w:jc w:val="center"/>
            </w:pPr>
            <w:r>
              <w:rPr>
                <w:rFonts w:asciiTheme="minorEastAsia" w:eastAsiaTheme="minorEastAsia" w:hAnsiTheme="minorEastAsia" w:cs="宋体"/>
                <w:color w:val="000000" w:themeColor="text1"/>
                <w:kern w:val="0"/>
              </w:rPr>
              <w:t>立讯精密</w:t>
            </w:r>
          </w:p>
        </w:tc>
        <w:tc>
          <w:tcPr>
            <w:tcW w:w="1276" w:type="dxa"/>
            <w:vAlign w:val="center"/>
          </w:tcPr>
          <w:p w:rsidR="00070B3E" w:rsidRDefault="00A317B3">
            <w:pPr>
              <w:jc w:val="right"/>
            </w:pPr>
            <w:r>
              <w:rPr>
                <w:rFonts w:asciiTheme="minorEastAsia" w:eastAsiaTheme="minorEastAsia" w:hAnsiTheme="minorEastAsia" w:cs="宋体"/>
                <w:color w:val="000000" w:themeColor="text1"/>
                <w:kern w:val="0"/>
              </w:rPr>
              <w:t>25,363.00</w:t>
            </w:r>
          </w:p>
        </w:tc>
        <w:tc>
          <w:tcPr>
            <w:tcW w:w="1842" w:type="dxa"/>
            <w:vAlign w:val="center"/>
          </w:tcPr>
          <w:p w:rsidR="00070B3E" w:rsidRDefault="00A317B3">
            <w:pPr>
              <w:jc w:val="right"/>
            </w:pPr>
            <w:r>
              <w:rPr>
                <w:rFonts w:asciiTheme="minorEastAsia" w:eastAsiaTheme="minorEastAsia" w:hAnsiTheme="minorEastAsia" w:cs="宋体"/>
                <w:color w:val="000000" w:themeColor="text1"/>
                <w:kern w:val="0"/>
              </w:rPr>
              <w:t>925,749.50</w:t>
            </w:r>
          </w:p>
        </w:tc>
        <w:tc>
          <w:tcPr>
            <w:tcW w:w="1616" w:type="dxa"/>
            <w:vAlign w:val="center"/>
          </w:tcPr>
          <w:p w:rsidR="00070B3E" w:rsidRDefault="00A317B3">
            <w:pPr>
              <w:jc w:val="right"/>
            </w:pPr>
            <w:r>
              <w:rPr>
                <w:rFonts w:asciiTheme="minorEastAsia" w:eastAsiaTheme="minorEastAsia" w:hAnsiTheme="minorEastAsia" w:cs="宋体"/>
                <w:color w:val="000000" w:themeColor="text1"/>
                <w:kern w:val="0"/>
              </w:rPr>
              <w:t>6.91</w:t>
            </w:r>
          </w:p>
        </w:tc>
      </w:tr>
      <w:tr w:rsidR="00070B3E">
        <w:tc>
          <w:tcPr>
            <w:tcW w:w="817" w:type="dxa"/>
            <w:vAlign w:val="center"/>
          </w:tcPr>
          <w:p w:rsidR="00070B3E" w:rsidRDefault="00A317B3">
            <w:pPr>
              <w:jc w:val="center"/>
            </w:pPr>
            <w:r>
              <w:rPr>
                <w:rFonts w:asciiTheme="minorEastAsia" w:eastAsiaTheme="minorEastAsia" w:hAnsiTheme="minorEastAsia" w:cs="宋体"/>
                <w:color w:val="000000" w:themeColor="text1"/>
                <w:kern w:val="0"/>
              </w:rPr>
              <w:t>3</w:t>
            </w:r>
          </w:p>
        </w:tc>
        <w:tc>
          <w:tcPr>
            <w:tcW w:w="1276" w:type="dxa"/>
            <w:vAlign w:val="center"/>
          </w:tcPr>
          <w:p w:rsidR="00070B3E" w:rsidRDefault="00A317B3">
            <w:pPr>
              <w:jc w:val="center"/>
            </w:pPr>
            <w:r>
              <w:rPr>
                <w:rFonts w:asciiTheme="minorEastAsia" w:eastAsiaTheme="minorEastAsia" w:hAnsiTheme="minorEastAsia" w:cs="宋体"/>
                <w:color w:val="000000" w:themeColor="text1"/>
                <w:kern w:val="0"/>
              </w:rPr>
              <w:t>002812</w:t>
            </w:r>
          </w:p>
        </w:tc>
        <w:tc>
          <w:tcPr>
            <w:tcW w:w="1701" w:type="dxa"/>
            <w:vAlign w:val="center"/>
          </w:tcPr>
          <w:p w:rsidR="00070B3E" w:rsidRDefault="00A317B3">
            <w:pPr>
              <w:jc w:val="center"/>
            </w:pPr>
            <w:r>
              <w:rPr>
                <w:rFonts w:asciiTheme="minorEastAsia" w:eastAsiaTheme="minorEastAsia" w:hAnsiTheme="minorEastAsia" w:cs="宋体"/>
                <w:color w:val="000000" w:themeColor="text1"/>
                <w:kern w:val="0"/>
              </w:rPr>
              <w:t>恩捷股份</w:t>
            </w:r>
          </w:p>
        </w:tc>
        <w:tc>
          <w:tcPr>
            <w:tcW w:w="1276" w:type="dxa"/>
            <w:vAlign w:val="center"/>
          </w:tcPr>
          <w:p w:rsidR="00070B3E" w:rsidRDefault="00A317B3">
            <w:pPr>
              <w:jc w:val="right"/>
            </w:pPr>
            <w:r>
              <w:rPr>
                <w:rFonts w:asciiTheme="minorEastAsia" w:eastAsiaTheme="minorEastAsia" w:hAnsiTheme="minorEastAsia" w:cs="宋体"/>
                <w:color w:val="000000" w:themeColor="text1"/>
                <w:kern w:val="0"/>
              </w:rPr>
              <w:t>18,108.00</w:t>
            </w:r>
          </w:p>
        </w:tc>
        <w:tc>
          <w:tcPr>
            <w:tcW w:w="1842" w:type="dxa"/>
            <w:vAlign w:val="center"/>
          </w:tcPr>
          <w:p w:rsidR="00070B3E" w:rsidRDefault="00A317B3">
            <w:pPr>
              <w:jc w:val="right"/>
            </w:pPr>
            <w:r>
              <w:rPr>
                <w:rFonts w:asciiTheme="minorEastAsia" w:eastAsiaTheme="minorEastAsia" w:hAnsiTheme="minorEastAsia" w:cs="宋体"/>
                <w:color w:val="000000" w:themeColor="text1"/>
                <w:kern w:val="0"/>
              </w:rPr>
              <w:t>914,454.00</w:t>
            </w:r>
          </w:p>
        </w:tc>
        <w:tc>
          <w:tcPr>
            <w:tcW w:w="1616" w:type="dxa"/>
            <w:vAlign w:val="center"/>
          </w:tcPr>
          <w:p w:rsidR="00070B3E" w:rsidRDefault="00A317B3">
            <w:pPr>
              <w:jc w:val="right"/>
            </w:pPr>
            <w:r>
              <w:rPr>
                <w:rFonts w:asciiTheme="minorEastAsia" w:eastAsiaTheme="minorEastAsia" w:hAnsiTheme="minorEastAsia" w:cs="宋体"/>
                <w:color w:val="000000" w:themeColor="text1"/>
                <w:kern w:val="0"/>
              </w:rPr>
              <w:t>6.83</w:t>
            </w:r>
          </w:p>
        </w:tc>
      </w:tr>
      <w:tr w:rsidR="00070B3E">
        <w:tc>
          <w:tcPr>
            <w:tcW w:w="817" w:type="dxa"/>
            <w:vAlign w:val="center"/>
          </w:tcPr>
          <w:p w:rsidR="00070B3E" w:rsidRDefault="00A317B3">
            <w:pPr>
              <w:jc w:val="center"/>
            </w:pPr>
            <w:r>
              <w:rPr>
                <w:rFonts w:asciiTheme="minorEastAsia" w:eastAsiaTheme="minorEastAsia" w:hAnsiTheme="minorEastAsia" w:cs="宋体"/>
                <w:color w:val="000000" w:themeColor="text1"/>
                <w:kern w:val="0"/>
              </w:rPr>
              <w:t>4</w:t>
            </w:r>
          </w:p>
        </w:tc>
        <w:tc>
          <w:tcPr>
            <w:tcW w:w="1276" w:type="dxa"/>
            <w:vAlign w:val="center"/>
          </w:tcPr>
          <w:p w:rsidR="00070B3E" w:rsidRDefault="00A317B3">
            <w:pPr>
              <w:jc w:val="center"/>
            </w:pPr>
            <w:r>
              <w:rPr>
                <w:rFonts w:asciiTheme="minorEastAsia" w:eastAsiaTheme="minorEastAsia" w:hAnsiTheme="minorEastAsia" w:cs="宋体"/>
                <w:color w:val="000000" w:themeColor="text1"/>
                <w:kern w:val="0"/>
              </w:rPr>
              <w:t>300750</w:t>
            </w:r>
          </w:p>
        </w:tc>
        <w:tc>
          <w:tcPr>
            <w:tcW w:w="1701" w:type="dxa"/>
            <w:vAlign w:val="center"/>
          </w:tcPr>
          <w:p w:rsidR="00070B3E" w:rsidRDefault="00A317B3">
            <w:pPr>
              <w:jc w:val="center"/>
            </w:pPr>
            <w:r>
              <w:rPr>
                <w:rFonts w:asciiTheme="minorEastAsia" w:eastAsiaTheme="minorEastAsia" w:hAnsiTheme="minorEastAsia" w:cs="宋体"/>
                <w:color w:val="000000" w:themeColor="text1"/>
                <w:kern w:val="0"/>
              </w:rPr>
              <w:t>宁德时代</w:t>
            </w:r>
          </w:p>
        </w:tc>
        <w:tc>
          <w:tcPr>
            <w:tcW w:w="1276" w:type="dxa"/>
            <w:vAlign w:val="center"/>
          </w:tcPr>
          <w:p w:rsidR="00070B3E" w:rsidRDefault="00A317B3">
            <w:pPr>
              <w:jc w:val="right"/>
            </w:pPr>
            <w:r>
              <w:rPr>
                <w:rFonts w:asciiTheme="minorEastAsia" w:eastAsiaTheme="minorEastAsia" w:hAnsiTheme="minorEastAsia" w:cs="宋体"/>
                <w:color w:val="000000" w:themeColor="text1"/>
                <w:kern w:val="0"/>
              </w:rPr>
              <w:t>8,500.00</w:t>
            </w:r>
          </w:p>
        </w:tc>
        <w:tc>
          <w:tcPr>
            <w:tcW w:w="1842" w:type="dxa"/>
            <w:vAlign w:val="center"/>
          </w:tcPr>
          <w:p w:rsidR="00070B3E" w:rsidRDefault="00A317B3">
            <w:pPr>
              <w:jc w:val="right"/>
            </w:pPr>
            <w:r>
              <w:rPr>
                <w:rFonts w:asciiTheme="minorEastAsia" w:eastAsiaTheme="minorEastAsia" w:hAnsiTheme="minorEastAsia" w:cs="宋体"/>
                <w:color w:val="000000" w:themeColor="text1"/>
                <w:kern w:val="0"/>
              </w:rPr>
              <w:t>904,400.00</w:t>
            </w:r>
          </w:p>
        </w:tc>
        <w:tc>
          <w:tcPr>
            <w:tcW w:w="1616" w:type="dxa"/>
            <w:vAlign w:val="center"/>
          </w:tcPr>
          <w:p w:rsidR="00070B3E" w:rsidRDefault="00A317B3">
            <w:pPr>
              <w:jc w:val="right"/>
            </w:pPr>
            <w:r>
              <w:rPr>
                <w:rFonts w:asciiTheme="minorEastAsia" w:eastAsiaTheme="minorEastAsia" w:hAnsiTheme="minorEastAsia" w:cs="宋体"/>
                <w:color w:val="000000" w:themeColor="text1"/>
                <w:kern w:val="0"/>
              </w:rPr>
              <w:t>6.75</w:t>
            </w:r>
          </w:p>
        </w:tc>
      </w:tr>
      <w:tr w:rsidR="00070B3E">
        <w:tc>
          <w:tcPr>
            <w:tcW w:w="817" w:type="dxa"/>
            <w:vAlign w:val="center"/>
          </w:tcPr>
          <w:p w:rsidR="00070B3E" w:rsidRDefault="00A317B3">
            <w:pPr>
              <w:jc w:val="center"/>
            </w:pPr>
            <w:r>
              <w:rPr>
                <w:rFonts w:asciiTheme="minorEastAsia" w:eastAsiaTheme="minorEastAsia" w:hAnsiTheme="minorEastAsia" w:cs="宋体"/>
                <w:color w:val="000000" w:themeColor="text1"/>
                <w:kern w:val="0"/>
              </w:rPr>
              <w:t>5</w:t>
            </w:r>
          </w:p>
        </w:tc>
        <w:tc>
          <w:tcPr>
            <w:tcW w:w="1276" w:type="dxa"/>
            <w:vAlign w:val="center"/>
          </w:tcPr>
          <w:p w:rsidR="00070B3E" w:rsidRDefault="00A317B3">
            <w:pPr>
              <w:jc w:val="center"/>
            </w:pPr>
            <w:r>
              <w:rPr>
                <w:rFonts w:asciiTheme="minorEastAsia" w:eastAsiaTheme="minorEastAsia" w:hAnsiTheme="minorEastAsia" w:cs="宋体"/>
                <w:color w:val="000000" w:themeColor="text1"/>
                <w:kern w:val="0"/>
              </w:rPr>
              <w:t>601012</w:t>
            </w:r>
          </w:p>
        </w:tc>
        <w:tc>
          <w:tcPr>
            <w:tcW w:w="1701" w:type="dxa"/>
            <w:vAlign w:val="center"/>
          </w:tcPr>
          <w:p w:rsidR="00070B3E" w:rsidRDefault="00A317B3">
            <w:pPr>
              <w:jc w:val="center"/>
            </w:pPr>
            <w:r>
              <w:rPr>
                <w:rFonts w:asciiTheme="minorEastAsia" w:eastAsiaTheme="minorEastAsia" w:hAnsiTheme="minorEastAsia" w:cs="宋体"/>
                <w:color w:val="000000" w:themeColor="text1"/>
                <w:kern w:val="0"/>
              </w:rPr>
              <w:t>隆基股份</w:t>
            </w:r>
          </w:p>
        </w:tc>
        <w:tc>
          <w:tcPr>
            <w:tcW w:w="1276" w:type="dxa"/>
            <w:vAlign w:val="center"/>
          </w:tcPr>
          <w:p w:rsidR="00070B3E" w:rsidRDefault="00A317B3">
            <w:pPr>
              <w:jc w:val="right"/>
            </w:pPr>
            <w:r>
              <w:rPr>
                <w:rFonts w:asciiTheme="minorEastAsia" w:eastAsiaTheme="minorEastAsia" w:hAnsiTheme="minorEastAsia" w:cs="宋体"/>
                <w:color w:val="000000" w:themeColor="text1"/>
                <w:kern w:val="0"/>
              </w:rPr>
              <w:t>31,092.00</w:t>
            </w:r>
          </w:p>
        </w:tc>
        <w:tc>
          <w:tcPr>
            <w:tcW w:w="1842" w:type="dxa"/>
            <w:vAlign w:val="center"/>
          </w:tcPr>
          <w:p w:rsidR="00070B3E" w:rsidRDefault="00A317B3">
            <w:pPr>
              <w:jc w:val="right"/>
            </w:pPr>
            <w:r>
              <w:rPr>
                <w:rFonts w:asciiTheme="minorEastAsia" w:eastAsiaTheme="minorEastAsia" w:hAnsiTheme="minorEastAsia" w:cs="宋体"/>
                <w:color w:val="000000" w:themeColor="text1"/>
                <w:kern w:val="0"/>
              </w:rPr>
              <w:t>772,014.36</w:t>
            </w:r>
          </w:p>
        </w:tc>
        <w:tc>
          <w:tcPr>
            <w:tcW w:w="1616" w:type="dxa"/>
            <w:vAlign w:val="center"/>
          </w:tcPr>
          <w:p w:rsidR="00070B3E" w:rsidRDefault="00A317B3">
            <w:pPr>
              <w:jc w:val="right"/>
            </w:pPr>
            <w:r>
              <w:rPr>
                <w:rFonts w:asciiTheme="minorEastAsia" w:eastAsiaTheme="minorEastAsia" w:hAnsiTheme="minorEastAsia" w:cs="宋体"/>
                <w:color w:val="000000" w:themeColor="text1"/>
                <w:kern w:val="0"/>
              </w:rPr>
              <w:t>5.76</w:t>
            </w:r>
          </w:p>
        </w:tc>
      </w:tr>
      <w:tr w:rsidR="00070B3E">
        <w:tc>
          <w:tcPr>
            <w:tcW w:w="817" w:type="dxa"/>
            <w:vAlign w:val="center"/>
          </w:tcPr>
          <w:p w:rsidR="00070B3E" w:rsidRDefault="00A317B3">
            <w:pPr>
              <w:jc w:val="center"/>
            </w:pPr>
            <w:r>
              <w:rPr>
                <w:rFonts w:asciiTheme="minorEastAsia" w:eastAsiaTheme="minorEastAsia" w:hAnsiTheme="minorEastAsia" w:cs="宋体"/>
                <w:color w:val="000000" w:themeColor="text1"/>
                <w:kern w:val="0"/>
              </w:rPr>
              <w:t>6</w:t>
            </w:r>
          </w:p>
        </w:tc>
        <w:tc>
          <w:tcPr>
            <w:tcW w:w="1276" w:type="dxa"/>
            <w:vAlign w:val="center"/>
          </w:tcPr>
          <w:p w:rsidR="00070B3E" w:rsidRDefault="00A317B3">
            <w:pPr>
              <w:jc w:val="center"/>
            </w:pPr>
            <w:r>
              <w:rPr>
                <w:rFonts w:asciiTheme="minorEastAsia" w:eastAsiaTheme="minorEastAsia" w:hAnsiTheme="minorEastAsia" w:cs="宋体"/>
                <w:color w:val="000000" w:themeColor="text1"/>
                <w:kern w:val="0"/>
              </w:rPr>
              <w:t>300014</w:t>
            </w:r>
          </w:p>
        </w:tc>
        <w:tc>
          <w:tcPr>
            <w:tcW w:w="1701" w:type="dxa"/>
            <w:vAlign w:val="center"/>
          </w:tcPr>
          <w:p w:rsidR="00070B3E" w:rsidRDefault="00A317B3">
            <w:pPr>
              <w:jc w:val="center"/>
            </w:pPr>
            <w:r>
              <w:rPr>
                <w:rFonts w:asciiTheme="minorEastAsia" w:eastAsiaTheme="minorEastAsia" w:hAnsiTheme="minorEastAsia" w:cs="宋体"/>
                <w:color w:val="000000" w:themeColor="text1"/>
                <w:kern w:val="0"/>
              </w:rPr>
              <w:t>亿纬锂能</w:t>
            </w:r>
          </w:p>
        </w:tc>
        <w:tc>
          <w:tcPr>
            <w:tcW w:w="1276" w:type="dxa"/>
            <w:vAlign w:val="center"/>
          </w:tcPr>
          <w:p w:rsidR="00070B3E" w:rsidRDefault="00A317B3">
            <w:pPr>
              <w:jc w:val="right"/>
            </w:pPr>
            <w:r>
              <w:rPr>
                <w:rFonts w:asciiTheme="minorEastAsia" w:eastAsiaTheme="minorEastAsia" w:hAnsiTheme="minorEastAsia" w:cs="宋体"/>
                <w:color w:val="000000" w:themeColor="text1"/>
                <w:kern w:val="0"/>
              </w:rPr>
              <w:t>12,543.00</w:t>
            </w:r>
          </w:p>
        </w:tc>
        <w:tc>
          <w:tcPr>
            <w:tcW w:w="1842" w:type="dxa"/>
            <w:vAlign w:val="center"/>
          </w:tcPr>
          <w:p w:rsidR="00070B3E" w:rsidRDefault="00A317B3">
            <w:pPr>
              <w:jc w:val="right"/>
            </w:pPr>
            <w:r>
              <w:rPr>
                <w:rFonts w:asciiTheme="minorEastAsia" w:eastAsiaTheme="minorEastAsia" w:hAnsiTheme="minorEastAsia" w:cs="宋体"/>
                <w:color w:val="000000" w:themeColor="text1"/>
                <w:kern w:val="0"/>
              </w:rPr>
              <w:t>629,156.88</w:t>
            </w:r>
          </w:p>
        </w:tc>
        <w:tc>
          <w:tcPr>
            <w:tcW w:w="1616" w:type="dxa"/>
            <w:vAlign w:val="center"/>
          </w:tcPr>
          <w:p w:rsidR="00070B3E" w:rsidRDefault="00A317B3">
            <w:pPr>
              <w:jc w:val="right"/>
            </w:pPr>
            <w:r>
              <w:rPr>
                <w:rFonts w:asciiTheme="minorEastAsia" w:eastAsiaTheme="minorEastAsia" w:hAnsiTheme="minorEastAsia" w:cs="宋体"/>
                <w:color w:val="000000" w:themeColor="text1"/>
                <w:kern w:val="0"/>
              </w:rPr>
              <w:t>4.70</w:t>
            </w:r>
          </w:p>
        </w:tc>
      </w:tr>
      <w:tr w:rsidR="00070B3E">
        <w:tc>
          <w:tcPr>
            <w:tcW w:w="817" w:type="dxa"/>
            <w:vAlign w:val="center"/>
          </w:tcPr>
          <w:p w:rsidR="00070B3E" w:rsidRDefault="00A317B3">
            <w:pPr>
              <w:jc w:val="center"/>
            </w:pPr>
            <w:r>
              <w:rPr>
                <w:rFonts w:asciiTheme="minorEastAsia" w:eastAsiaTheme="minorEastAsia" w:hAnsiTheme="minorEastAsia" w:cs="宋体"/>
                <w:color w:val="000000" w:themeColor="text1"/>
                <w:kern w:val="0"/>
              </w:rPr>
              <w:t>7</w:t>
            </w:r>
          </w:p>
        </w:tc>
        <w:tc>
          <w:tcPr>
            <w:tcW w:w="1276" w:type="dxa"/>
            <w:vAlign w:val="center"/>
          </w:tcPr>
          <w:p w:rsidR="00070B3E" w:rsidRDefault="00A317B3">
            <w:pPr>
              <w:jc w:val="center"/>
            </w:pPr>
            <w:r>
              <w:rPr>
                <w:rFonts w:asciiTheme="minorEastAsia" w:eastAsiaTheme="minorEastAsia" w:hAnsiTheme="minorEastAsia" w:cs="宋体"/>
                <w:color w:val="000000" w:themeColor="text1"/>
                <w:kern w:val="0"/>
              </w:rPr>
              <w:t>603799</w:t>
            </w:r>
          </w:p>
        </w:tc>
        <w:tc>
          <w:tcPr>
            <w:tcW w:w="1701" w:type="dxa"/>
            <w:vAlign w:val="center"/>
          </w:tcPr>
          <w:p w:rsidR="00070B3E" w:rsidRDefault="00A317B3">
            <w:pPr>
              <w:jc w:val="center"/>
            </w:pPr>
            <w:r>
              <w:rPr>
                <w:rFonts w:asciiTheme="minorEastAsia" w:eastAsiaTheme="minorEastAsia" w:hAnsiTheme="minorEastAsia" w:cs="宋体"/>
                <w:color w:val="000000" w:themeColor="text1"/>
                <w:kern w:val="0"/>
              </w:rPr>
              <w:t>华友钴业</w:t>
            </w:r>
          </w:p>
        </w:tc>
        <w:tc>
          <w:tcPr>
            <w:tcW w:w="1276" w:type="dxa"/>
            <w:vAlign w:val="center"/>
          </w:tcPr>
          <w:p w:rsidR="00070B3E" w:rsidRDefault="00A317B3">
            <w:pPr>
              <w:jc w:val="right"/>
            </w:pPr>
            <w:r>
              <w:rPr>
                <w:rFonts w:asciiTheme="minorEastAsia" w:eastAsiaTheme="minorEastAsia" w:hAnsiTheme="minorEastAsia" w:cs="宋体"/>
                <w:color w:val="000000" w:themeColor="text1"/>
                <w:kern w:val="0"/>
              </w:rPr>
              <w:t>15,800.00</w:t>
            </w:r>
          </w:p>
        </w:tc>
        <w:tc>
          <w:tcPr>
            <w:tcW w:w="1842" w:type="dxa"/>
            <w:vAlign w:val="center"/>
          </w:tcPr>
          <w:p w:rsidR="00070B3E" w:rsidRDefault="00A317B3">
            <w:pPr>
              <w:jc w:val="right"/>
            </w:pPr>
            <w:r>
              <w:rPr>
                <w:rFonts w:asciiTheme="minorEastAsia" w:eastAsiaTheme="minorEastAsia" w:hAnsiTheme="minorEastAsia" w:cs="宋体"/>
                <w:color w:val="000000" w:themeColor="text1"/>
                <w:kern w:val="0"/>
              </w:rPr>
              <w:t>622,362.00</w:t>
            </w:r>
          </w:p>
        </w:tc>
        <w:tc>
          <w:tcPr>
            <w:tcW w:w="1616" w:type="dxa"/>
            <w:vAlign w:val="center"/>
          </w:tcPr>
          <w:p w:rsidR="00070B3E" w:rsidRDefault="00A317B3">
            <w:pPr>
              <w:jc w:val="right"/>
            </w:pPr>
            <w:r>
              <w:rPr>
                <w:rFonts w:asciiTheme="minorEastAsia" w:eastAsiaTheme="minorEastAsia" w:hAnsiTheme="minorEastAsia" w:cs="宋体"/>
                <w:color w:val="000000" w:themeColor="text1"/>
                <w:kern w:val="0"/>
              </w:rPr>
              <w:t>4.65</w:t>
            </w:r>
          </w:p>
        </w:tc>
      </w:tr>
      <w:tr w:rsidR="00070B3E">
        <w:tc>
          <w:tcPr>
            <w:tcW w:w="817" w:type="dxa"/>
            <w:vAlign w:val="center"/>
          </w:tcPr>
          <w:p w:rsidR="00070B3E" w:rsidRDefault="00A317B3">
            <w:pPr>
              <w:jc w:val="center"/>
            </w:pPr>
            <w:r>
              <w:rPr>
                <w:rFonts w:asciiTheme="minorEastAsia" w:eastAsiaTheme="minorEastAsia" w:hAnsiTheme="minorEastAsia" w:cs="宋体"/>
                <w:color w:val="000000" w:themeColor="text1"/>
                <w:kern w:val="0"/>
              </w:rPr>
              <w:t>8</w:t>
            </w:r>
          </w:p>
        </w:tc>
        <w:tc>
          <w:tcPr>
            <w:tcW w:w="1276" w:type="dxa"/>
            <w:vAlign w:val="center"/>
          </w:tcPr>
          <w:p w:rsidR="00070B3E" w:rsidRDefault="00A317B3">
            <w:pPr>
              <w:jc w:val="center"/>
            </w:pPr>
            <w:r>
              <w:rPr>
                <w:rFonts w:asciiTheme="minorEastAsia" w:eastAsiaTheme="minorEastAsia" w:hAnsiTheme="minorEastAsia" w:cs="宋体"/>
                <w:color w:val="000000" w:themeColor="text1"/>
                <w:kern w:val="0"/>
              </w:rPr>
              <w:t>603993</w:t>
            </w:r>
          </w:p>
        </w:tc>
        <w:tc>
          <w:tcPr>
            <w:tcW w:w="1701" w:type="dxa"/>
            <w:vAlign w:val="center"/>
          </w:tcPr>
          <w:p w:rsidR="00070B3E" w:rsidRDefault="00A317B3">
            <w:pPr>
              <w:jc w:val="center"/>
            </w:pPr>
            <w:r>
              <w:rPr>
                <w:rFonts w:asciiTheme="minorEastAsia" w:eastAsiaTheme="minorEastAsia" w:hAnsiTheme="minorEastAsia" w:cs="宋体"/>
                <w:color w:val="000000" w:themeColor="text1"/>
                <w:kern w:val="0"/>
              </w:rPr>
              <w:t>洛阳钼业</w:t>
            </w:r>
          </w:p>
        </w:tc>
        <w:tc>
          <w:tcPr>
            <w:tcW w:w="1276" w:type="dxa"/>
            <w:vAlign w:val="center"/>
          </w:tcPr>
          <w:p w:rsidR="00070B3E" w:rsidRDefault="00A317B3">
            <w:pPr>
              <w:jc w:val="right"/>
            </w:pPr>
            <w:r>
              <w:rPr>
                <w:rFonts w:asciiTheme="minorEastAsia" w:eastAsiaTheme="minorEastAsia" w:hAnsiTheme="minorEastAsia" w:cs="宋体"/>
                <w:color w:val="000000" w:themeColor="text1"/>
                <w:kern w:val="0"/>
              </w:rPr>
              <w:t>124,200.00</w:t>
            </w:r>
          </w:p>
        </w:tc>
        <w:tc>
          <w:tcPr>
            <w:tcW w:w="1842" w:type="dxa"/>
            <w:vAlign w:val="center"/>
          </w:tcPr>
          <w:p w:rsidR="00070B3E" w:rsidRDefault="00A317B3">
            <w:pPr>
              <w:jc w:val="right"/>
            </w:pPr>
            <w:r>
              <w:rPr>
                <w:rFonts w:asciiTheme="minorEastAsia" w:eastAsiaTheme="minorEastAsia" w:hAnsiTheme="minorEastAsia" w:cs="宋体"/>
                <w:color w:val="000000" w:themeColor="text1"/>
                <w:kern w:val="0"/>
              </w:rPr>
              <w:t>541,512.00</w:t>
            </w:r>
          </w:p>
        </w:tc>
        <w:tc>
          <w:tcPr>
            <w:tcW w:w="1616" w:type="dxa"/>
            <w:vAlign w:val="center"/>
          </w:tcPr>
          <w:p w:rsidR="00070B3E" w:rsidRDefault="00A317B3">
            <w:pPr>
              <w:jc w:val="right"/>
            </w:pPr>
            <w:r>
              <w:rPr>
                <w:rFonts w:asciiTheme="minorEastAsia" w:eastAsiaTheme="minorEastAsia" w:hAnsiTheme="minorEastAsia" w:cs="宋体"/>
                <w:color w:val="000000" w:themeColor="text1"/>
                <w:kern w:val="0"/>
              </w:rPr>
              <w:t>4.04</w:t>
            </w:r>
          </w:p>
        </w:tc>
      </w:tr>
      <w:tr w:rsidR="00070B3E">
        <w:tc>
          <w:tcPr>
            <w:tcW w:w="817" w:type="dxa"/>
            <w:vAlign w:val="center"/>
          </w:tcPr>
          <w:p w:rsidR="00070B3E" w:rsidRDefault="00A317B3">
            <w:pPr>
              <w:jc w:val="center"/>
            </w:pPr>
            <w:r>
              <w:rPr>
                <w:rFonts w:asciiTheme="minorEastAsia" w:eastAsiaTheme="minorEastAsia" w:hAnsiTheme="minorEastAsia" w:cs="宋体"/>
                <w:color w:val="000000" w:themeColor="text1"/>
                <w:kern w:val="0"/>
              </w:rPr>
              <w:t>9</w:t>
            </w:r>
          </w:p>
        </w:tc>
        <w:tc>
          <w:tcPr>
            <w:tcW w:w="1276" w:type="dxa"/>
            <w:vAlign w:val="center"/>
          </w:tcPr>
          <w:p w:rsidR="00070B3E" w:rsidRDefault="00A317B3">
            <w:pPr>
              <w:jc w:val="center"/>
            </w:pPr>
            <w:r>
              <w:rPr>
                <w:rFonts w:asciiTheme="minorEastAsia" w:eastAsiaTheme="minorEastAsia" w:hAnsiTheme="minorEastAsia" w:cs="宋体"/>
                <w:color w:val="000000" w:themeColor="text1"/>
                <w:kern w:val="0"/>
              </w:rPr>
              <w:t>601865</w:t>
            </w:r>
          </w:p>
        </w:tc>
        <w:tc>
          <w:tcPr>
            <w:tcW w:w="1701" w:type="dxa"/>
            <w:vAlign w:val="center"/>
          </w:tcPr>
          <w:p w:rsidR="00070B3E" w:rsidRDefault="00A317B3">
            <w:pPr>
              <w:jc w:val="center"/>
            </w:pPr>
            <w:r>
              <w:rPr>
                <w:rFonts w:asciiTheme="minorEastAsia" w:eastAsiaTheme="minorEastAsia" w:hAnsiTheme="minorEastAsia" w:cs="宋体"/>
                <w:color w:val="000000" w:themeColor="text1"/>
                <w:kern w:val="0"/>
              </w:rPr>
              <w:t>福莱特</w:t>
            </w:r>
          </w:p>
        </w:tc>
        <w:tc>
          <w:tcPr>
            <w:tcW w:w="1276" w:type="dxa"/>
            <w:vAlign w:val="center"/>
          </w:tcPr>
          <w:p w:rsidR="00070B3E" w:rsidRDefault="00A317B3">
            <w:pPr>
              <w:jc w:val="right"/>
            </w:pPr>
            <w:r>
              <w:rPr>
                <w:rFonts w:asciiTheme="minorEastAsia" w:eastAsiaTheme="minorEastAsia" w:hAnsiTheme="minorEastAsia" w:cs="宋体"/>
                <w:color w:val="000000" w:themeColor="text1"/>
                <w:kern w:val="0"/>
              </w:rPr>
              <w:t>42,600.00</w:t>
            </w:r>
          </w:p>
        </w:tc>
        <w:tc>
          <w:tcPr>
            <w:tcW w:w="1842" w:type="dxa"/>
            <w:vAlign w:val="center"/>
          </w:tcPr>
          <w:p w:rsidR="00070B3E" w:rsidRDefault="00A317B3">
            <w:pPr>
              <w:jc w:val="right"/>
            </w:pPr>
            <w:r>
              <w:rPr>
                <w:rFonts w:asciiTheme="minorEastAsia" w:eastAsiaTheme="minorEastAsia" w:hAnsiTheme="minorEastAsia" w:cs="宋体"/>
                <w:color w:val="000000" w:themeColor="text1"/>
                <w:kern w:val="0"/>
              </w:rPr>
              <w:t>516,738.00</w:t>
            </w:r>
          </w:p>
        </w:tc>
        <w:tc>
          <w:tcPr>
            <w:tcW w:w="1616" w:type="dxa"/>
            <w:vAlign w:val="center"/>
          </w:tcPr>
          <w:p w:rsidR="00070B3E" w:rsidRDefault="00A317B3">
            <w:pPr>
              <w:jc w:val="right"/>
            </w:pPr>
            <w:r>
              <w:rPr>
                <w:rFonts w:asciiTheme="minorEastAsia" w:eastAsiaTheme="minorEastAsia" w:hAnsiTheme="minorEastAsia" w:cs="宋体"/>
                <w:color w:val="000000" w:themeColor="text1"/>
                <w:kern w:val="0"/>
              </w:rPr>
              <w:t>3.86</w:t>
            </w:r>
          </w:p>
        </w:tc>
      </w:tr>
      <w:tr w:rsidR="00070B3E">
        <w:tc>
          <w:tcPr>
            <w:tcW w:w="817" w:type="dxa"/>
            <w:vAlign w:val="center"/>
          </w:tcPr>
          <w:p w:rsidR="00070B3E" w:rsidRDefault="00A317B3">
            <w:pPr>
              <w:jc w:val="center"/>
            </w:pPr>
            <w:r>
              <w:rPr>
                <w:rFonts w:asciiTheme="minorEastAsia" w:eastAsiaTheme="minorEastAsia" w:hAnsiTheme="minorEastAsia" w:cs="宋体"/>
                <w:color w:val="000000" w:themeColor="text1"/>
                <w:kern w:val="0"/>
              </w:rPr>
              <w:t>10</w:t>
            </w:r>
          </w:p>
        </w:tc>
        <w:tc>
          <w:tcPr>
            <w:tcW w:w="1276" w:type="dxa"/>
            <w:vAlign w:val="center"/>
          </w:tcPr>
          <w:p w:rsidR="00070B3E" w:rsidRDefault="00A317B3">
            <w:pPr>
              <w:jc w:val="center"/>
            </w:pPr>
            <w:r>
              <w:rPr>
                <w:rFonts w:asciiTheme="minorEastAsia" w:eastAsiaTheme="minorEastAsia" w:hAnsiTheme="minorEastAsia" w:cs="宋体"/>
                <w:color w:val="000000" w:themeColor="text1"/>
                <w:kern w:val="0"/>
              </w:rPr>
              <w:t>300769</w:t>
            </w:r>
          </w:p>
        </w:tc>
        <w:tc>
          <w:tcPr>
            <w:tcW w:w="1701" w:type="dxa"/>
            <w:vAlign w:val="center"/>
          </w:tcPr>
          <w:p w:rsidR="00070B3E" w:rsidRDefault="00A317B3">
            <w:pPr>
              <w:jc w:val="center"/>
            </w:pPr>
            <w:r>
              <w:rPr>
                <w:rFonts w:asciiTheme="minorEastAsia" w:eastAsiaTheme="minorEastAsia" w:hAnsiTheme="minorEastAsia" w:cs="宋体"/>
                <w:color w:val="000000" w:themeColor="text1"/>
                <w:kern w:val="0"/>
              </w:rPr>
              <w:t>德方纳米</w:t>
            </w:r>
          </w:p>
        </w:tc>
        <w:tc>
          <w:tcPr>
            <w:tcW w:w="1276" w:type="dxa"/>
            <w:vAlign w:val="center"/>
          </w:tcPr>
          <w:p w:rsidR="00070B3E" w:rsidRDefault="00A317B3">
            <w:pPr>
              <w:jc w:val="right"/>
            </w:pPr>
            <w:r>
              <w:rPr>
                <w:rFonts w:asciiTheme="minorEastAsia" w:eastAsiaTheme="minorEastAsia" w:hAnsiTheme="minorEastAsia" w:cs="宋体"/>
                <w:color w:val="000000" w:themeColor="text1"/>
                <w:kern w:val="0"/>
              </w:rPr>
              <w:t>4,300.00</w:t>
            </w:r>
          </w:p>
        </w:tc>
        <w:tc>
          <w:tcPr>
            <w:tcW w:w="1842" w:type="dxa"/>
            <w:vAlign w:val="center"/>
          </w:tcPr>
          <w:p w:rsidR="00070B3E" w:rsidRDefault="00A317B3">
            <w:pPr>
              <w:jc w:val="right"/>
            </w:pPr>
            <w:r>
              <w:rPr>
                <w:rFonts w:asciiTheme="minorEastAsia" w:eastAsiaTheme="minorEastAsia" w:hAnsiTheme="minorEastAsia" w:cs="宋体"/>
                <w:color w:val="000000" w:themeColor="text1"/>
                <w:kern w:val="0"/>
              </w:rPr>
              <w:t>489,727.00</w:t>
            </w:r>
          </w:p>
        </w:tc>
        <w:tc>
          <w:tcPr>
            <w:tcW w:w="1616" w:type="dxa"/>
            <w:vAlign w:val="center"/>
          </w:tcPr>
          <w:p w:rsidR="00070B3E" w:rsidRDefault="00A317B3">
            <w:pPr>
              <w:jc w:val="right"/>
            </w:pPr>
            <w:r>
              <w:rPr>
                <w:rFonts w:asciiTheme="minorEastAsia" w:eastAsiaTheme="minorEastAsia" w:hAnsiTheme="minorEastAsia" w:cs="宋体"/>
                <w:color w:val="000000" w:themeColor="text1"/>
                <w:kern w:val="0"/>
              </w:rPr>
              <w:t>3.66</w:t>
            </w:r>
          </w:p>
        </w:tc>
      </w:tr>
    </w:tbl>
    <w:p w:rsidR="00070B3E" w:rsidRDefault="00070B3E">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070B3E" w:rsidRDefault="00070B3E">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070B3E" w:rsidRDefault="00070B3E">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070B3E" w:rsidRDefault="00A317B3">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070B3E" w:rsidRDefault="00070B3E">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070B3E" w:rsidRDefault="00070B3E">
      <w:pPr>
        <w:adjustRightInd w:val="0"/>
        <w:snapToGrid w:val="0"/>
        <w:spacing w:line="360" w:lineRule="exact"/>
        <w:rPr>
          <w:rFonts w:asciiTheme="minorEastAsia" w:eastAsiaTheme="minorEastAsia" w:hAnsiTheme="minorEastAsia"/>
          <w:color w:val="000000" w:themeColor="text1"/>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070B3E" w:rsidRDefault="00A317B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本基金投资的前十名证券的发行主体本期未出现被监管部门立案调查，或在报告编制日前一年内受到公开谴责、处罚的情形。</w:t>
      </w:r>
    </w:p>
    <w:p w:rsidR="00070B3E" w:rsidRDefault="00A317B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070B3E">
        <w:tc>
          <w:tcPr>
            <w:tcW w:w="1235"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070B3E" w:rsidRDefault="00A317B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070B3E">
        <w:tc>
          <w:tcPr>
            <w:tcW w:w="1235" w:type="dxa"/>
            <w:vAlign w:val="center"/>
          </w:tcPr>
          <w:p w:rsidR="00070B3E" w:rsidRDefault="00A317B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070B3E" w:rsidRDefault="00A317B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070B3E" w:rsidRDefault="00A317B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24,204.27</w:t>
            </w:r>
          </w:p>
        </w:tc>
      </w:tr>
      <w:tr w:rsidR="00070B3E">
        <w:tc>
          <w:tcPr>
            <w:tcW w:w="1235" w:type="dxa"/>
            <w:vAlign w:val="center"/>
          </w:tcPr>
          <w:p w:rsidR="00070B3E" w:rsidRDefault="00A317B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070B3E" w:rsidRDefault="00A317B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070B3E" w:rsidRDefault="00A317B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70B3E">
        <w:tc>
          <w:tcPr>
            <w:tcW w:w="1235" w:type="dxa"/>
            <w:vAlign w:val="center"/>
          </w:tcPr>
          <w:p w:rsidR="00070B3E" w:rsidRDefault="00A317B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070B3E" w:rsidRDefault="00A317B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070B3E" w:rsidRDefault="00A317B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70B3E">
        <w:tc>
          <w:tcPr>
            <w:tcW w:w="1235" w:type="dxa"/>
            <w:vAlign w:val="center"/>
          </w:tcPr>
          <w:p w:rsidR="00070B3E" w:rsidRDefault="00A317B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070B3E" w:rsidRDefault="00A317B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070B3E" w:rsidRDefault="00A317B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331.06</w:t>
            </w:r>
          </w:p>
        </w:tc>
      </w:tr>
      <w:tr w:rsidR="00070B3E">
        <w:tc>
          <w:tcPr>
            <w:tcW w:w="1235" w:type="dxa"/>
            <w:vAlign w:val="center"/>
          </w:tcPr>
          <w:p w:rsidR="00070B3E" w:rsidRDefault="00A317B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070B3E" w:rsidRDefault="00A317B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070B3E" w:rsidRDefault="00A317B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52,965.64</w:t>
            </w:r>
          </w:p>
        </w:tc>
      </w:tr>
      <w:tr w:rsidR="00070B3E">
        <w:tc>
          <w:tcPr>
            <w:tcW w:w="1235" w:type="dxa"/>
            <w:vAlign w:val="center"/>
          </w:tcPr>
          <w:p w:rsidR="00070B3E" w:rsidRDefault="00A317B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070B3E" w:rsidRDefault="00A317B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070B3E" w:rsidRDefault="00A317B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70B3E">
        <w:tc>
          <w:tcPr>
            <w:tcW w:w="1235" w:type="dxa"/>
            <w:vAlign w:val="center"/>
          </w:tcPr>
          <w:p w:rsidR="00070B3E" w:rsidRDefault="00A317B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070B3E" w:rsidRDefault="00A317B3">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070B3E" w:rsidRDefault="00A317B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070B3E">
        <w:tc>
          <w:tcPr>
            <w:tcW w:w="1235" w:type="dxa"/>
            <w:vAlign w:val="center"/>
          </w:tcPr>
          <w:p w:rsidR="00070B3E" w:rsidRDefault="00A317B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070B3E" w:rsidRDefault="00A317B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070B3E" w:rsidRDefault="00A317B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70B3E">
        <w:tc>
          <w:tcPr>
            <w:tcW w:w="1235" w:type="dxa"/>
            <w:vAlign w:val="center"/>
          </w:tcPr>
          <w:p w:rsidR="00070B3E" w:rsidRDefault="00A317B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070B3E" w:rsidRDefault="00A317B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070B3E" w:rsidRDefault="00A317B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77,500.97</w:t>
            </w:r>
          </w:p>
        </w:tc>
      </w:tr>
    </w:tbl>
    <w:p w:rsidR="00070B3E" w:rsidRDefault="00070B3E">
      <w:pPr>
        <w:autoSpaceDE w:val="0"/>
        <w:autoSpaceDN w:val="0"/>
        <w:adjustRightInd w:val="0"/>
        <w:spacing w:line="360" w:lineRule="auto"/>
        <w:rPr>
          <w:rFonts w:asciiTheme="minorEastAsia" w:eastAsiaTheme="minorEastAsia" w:hAnsiTheme="minorEastAsia"/>
          <w:color w:val="000000" w:themeColor="text1"/>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070B3E" w:rsidRDefault="00070B3E">
      <w:pPr>
        <w:autoSpaceDE w:val="0"/>
        <w:autoSpaceDN w:val="0"/>
        <w:adjustRightInd w:val="0"/>
        <w:spacing w:line="360" w:lineRule="auto"/>
        <w:rPr>
          <w:rFonts w:asciiTheme="minorEastAsia" w:eastAsiaTheme="minorEastAsia" w:hAnsiTheme="minorEastAsia"/>
          <w:color w:val="000000" w:themeColor="text1"/>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tbl>
      <w:tblPr>
        <w:tblStyle w:val="aff4"/>
        <w:tblW w:w="8513" w:type="dxa"/>
        <w:tblInd w:w="15" w:type="dxa"/>
        <w:tblLayout w:type="fixed"/>
        <w:tblLook w:val="04A0" w:firstRow="1" w:lastRow="0" w:firstColumn="1" w:lastColumn="0" w:noHBand="0" w:noVBand="1"/>
      </w:tblPr>
      <w:tblGrid>
        <w:gridCol w:w="1083"/>
        <w:gridCol w:w="1302"/>
        <w:gridCol w:w="1301"/>
        <w:gridCol w:w="1805"/>
        <w:gridCol w:w="1655"/>
        <w:gridCol w:w="1367"/>
      </w:tblGrid>
      <w:tr w:rsidR="00070B3E">
        <w:tc>
          <w:tcPr>
            <w:tcW w:w="1083"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02"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301"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805"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流通受限部分的公允价值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55"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c>
          <w:tcPr>
            <w:tcW w:w="1367" w:type="dxa"/>
            <w:vAlign w:val="center"/>
          </w:tcPr>
          <w:p w:rsidR="00070B3E" w:rsidRDefault="00A317B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流通受限情况说明</w:t>
            </w:r>
          </w:p>
        </w:tc>
      </w:tr>
      <w:tr w:rsidR="00070B3E">
        <w:tc>
          <w:tcPr>
            <w:tcW w:w="1083" w:type="dxa"/>
            <w:vAlign w:val="center"/>
          </w:tcPr>
          <w:p w:rsidR="00070B3E" w:rsidRDefault="00A317B3">
            <w:pPr>
              <w:jc w:val="center"/>
            </w:pPr>
            <w:r>
              <w:rPr>
                <w:rFonts w:asciiTheme="minorEastAsia" w:eastAsiaTheme="minorEastAsia" w:hAnsiTheme="minorEastAsia" w:cs="宋体"/>
                <w:color w:val="000000" w:themeColor="text1"/>
                <w:kern w:val="0"/>
              </w:rPr>
              <w:t>1</w:t>
            </w:r>
          </w:p>
        </w:tc>
        <w:tc>
          <w:tcPr>
            <w:tcW w:w="1302" w:type="dxa"/>
            <w:vAlign w:val="center"/>
          </w:tcPr>
          <w:p w:rsidR="00070B3E" w:rsidRDefault="00A317B3">
            <w:pPr>
              <w:jc w:val="center"/>
            </w:pPr>
            <w:r>
              <w:rPr>
                <w:rFonts w:asciiTheme="minorEastAsia" w:eastAsiaTheme="minorEastAsia" w:hAnsiTheme="minorEastAsia" w:cs="宋体"/>
                <w:color w:val="000000" w:themeColor="text1"/>
                <w:kern w:val="0"/>
              </w:rPr>
              <w:t>603799</w:t>
            </w:r>
          </w:p>
        </w:tc>
        <w:tc>
          <w:tcPr>
            <w:tcW w:w="1301" w:type="dxa"/>
            <w:vAlign w:val="center"/>
          </w:tcPr>
          <w:p w:rsidR="00070B3E" w:rsidRDefault="00A317B3">
            <w:pPr>
              <w:jc w:val="center"/>
            </w:pPr>
            <w:r>
              <w:rPr>
                <w:rFonts w:asciiTheme="minorEastAsia" w:eastAsiaTheme="minorEastAsia" w:hAnsiTheme="minorEastAsia" w:cs="宋体"/>
                <w:color w:val="000000" w:themeColor="text1"/>
                <w:kern w:val="0"/>
              </w:rPr>
              <w:t>华友钴业</w:t>
            </w:r>
          </w:p>
        </w:tc>
        <w:tc>
          <w:tcPr>
            <w:tcW w:w="1805" w:type="dxa"/>
            <w:vAlign w:val="center"/>
          </w:tcPr>
          <w:p w:rsidR="00070B3E" w:rsidRDefault="00A317B3">
            <w:pPr>
              <w:jc w:val="right"/>
            </w:pPr>
            <w:r>
              <w:rPr>
                <w:rFonts w:asciiTheme="minorEastAsia" w:eastAsiaTheme="minorEastAsia" w:hAnsiTheme="minorEastAsia" w:cs="宋体"/>
                <w:color w:val="000000" w:themeColor="text1"/>
                <w:kern w:val="0"/>
              </w:rPr>
              <w:t>622,362.00</w:t>
            </w:r>
          </w:p>
        </w:tc>
        <w:tc>
          <w:tcPr>
            <w:tcW w:w="1655" w:type="dxa"/>
            <w:vAlign w:val="center"/>
          </w:tcPr>
          <w:p w:rsidR="00070B3E" w:rsidRDefault="00A317B3">
            <w:pPr>
              <w:jc w:val="right"/>
            </w:pPr>
            <w:r>
              <w:rPr>
                <w:rFonts w:asciiTheme="minorEastAsia" w:eastAsiaTheme="minorEastAsia" w:hAnsiTheme="minorEastAsia" w:cs="宋体"/>
                <w:color w:val="000000" w:themeColor="text1"/>
                <w:kern w:val="0"/>
              </w:rPr>
              <w:t>4.65</w:t>
            </w:r>
          </w:p>
        </w:tc>
        <w:tc>
          <w:tcPr>
            <w:tcW w:w="1367" w:type="dxa"/>
            <w:vAlign w:val="center"/>
          </w:tcPr>
          <w:p w:rsidR="00070B3E" w:rsidRDefault="00A317B3">
            <w:pPr>
              <w:jc w:val="right"/>
            </w:pPr>
            <w:r>
              <w:rPr>
                <w:rFonts w:asciiTheme="minorEastAsia" w:eastAsiaTheme="minorEastAsia" w:hAnsiTheme="minorEastAsia" w:cs="宋体"/>
                <w:color w:val="000000" w:themeColor="text1"/>
                <w:kern w:val="0"/>
              </w:rPr>
              <w:t>筹划重大事项</w:t>
            </w:r>
          </w:p>
        </w:tc>
      </w:tr>
      <w:tr w:rsidR="00070B3E">
        <w:tc>
          <w:tcPr>
            <w:tcW w:w="1083" w:type="dxa"/>
            <w:vAlign w:val="center"/>
          </w:tcPr>
          <w:p w:rsidR="00070B3E" w:rsidRDefault="00A317B3">
            <w:pPr>
              <w:jc w:val="center"/>
            </w:pPr>
            <w:r>
              <w:rPr>
                <w:rFonts w:asciiTheme="minorEastAsia" w:eastAsiaTheme="minorEastAsia" w:hAnsiTheme="minorEastAsia" w:cs="宋体"/>
                <w:color w:val="000000" w:themeColor="text1"/>
                <w:kern w:val="0"/>
              </w:rPr>
              <w:t>2</w:t>
            </w:r>
          </w:p>
        </w:tc>
        <w:tc>
          <w:tcPr>
            <w:tcW w:w="1302" w:type="dxa"/>
            <w:vAlign w:val="center"/>
          </w:tcPr>
          <w:p w:rsidR="00070B3E" w:rsidRDefault="00A317B3">
            <w:pPr>
              <w:jc w:val="center"/>
            </w:pPr>
            <w:r>
              <w:rPr>
                <w:rFonts w:asciiTheme="minorEastAsia" w:eastAsiaTheme="minorEastAsia" w:hAnsiTheme="minorEastAsia" w:cs="宋体"/>
                <w:color w:val="000000" w:themeColor="text1"/>
                <w:kern w:val="0"/>
              </w:rPr>
              <w:t>003816</w:t>
            </w:r>
          </w:p>
        </w:tc>
        <w:tc>
          <w:tcPr>
            <w:tcW w:w="1301" w:type="dxa"/>
            <w:vAlign w:val="center"/>
          </w:tcPr>
          <w:p w:rsidR="00070B3E" w:rsidRDefault="00A317B3">
            <w:pPr>
              <w:jc w:val="center"/>
            </w:pPr>
            <w:r>
              <w:rPr>
                <w:rFonts w:asciiTheme="minorEastAsia" w:eastAsiaTheme="minorEastAsia" w:hAnsiTheme="minorEastAsia" w:cs="宋体"/>
                <w:color w:val="000000" w:themeColor="text1"/>
                <w:kern w:val="0"/>
              </w:rPr>
              <w:t>中国广核</w:t>
            </w:r>
          </w:p>
        </w:tc>
        <w:tc>
          <w:tcPr>
            <w:tcW w:w="1805" w:type="dxa"/>
            <w:vAlign w:val="center"/>
          </w:tcPr>
          <w:p w:rsidR="00070B3E" w:rsidRDefault="00A317B3">
            <w:pPr>
              <w:jc w:val="right"/>
            </w:pPr>
            <w:r>
              <w:rPr>
                <w:rFonts w:asciiTheme="minorEastAsia" w:eastAsiaTheme="minorEastAsia" w:hAnsiTheme="minorEastAsia" w:cs="宋体"/>
                <w:color w:val="000000" w:themeColor="text1"/>
                <w:kern w:val="0"/>
              </w:rPr>
              <w:t>1,728,</w:t>
            </w:r>
            <w:r>
              <w:rPr>
                <w:rFonts w:asciiTheme="minorEastAsia" w:eastAsiaTheme="minorEastAsia" w:hAnsiTheme="minorEastAsia" w:cs="宋体" w:hint="eastAsia"/>
                <w:color w:val="000000" w:themeColor="text1"/>
                <w:kern w:val="0"/>
              </w:rPr>
              <w:t>037</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7</w:t>
            </w:r>
          </w:p>
        </w:tc>
        <w:tc>
          <w:tcPr>
            <w:tcW w:w="1655" w:type="dxa"/>
            <w:vAlign w:val="center"/>
          </w:tcPr>
          <w:p w:rsidR="00070B3E" w:rsidRDefault="00A317B3">
            <w:pPr>
              <w:jc w:val="right"/>
            </w:pPr>
            <w:r>
              <w:rPr>
                <w:rFonts w:asciiTheme="minorEastAsia" w:eastAsiaTheme="minorEastAsia" w:hAnsiTheme="minorEastAsia" w:cs="宋体"/>
                <w:color w:val="000000" w:themeColor="text1"/>
                <w:kern w:val="0"/>
              </w:rPr>
              <w:t>12.90</w:t>
            </w:r>
          </w:p>
        </w:tc>
        <w:tc>
          <w:tcPr>
            <w:tcW w:w="1367" w:type="dxa"/>
            <w:vAlign w:val="center"/>
          </w:tcPr>
          <w:p w:rsidR="00070B3E" w:rsidRDefault="00A317B3">
            <w:pPr>
              <w:jc w:val="right"/>
            </w:pPr>
            <w:r>
              <w:rPr>
                <w:rFonts w:asciiTheme="minorEastAsia" w:eastAsiaTheme="minorEastAsia" w:hAnsiTheme="minorEastAsia" w:cs="宋体"/>
                <w:color w:val="000000" w:themeColor="text1"/>
                <w:kern w:val="0"/>
              </w:rPr>
              <w:t>筹划重大事项</w:t>
            </w:r>
          </w:p>
        </w:tc>
      </w:tr>
    </w:tbl>
    <w:p w:rsidR="00070B3E" w:rsidRDefault="00070B3E">
      <w:pPr>
        <w:autoSpaceDE w:val="0"/>
        <w:autoSpaceDN w:val="0"/>
        <w:adjustRightInd w:val="0"/>
        <w:spacing w:line="360" w:lineRule="auto"/>
        <w:rPr>
          <w:rFonts w:asciiTheme="minorEastAsia" w:eastAsiaTheme="minorEastAsia" w:hAnsiTheme="minorEastAsia"/>
          <w:color w:val="000000" w:themeColor="text1"/>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070B3E" w:rsidRDefault="00A317B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070B3E" w:rsidRDefault="00A317B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070B3E">
        <w:tc>
          <w:tcPr>
            <w:tcW w:w="4609" w:type="dxa"/>
            <w:tcBorders>
              <w:top w:val="single" w:sz="8" w:space="0" w:color="000000"/>
              <w:left w:val="single" w:sz="8" w:space="0" w:color="000000"/>
              <w:bottom w:val="single" w:sz="8" w:space="0" w:color="000000"/>
              <w:right w:val="single" w:sz="8" w:space="0" w:color="000000"/>
            </w:tcBorders>
            <w:vAlign w:val="center"/>
          </w:tcPr>
          <w:p w:rsidR="00070B3E" w:rsidRDefault="00A317B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70B3E" w:rsidRDefault="00A317B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17,603,019.58</w:t>
            </w:r>
          </w:p>
        </w:tc>
      </w:tr>
      <w:tr w:rsidR="00070B3E">
        <w:tc>
          <w:tcPr>
            <w:tcW w:w="4609" w:type="dxa"/>
            <w:tcBorders>
              <w:top w:val="single" w:sz="8" w:space="0" w:color="000000"/>
              <w:left w:val="single" w:sz="8" w:space="0" w:color="000000"/>
              <w:bottom w:val="single" w:sz="8" w:space="0" w:color="000000"/>
              <w:right w:val="single" w:sz="8" w:space="0" w:color="000000"/>
            </w:tcBorders>
            <w:vAlign w:val="center"/>
          </w:tcPr>
          <w:p w:rsidR="00070B3E" w:rsidRDefault="00A317B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70B3E" w:rsidRDefault="00A317B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849,045.58</w:t>
            </w:r>
          </w:p>
        </w:tc>
      </w:tr>
      <w:tr w:rsidR="00070B3E">
        <w:tc>
          <w:tcPr>
            <w:tcW w:w="4609" w:type="dxa"/>
            <w:tcBorders>
              <w:top w:val="single" w:sz="8" w:space="0" w:color="000000"/>
              <w:left w:val="single" w:sz="8" w:space="0" w:color="000000"/>
              <w:bottom w:val="single" w:sz="8" w:space="0" w:color="000000"/>
              <w:right w:val="single" w:sz="8" w:space="0" w:color="000000"/>
            </w:tcBorders>
            <w:vAlign w:val="center"/>
          </w:tcPr>
          <w:p w:rsidR="00070B3E" w:rsidRDefault="00A317B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70B3E" w:rsidRDefault="00A317B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7,299,517.25</w:t>
            </w:r>
          </w:p>
        </w:tc>
      </w:tr>
      <w:tr w:rsidR="00070B3E">
        <w:tc>
          <w:tcPr>
            <w:tcW w:w="4609" w:type="dxa"/>
            <w:tcBorders>
              <w:top w:val="single" w:sz="8" w:space="0" w:color="000000"/>
              <w:left w:val="single" w:sz="8" w:space="0" w:color="000000"/>
              <w:bottom w:val="single" w:sz="8" w:space="0" w:color="000000"/>
              <w:right w:val="single" w:sz="8" w:space="0" w:color="000000"/>
            </w:tcBorders>
            <w:vAlign w:val="center"/>
          </w:tcPr>
          <w:p w:rsidR="00070B3E" w:rsidRDefault="00A317B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70B3E" w:rsidRDefault="00A317B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070B3E">
        <w:tc>
          <w:tcPr>
            <w:tcW w:w="4609" w:type="dxa"/>
            <w:tcBorders>
              <w:top w:val="single" w:sz="8" w:space="0" w:color="000000"/>
              <w:left w:val="single" w:sz="8" w:space="0" w:color="000000"/>
              <w:bottom w:val="single" w:sz="8" w:space="0" w:color="000000"/>
              <w:right w:val="single" w:sz="8" w:space="0" w:color="000000"/>
            </w:tcBorders>
            <w:vAlign w:val="center"/>
          </w:tcPr>
          <w:p w:rsidR="00070B3E" w:rsidRDefault="00A317B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70B3E" w:rsidRDefault="00A317B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11,152,547.91</w:t>
            </w:r>
          </w:p>
        </w:tc>
      </w:tr>
    </w:tbl>
    <w:p w:rsidR="00070B3E" w:rsidRDefault="00A317B3">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070B3E" w:rsidRDefault="00A317B3">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070B3E" w:rsidRDefault="00A317B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070B3E" w:rsidRDefault="00070B3E">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070B3E" w:rsidRDefault="00A317B3">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1、中国证监会准予上投摩根动力精选混合型证券投资基金注册的文件； </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2、《上投摩根动力精选混合型证券投资基金基金合同》； </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3、《上投摩根动力精选混合型证券投资基金托管协议》； </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4、《上投摩根开放式基金业务规则》； </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5、基金管理人业务资格批件、营业执照； </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6、基金托管人业务资格批件和营业执照。</w:t>
      </w:r>
    </w:p>
    <w:p w:rsidR="00070B3E" w:rsidRDefault="00070B3E">
      <w:pPr>
        <w:spacing w:line="360" w:lineRule="auto"/>
        <w:ind w:firstLineChars="200" w:firstLine="480"/>
        <w:rPr>
          <w:rFonts w:asciiTheme="minorEastAsia" w:eastAsiaTheme="minorEastAsia" w:hAnsiTheme="minorEastAsia"/>
          <w:color w:val="000000" w:themeColor="text1"/>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070B3E" w:rsidRDefault="00070B3E">
      <w:pPr>
        <w:spacing w:line="360" w:lineRule="auto"/>
        <w:ind w:firstLineChars="200" w:firstLine="480"/>
        <w:rPr>
          <w:rFonts w:asciiTheme="minorEastAsia" w:eastAsiaTheme="minorEastAsia" w:hAnsiTheme="minorEastAsia"/>
          <w:color w:val="000000" w:themeColor="text1"/>
          <w:sz w:val="24"/>
          <w:szCs w:val="24"/>
        </w:rPr>
      </w:pPr>
    </w:p>
    <w:p w:rsidR="00070B3E" w:rsidRDefault="00A317B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070B3E" w:rsidRDefault="00A317B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070B3E" w:rsidRDefault="00070B3E">
      <w:pPr>
        <w:spacing w:line="360" w:lineRule="auto"/>
        <w:ind w:left="840"/>
        <w:jc w:val="right"/>
        <w:rPr>
          <w:rFonts w:asciiTheme="minorEastAsia" w:eastAsiaTheme="minorEastAsia" w:hAnsiTheme="minorEastAsia"/>
          <w:color w:val="000000" w:themeColor="text1"/>
          <w:sz w:val="24"/>
          <w:szCs w:val="24"/>
        </w:rPr>
      </w:pPr>
    </w:p>
    <w:p w:rsidR="00070B3E" w:rsidRDefault="00070B3E">
      <w:pPr>
        <w:spacing w:line="360" w:lineRule="auto"/>
        <w:ind w:left="840"/>
        <w:jc w:val="right"/>
        <w:rPr>
          <w:rFonts w:asciiTheme="minorEastAsia" w:eastAsiaTheme="minorEastAsia" w:hAnsiTheme="minorEastAsia"/>
          <w:color w:val="000000" w:themeColor="text1"/>
          <w:sz w:val="24"/>
          <w:szCs w:val="24"/>
        </w:rPr>
      </w:pPr>
    </w:p>
    <w:p w:rsidR="00070B3E" w:rsidRDefault="00070B3E">
      <w:pPr>
        <w:spacing w:line="360" w:lineRule="auto"/>
        <w:ind w:left="840"/>
        <w:jc w:val="right"/>
        <w:rPr>
          <w:rFonts w:asciiTheme="minorEastAsia" w:eastAsiaTheme="minorEastAsia" w:hAnsiTheme="minorEastAsia"/>
          <w:color w:val="000000" w:themeColor="text1"/>
          <w:sz w:val="24"/>
          <w:szCs w:val="24"/>
        </w:rPr>
      </w:pPr>
    </w:p>
    <w:p w:rsidR="00070B3E" w:rsidRDefault="00070B3E">
      <w:pPr>
        <w:spacing w:line="360" w:lineRule="auto"/>
        <w:ind w:left="840"/>
        <w:jc w:val="right"/>
        <w:rPr>
          <w:rFonts w:asciiTheme="minorEastAsia" w:eastAsiaTheme="minorEastAsia" w:hAnsiTheme="minorEastAsia"/>
          <w:color w:val="000000" w:themeColor="text1"/>
          <w:sz w:val="24"/>
          <w:szCs w:val="24"/>
        </w:rPr>
      </w:pPr>
    </w:p>
    <w:p w:rsidR="00070B3E" w:rsidRDefault="00070B3E">
      <w:pPr>
        <w:spacing w:line="360" w:lineRule="auto"/>
        <w:ind w:left="840"/>
        <w:jc w:val="right"/>
        <w:rPr>
          <w:rFonts w:asciiTheme="minorEastAsia" w:eastAsiaTheme="minorEastAsia" w:hAnsiTheme="minorEastAsia"/>
          <w:color w:val="000000" w:themeColor="text1"/>
          <w:sz w:val="24"/>
          <w:szCs w:val="24"/>
        </w:rPr>
      </w:pPr>
    </w:p>
    <w:p w:rsidR="00070B3E" w:rsidRDefault="00070B3E">
      <w:pPr>
        <w:spacing w:line="360" w:lineRule="auto"/>
        <w:ind w:left="840"/>
        <w:jc w:val="right"/>
        <w:rPr>
          <w:rFonts w:asciiTheme="minorEastAsia" w:eastAsiaTheme="minorEastAsia" w:hAnsiTheme="minorEastAsia"/>
          <w:color w:val="000000" w:themeColor="text1"/>
          <w:sz w:val="24"/>
          <w:szCs w:val="24"/>
        </w:rPr>
      </w:pPr>
    </w:p>
    <w:p w:rsidR="00070B3E" w:rsidRDefault="00070B3E">
      <w:pPr>
        <w:spacing w:line="360" w:lineRule="auto"/>
        <w:ind w:left="840"/>
        <w:jc w:val="right"/>
        <w:rPr>
          <w:rFonts w:asciiTheme="minorEastAsia" w:eastAsiaTheme="minorEastAsia" w:hAnsiTheme="minorEastAsia"/>
          <w:color w:val="000000" w:themeColor="text1"/>
          <w:sz w:val="24"/>
          <w:szCs w:val="24"/>
        </w:rPr>
      </w:pPr>
    </w:p>
    <w:p w:rsidR="00070B3E" w:rsidRDefault="00070B3E">
      <w:pPr>
        <w:spacing w:line="360" w:lineRule="auto"/>
        <w:ind w:left="840"/>
        <w:jc w:val="right"/>
        <w:rPr>
          <w:rFonts w:asciiTheme="minorEastAsia" w:eastAsiaTheme="minorEastAsia" w:hAnsiTheme="minorEastAsia"/>
          <w:color w:val="000000" w:themeColor="text1"/>
          <w:sz w:val="24"/>
          <w:szCs w:val="24"/>
        </w:rPr>
      </w:pPr>
    </w:p>
    <w:p w:rsidR="00070B3E" w:rsidRDefault="00A317B3">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070B3E" w:rsidRDefault="00A317B3">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070B3E" w:rsidRDefault="00070B3E">
      <w:pPr>
        <w:spacing w:line="360" w:lineRule="auto"/>
        <w:ind w:left="840"/>
        <w:jc w:val="right"/>
        <w:rPr>
          <w:rFonts w:asciiTheme="minorEastAsia" w:eastAsiaTheme="minorEastAsia" w:hAnsiTheme="minorEastAsia"/>
          <w:b/>
          <w:bCs/>
          <w:color w:val="000000" w:themeColor="text1"/>
          <w:sz w:val="24"/>
          <w:szCs w:val="24"/>
        </w:rPr>
      </w:pPr>
    </w:p>
    <w:p w:rsidR="00070B3E" w:rsidRDefault="00070B3E">
      <w:pPr>
        <w:rPr>
          <w:rFonts w:asciiTheme="minorEastAsia" w:eastAsiaTheme="minorEastAsia" w:hAnsiTheme="minorEastAsia"/>
          <w:color w:val="000000" w:themeColor="text1"/>
          <w:sz w:val="24"/>
          <w:szCs w:val="24"/>
        </w:rPr>
      </w:pPr>
    </w:p>
    <w:sectPr w:rsidR="00070B3E">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F0" w:rsidRDefault="00A317B3">
      <w:r>
        <w:separator/>
      </w:r>
    </w:p>
  </w:endnote>
  <w:endnote w:type="continuationSeparator" w:id="0">
    <w:p w:rsidR="00040CF0" w:rsidRDefault="00A3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3E" w:rsidRDefault="00A317B3">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B31065" w:rsidRPr="00B31065">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3E" w:rsidRDefault="00A317B3">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B31065">
      <w:rPr>
        <w:rStyle w:val="aff"/>
        <w:noProof/>
      </w:rPr>
      <w:t>6</w:t>
    </w:r>
    <w:r>
      <w:rPr>
        <w:rStyle w:val="aff"/>
      </w:rPr>
      <w:fldChar w:fldCharType="end"/>
    </w:r>
  </w:p>
  <w:p w:rsidR="00070B3E" w:rsidRDefault="00070B3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F0" w:rsidRDefault="00A317B3">
      <w:r>
        <w:separator/>
      </w:r>
    </w:p>
  </w:footnote>
  <w:footnote w:type="continuationSeparator" w:id="0">
    <w:p w:rsidR="00040CF0" w:rsidRDefault="00A31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3E" w:rsidRDefault="00A317B3">
    <w:pPr>
      <w:pStyle w:val="af6"/>
      <w:pBdr>
        <w:bottom w:val="single" w:sz="6" w:space="0" w:color="auto"/>
      </w:pBdr>
      <w:jc w:val="right"/>
    </w:pPr>
    <w:r>
      <w:rPr>
        <w:rFonts w:hint="eastAsia"/>
      </w:rPr>
      <w:t>上投摩根动力精选混合型证券投资基金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0CF0"/>
    <w:rsid w:val="00043852"/>
    <w:rsid w:val="000450DD"/>
    <w:rsid w:val="000463DE"/>
    <w:rsid w:val="00070B3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9466B"/>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45AFD"/>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317B3"/>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1065"/>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C1412E-0E7F-4575-9E3A-87F1E6B2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28DABA-59CC-4CF9-B284-2B8BE519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Patrick.Jin</cp:lastModifiedBy>
  <cp:revision>268</cp:revision>
  <dcterms:created xsi:type="dcterms:W3CDTF">2012-10-16T06:07:00Z</dcterms:created>
  <dcterms:modified xsi:type="dcterms:W3CDTF">2020-01-17T09:03:00Z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