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3398F" w:rsidRDefault="00397616" w:rsidP="00397616">
      <w:pPr>
        <w:autoSpaceDE w:val="0"/>
        <w:autoSpaceDN w:val="0"/>
        <w:adjustRightInd w:val="0"/>
        <w:spacing w:line="360" w:lineRule="auto"/>
        <w:jc w:val="left"/>
        <w:rPr>
          <w:rFonts w:eastAsiaTheme="minorEastAsia" w:hint="eastAsia"/>
          <w:color w:val="000000" w:themeColor="text1"/>
          <w:kern w:val="0"/>
          <w:sz w:val="24"/>
        </w:rPr>
      </w:pPr>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摩根欧洲动力策略股票型证</w:t>
      </w:r>
      <w:bookmarkStart w:id="0" w:name="_GoBack"/>
      <w:bookmarkEnd w:id="0"/>
      <w:r w:rsidRPr="00A3398F">
        <w:rPr>
          <w:rFonts w:eastAsiaTheme="minorEastAsia"/>
          <w:b/>
          <w:color w:val="000000" w:themeColor="text1"/>
          <w:sz w:val="36"/>
          <w:szCs w:val="36"/>
        </w:rPr>
        <w:t>券投资基金</w:t>
      </w:r>
      <w:r w:rsidRPr="00A3398F">
        <w:rPr>
          <w:rFonts w:eastAsiaTheme="minorEastAsia"/>
          <w:b/>
          <w:color w:val="000000" w:themeColor="text1"/>
          <w:sz w:val="36"/>
          <w:szCs w:val="36"/>
        </w:rPr>
        <w:t>(QDII)</w:t>
      </w: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2023</w:t>
      </w:r>
      <w:r w:rsidRPr="00A3398F">
        <w:rPr>
          <w:rFonts w:eastAsiaTheme="minorEastAsia"/>
          <w:b/>
          <w:color w:val="000000" w:themeColor="text1"/>
          <w:sz w:val="36"/>
          <w:szCs w:val="36"/>
        </w:rPr>
        <w:t>年第</w:t>
      </w:r>
      <w:r w:rsidRPr="00A3398F">
        <w:rPr>
          <w:rFonts w:eastAsiaTheme="minorEastAsia"/>
          <w:b/>
          <w:color w:val="000000" w:themeColor="text1"/>
          <w:sz w:val="36"/>
          <w:szCs w:val="36"/>
        </w:rPr>
        <w:t>4</w:t>
      </w:r>
      <w:r w:rsidRPr="00A3398F">
        <w:rPr>
          <w:rFonts w:eastAsiaTheme="minorEastAsia"/>
          <w:b/>
          <w:color w:val="000000" w:themeColor="text1"/>
          <w:sz w:val="36"/>
          <w:szCs w:val="36"/>
        </w:rPr>
        <w:t>季度报告</w:t>
      </w:r>
    </w:p>
    <w:p w:rsidR="00397616" w:rsidRPr="00A3398F" w:rsidRDefault="00623556" w:rsidP="00506D57">
      <w:pPr>
        <w:spacing w:line="360" w:lineRule="auto"/>
        <w:jc w:val="center"/>
        <w:rPr>
          <w:rFonts w:eastAsiaTheme="minorEastAsia"/>
          <w:b/>
          <w:color w:val="000000" w:themeColor="text1"/>
          <w:sz w:val="24"/>
        </w:rPr>
      </w:pPr>
      <w:r w:rsidRPr="00A3398F">
        <w:rPr>
          <w:rFonts w:eastAsiaTheme="minorEastAsia"/>
          <w:b/>
          <w:color w:val="000000" w:themeColor="text1"/>
          <w:sz w:val="24"/>
        </w:rPr>
        <w:t>2023</w:t>
      </w:r>
      <w:r w:rsidRPr="00A3398F">
        <w:rPr>
          <w:rFonts w:eastAsiaTheme="minorEastAsia"/>
          <w:b/>
          <w:color w:val="000000" w:themeColor="text1"/>
          <w:sz w:val="24"/>
        </w:rPr>
        <w:t>年</w:t>
      </w:r>
      <w:r w:rsidRPr="00A3398F">
        <w:rPr>
          <w:rFonts w:eastAsiaTheme="minorEastAsia"/>
          <w:b/>
          <w:color w:val="000000" w:themeColor="text1"/>
          <w:sz w:val="24"/>
        </w:rPr>
        <w:t>12</w:t>
      </w:r>
      <w:r w:rsidRPr="00A3398F">
        <w:rPr>
          <w:rFonts w:eastAsiaTheme="minorEastAsia"/>
          <w:b/>
          <w:color w:val="000000" w:themeColor="text1"/>
          <w:sz w:val="24"/>
        </w:rPr>
        <w:t>月</w:t>
      </w:r>
      <w:r w:rsidRPr="00A3398F">
        <w:rPr>
          <w:rFonts w:eastAsiaTheme="minorEastAsia"/>
          <w:b/>
          <w:color w:val="000000" w:themeColor="text1"/>
          <w:sz w:val="24"/>
        </w:rPr>
        <w:t>31</w:t>
      </w:r>
      <w:r w:rsidRPr="00A3398F">
        <w:rPr>
          <w:rFonts w:eastAsiaTheme="minorEastAsia"/>
          <w:b/>
          <w:color w:val="000000" w:themeColor="text1"/>
          <w:sz w:val="24"/>
        </w:rPr>
        <w:t>日</w:t>
      </w: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826B12">
      <w:pPr>
        <w:spacing w:line="288" w:lineRule="auto"/>
        <w:ind w:firstLineChars="900" w:firstLine="2168"/>
        <w:rPr>
          <w:rFonts w:eastAsiaTheme="minorEastAsia"/>
          <w:b/>
          <w:color w:val="000000" w:themeColor="text1"/>
          <w:sz w:val="24"/>
        </w:rPr>
      </w:pP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基金管理人：摩根基金管理（中国）有限公司</w:t>
      </w: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基金托管人：招商银行股份有限公司</w:t>
      </w:r>
    </w:p>
    <w:p w:rsidR="007D1292" w:rsidRPr="00A3398F" w:rsidRDefault="007D1292" w:rsidP="00506D57">
      <w:pPr>
        <w:spacing w:line="360" w:lineRule="auto"/>
        <w:ind w:firstLineChars="900" w:firstLine="2168"/>
        <w:rPr>
          <w:rFonts w:eastAsiaTheme="minorEastAsia"/>
          <w:b/>
          <w:color w:val="000000" w:themeColor="text1"/>
          <w:sz w:val="24"/>
        </w:rPr>
        <w:sectPr w:rsidR="007D1292" w:rsidRPr="00A3398F" w:rsidSect="00B918B8">
          <w:headerReference w:type="default" r:id="rId7"/>
          <w:footerReference w:type="default" r:id="rId8"/>
          <w:pgSz w:w="11926" w:h="15840"/>
          <w:pgMar w:top="1418" w:right="1418" w:bottom="851" w:left="1418" w:header="851" w:footer="992" w:gutter="0"/>
          <w:cols w:space="720"/>
          <w:noEndnote/>
        </w:sectPr>
      </w:pPr>
      <w:r w:rsidRPr="00A3398F">
        <w:rPr>
          <w:rFonts w:eastAsiaTheme="minorEastAsia"/>
          <w:b/>
          <w:color w:val="000000" w:themeColor="text1"/>
          <w:sz w:val="24"/>
        </w:rPr>
        <w:t>报告送出日期：</w:t>
      </w:r>
      <w:r w:rsidR="00CB44DE" w:rsidRPr="00A3398F">
        <w:rPr>
          <w:rFonts w:eastAsiaTheme="minorEastAsia"/>
          <w:b/>
          <w:color w:val="000000" w:themeColor="text1"/>
          <w:sz w:val="24"/>
        </w:rPr>
        <w:t>二〇二四年一月二十二日</w:t>
      </w:r>
    </w:p>
    <w:p w:rsidR="0076518F" w:rsidRPr="00A3398F" w:rsidRDefault="0076518F" w:rsidP="009E705F">
      <w:pPr>
        <w:pStyle w:val="1"/>
        <w:spacing w:beforeLines="100" w:before="312" w:afterLines="100" w:after="312" w:line="360" w:lineRule="auto"/>
        <w:jc w:val="center"/>
        <w:rPr>
          <w:rFonts w:eastAsiaTheme="minorEastAsia"/>
          <w:b w:val="0"/>
          <w:color w:val="000000" w:themeColor="text1"/>
          <w:kern w:val="0"/>
          <w:sz w:val="24"/>
          <w:szCs w:val="24"/>
        </w:rPr>
      </w:pPr>
      <w:r w:rsidRPr="00A3398F">
        <w:rPr>
          <w:rFonts w:eastAsiaTheme="minorEastAsia"/>
          <w:color w:val="000000" w:themeColor="text1"/>
          <w:kern w:val="0"/>
          <w:sz w:val="24"/>
          <w:szCs w:val="24"/>
        </w:rPr>
        <w:lastRenderedPageBreak/>
        <w:t xml:space="preserve">§1  </w:t>
      </w:r>
      <w:r w:rsidRPr="00A3398F">
        <w:rPr>
          <w:rFonts w:eastAsiaTheme="minorEastAsia"/>
          <w:color w:val="000000" w:themeColor="text1"/>
          <w:kern w:val="0"/>
          <w:sz w:val="24"/>
          <w:szCs w:val="24"/>
        </w:rPr>
        <w:t>重要提示</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3398F" w:rsidRDefault="007D1292" w:rsidP="006669C9">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本报告期自</w:t>
      </w:r>
      <w:r w:rsidRPr="00A3398F">
        <w:rPr>
          <w:rFonts w:eastAsiaTheme="minorEastAsia"/>
          <w:color w:val="000000" w:themeColor="text1"/>
          <w:szCs w:val="21"/>
        </w:rPr>
        <w:t>2023</w:t>
      </w:r>
      <w:r w:rsidRPr="00A3398F">
        <w:rPr>
          <w:rFonts w:eastAsiaTheme="minorEastAsia"/>
          <w:color w:val="000000" w:themeColor="text1"/>
          <w:szCs w:val="21"/>
        </w:rPr>
        <w:t>年</w:t>
      </w:r>
      <w:r w:rsidRPr="00A3398F">
        <w:rPr>
          <w:rFonts w:eastAsiaTheme="minorEastAsia"/>
          <w:color w:val="000000" w:themeColor="text1"/>
          <w:szCs w:val="21"/>
        </w:rPr>
        <w:t>10</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日起至</w:t>
      </w:r>
      <w:r w:rsidRPr="00A3398F">
        <w:rPr>
          <w:rFonts w:eastAsiaTheme="minorEastAsia"/>
          <w:color w:val="000000" w:themeColor="text1"/>
          <w:szCs w:val="21"/>
        </w:rPr>
        <w:t>12</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日止。</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§2  </w:t>
      </w:r>
      <w:r w:rsidRPr="00A3398F">
        <w:rPr>
          <w:rFonts w:eastAsiaTheme="minorEastAsia"/>
          <w:color w:val="000000" w:themeColor="text1"/>
          <w:kern w:val="0"/>
          <w:sz w:val="24"/>
          <w:szCs w:val="24"/>
        </w:rPr>
        <w:t>基金产品概况</w:t>
      </w:r>
    </w:p>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780"/>
        <w:gridCol w:w="2663"/>
      </w:tblGrid>
      <w:tr w:rsidR="008277FF" w:rsidRPr="00A3398F" w:rsidTr="003376D5">
        <w:tc>
          <w:tcPr>
            <w:tcW w:w="2980" w:type="dxa"/>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基金简称</w:t>
            </w:r>
          </w:p>
        </w:tc>
        <w:tc>
          <w:tcPr>
            <w:tcW w:w="5443" w:type="dxa"/>
            <w:gridSpan w:val="2"/>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摩根欧洲动力策略股票</w:t>
            </w:r>
            <w:r w:rsidRPr="00A3398F">
              <w:rPr>
                <w:rFonts w:eastAsiaTheme="minorEastAsia"/>
                <w:color w:val="000000" w:themeColor="text1"/>
                <w:kern w:val="0"/>
                <w:szCs w:val="21"/>
              </w:rPr>
              <w:t>(QDII)</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基金主代码</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006282</w:t>
            </w:r>
          </w:p>
        </w:tc>
      </w:tr>
      <w:tr w:rsidR="008277FF" w:rsidRPr="00A3398F" w:rsidTr="003376D5">
        <w:tc>
          <w:tcPr>
            <w:tcW w:w="2980" w:type="dxa"/>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交易代码</w:t>
            </w:r>
          </w:p>
        </w:tc>
        <w:tc>
          <w:tcPr>
            <w:tcW w:w="5443" w:type="dxa"/>
            <w:gridSpan w:val="2"/>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006282</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基金运作方式</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契约型开放式</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基金合同生效日</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2018</w:t>
            </w:r>
            <w:r w:rsidRPr="00A3398F">
              <w:rPr>
                <w:rFonts w:eastAsiaTheme="minorEastAsia"/>
                <w:color w:val="000000" w:themeColor="text1"/>
                <w:kern w:val="0"/>
                <w:szCs w:val="21"/>
              </w:rPr>
              <w:t>年</w:t>
            </w:r>
            <w:r w:rsidRPr="00A3398F">
              <w:rPr>
                <w:rFonts w:eastAsiaTheme="minorEastAsia"/>
                <w:color w:val="000000" w:themeColor="text1"/>
                <w:kern w:val="0"/>
                <w:szCs w:val="21"/>
              </w:rPr>
              <w:t>10</w:t>
            </w:r>
            <w:r w:rsidRPr="00A3398F">
              <w:rPr>
                <w:rFonts w:eastAsiaTheme="minorEastAsia"/>
                <w:color w:val="000000" w:themeColor="text1"/>
                <w:kern w:val="0"/>
                <w:szCs w:val="21"/>
              </w:rPr>
              <w:t>月</w:t>
            </w:r>
            <w:r w:rsidRPr="00A3398F">
              <w:rPr>
                <w:rFonts w:eastAsiaTheme="minorEastAsia"/>
                <w:color w:val="000000" w:themeColor="text1"/>
                <w:kern w:val="0"/>
                <w:szCs w:val="21"/>
              </w:rPr>
              <w:t>31</w:t>
            </w:r>
            <w:r w:rsidRPr="00A3398F">
              <w:rPr>
                <w:rFonts w:eastAsiaTheme="minorEastAsia"/>
                <w:color w:val="000000" w:themeColor="text1"/>
                <w:kern w:val="0"/>
                <w:szCs w:val="21"/>
              </w:rPr>
              <w:t>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报告期末基金份额总额</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61,132,110.92</w:t>
            </w:r>
            <w:r w:rsidRPr="00A3398F">
              <w:rPr>
                <w:rFonts w:eastAsiaTheme="minorEastAsia"/>
                <w:color w:val="000000" w:themeColor="text1"/>
                <w:kern w:val="0"/>
                <w:szCs w:val="21"/>
              </w:rPr>
              <w:t>份</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投资目标</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本基金主要投资于欧洲股票，在严格控制风险的前提下追求超越业绩比较基准的回报。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投资策略</w:t>
            </w:r>
          </w:p>
        </w:tc>
        <w:tc>
          <w:tcPr>
            <w:tcW w:w="5443" w:type="dxa"/>
            <w:gridSpan w:val="2"/>
            <w:vAlign w:val="center"/>
          </w:tcPr>
          <w:p w:rsidR="00C938CF" w:rsidRDefault="00236D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C938CF" w:rsidRDefault="00236D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本基金将根据欧洲资本市场情况、企业竞争优势等进行综合分析、评估，精选优秀的欧洲企业进行跨市场配置以构建股票投资组合。</w:t>
            </w:r>
          </w:p>
          <w:p w:rsidR="00C938CF" w:rsidRDefault="00236D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、本基金的股票投资策略如下：</w:t>
            </w:r>
          </w:p>
          <w:p w:rsidR="00C938CF" w:rsidRDefault="00236D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w:t>
            </w:r>
            <w:r>
              <w:rPr>
                <w:rFonts w:eastAsiaTheme="minorEastAsia"/>
                <w:color w:val="000000" w:themeColor="text1"/>
                <w:kern w:val="0"/>
                <w:szCs w:val="21"/>
              </w:rPr>
              <w:t>1</w:t>
            </w:r>
            <w:r>
              <w:rPr>
                <w:rFonts w:eastAsiaTheme="minorEastAsia"/>
                <w:color w:val="000000" w:themeColor="text1"/>
                <w:kern w:val="0"/>
                <w:szCs w:val="21"/>
              </w:rPr>
              <w:t>）本基金综合考虑不同欧洲地区不同市场的宏观经济环境、增长和通胀背景、不同市场的估值水平和流动性因素、相关公司所处的发展阶段、盈利前景和竞争环境以及其他影响投资组合回报及风险的重要要素将基金资产在欧洲市场之间进行配置。</w:t>
            </w:r>
          </w:p>
          <w:p w:rsidR="00C938CF" w:rsidRDefault="00236D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个股选择：从估值、股票质量及趋势三个维度在欧洲上市公司股票中进行筛选，估值方面主要考虑基于市盈率、自由现金流收益率和其他相关价值衡量指标，横向对比选取估值相对便宜的股票；股票质量方面主要考虑企业盈利的可持续性、企业资本的运用配置情况及实际盈利能力，选取拥有可持续利润及严谨的资本管理的盈利公司；股票动能方面，通过每日跟踪公司盈利公告、订单及产品计划，选取正处于正面盈利趋势及正面价格趋势双支撑的股票。除前述三个维度外，本基金还将综合分析企业的财务状况、商业模式以及公司管理层三个方面，从中筛选出优秀的上市公司。</w:t>
            </w:r>
          </w:p>
          <w:p w:rsidR="00C938CF" w:rsidRDefault="00236D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）投资组合构建：根据上述精选出的个股，结合各项定量和定性指标挑选出最具上涨潜力的标的自下而上构建投资组合。</w:t>
            </w:r>
          </w:p>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3</w:t>
            </w:r>
            <w:r w:rsidRPr="00A3398F">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lastRenderedPageBreak/>
              <w:t>业绩比较基准</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本基金的业绩比较基准：</w:t>
            </w:r>
            <w:r w:rsidRPr="00A3398F">
              <w:rPr>
                <w:rFonts w:eastAsiaTheme="minorEastAsia"/>
                <w:color w:val="000000" w:themeColor="text1"/>
                <w:kern w:val="0"/>
                <w:szCs w:val="21"/>
              </w:rPr>
              <w:t>90%×MSCI</w:t>
            </w:r>
            <w:r w:rsidRPr="00A3398F">
              <w:rPr>
                <w:rFonts w:eastAsiaTheme="minorEastAsia"/>
                <w:color w:val="000000" w:themeColor="text1"/>
                <w:kern w:val="0"/>
                <w:szCs w:val="21"/>
              </w:rPr>
              <w:t>欧洲净收益指数（</w:t>
            </w:r>
            <w:r w:rsidRPr="00A3398F">
              <w:rPr>
                <w:rFonts w:eastAsiaTheme="minorEastAsia"/>
                <w:color w:val="000000" w:themeColor="text1"/>
                <w:kern w:val="0"/>
                <w:szCs w:val="21"/>
              </w:rPr>
              <w:t>MSCI Europe Index (Total Return Net)</w:t>
            </w:r>
            <w:r w:rsidRPr="00A3398F">
              <w:rPr>
                <w:rFonts w:eastAsiaTheme="minorEastAsia"/>
                <w:color w:val="000000" w:themeColor="text1"/>
                <w:kern w:val="0"/>
                <w:szCs w:val="21"/>
              </w:rPr>
              <w:t>）收益率</w:t>
            </w:r>
            <w:r w:rsidRPr="00A3398F">
              <w:rPr>
                <w:rFonts w:eastAsiaTheme="minorEastAsia"/>
                <w:color w:val="000000" w:themeColor="text1"/>
                <w:kern w:val="0"/>
                <w:szCs w:val="21"/>
              </w:rPr>
              <w:t>+ 10%×</w:t>
            </w:r>
            <w:r w:rsidRPr="00A3398F">
              <w:rPr>
                <w:rFonts w:eastAsiaTheme="minorEastAsia"/>
                <w:color w:val="000000" w:themeColor="text1"/>
                <w:kern w:val="0"/>
                <w:szCs w:val="21"/>
              </w:rPr>
              <w:t>税后银行活期存款收益率</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风险收益特征</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本基金属于股票型基金产品，预期风险和收益水平高于混合型基金、债券型基金和货币市场基金。</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基金管理人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摩根基金管理（中国）有限公司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基金托管人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招商银行股份有限公司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lastRenderedPageBreak/>
              <w:t>境外投资顾问英文名称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JPMorgan Asset Management(UK) Limited</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境外投资顾问中文名称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摩根资产管理（英国）有限公司</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The Hong Kong and Shanghai Banking Corporation Limited</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香港上海汇丰银行有限公司</w:t>
            </w:r>
          </w:p>
        </w:tc>
      </w:tr>
      <w:tr w:rsidR="00070DD6" w:rsidRPr="00A3398F" w:rsidTr="00845292">
        <w:tblPrEx>
          <w:tblLook w:val="0000" w:firstRow="0" w:lastRow="0" w:firstColumn="0" w:lastColumn="0" w:noHBand="0" w:noVBand="0"/>
        </w:tblPrEx>
        <w:trPr>
          <w:trHeight w:val="866"/>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szCs w:val="21"/>
              </w:rPr>
              <w:t>下属分级基金的基金简称</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p>
        </w:tc>
      </w:tr>
      <w:tr w:rsidR="00070DD6" w:rsidRPr="00A3398F" w:rsidTr="00845292">
        <w:tblPrEx>
          <w:tblLook w:val="0000" w:firstRow="0" w:lastRow="0" w:firstColumn="0" w:lastColumn="0" w:noHBand="0" w:noVBand="0"/>
        </w:tblPrEx>
        <w:trPr>
          <w:trHeight w:val="628"/>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szCs w:val="21"/>
              </w:rPr>
            </w:pPr>
            <w:r w:rsidRPr="00A3398F">
              <w:rPr>
                <w:rFonts w:eastAsiaTheme="minorEastAsia"/>
                <w:color w:val="000000" w:themeColor="text1"/>
                <w:szCs w:val="21"/>
              </w:rPr>
              <w:t>下属分级基金的交易代码</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006282</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019450</w:t>
            </w:r>
          </w:p>
        </w:tc>
      </w:tr>
      <w:tr w:rsidR="00322A5E" w:rsidRPr="00A3398F" w:rsidTr="0031104D">
        <w:tblPrEx>
          <w:tblLook w:val="0000" w:firstRow="0" w:lastRow="0" w:firstColumn="0" w:lastColumn="0" w:noHBand="0" w:noVBand="0"/>
        </w:tblPrEx>
        <w:trPr>
          <w:trHeight w:val="555"/>
        </w:trPr>
        <w:tc>
          <w:tcPr>
            <w:tcW w:w="2980" w:type="dxa"/>
            <w:vAlign w:val="center"/>
          </w:tcPr>
          <w:p w:rsidR="00322A5E" w:rsidRPr="00A3398F" w:rsidRDefault="00322A5E" w:rsidP="00845292">
            <w:pPr>
              <w:adjustRightInd w:val="0"/>
              <w:spacing w:before="29" w:line="360" w:lineRule="auto"/>
              <w:ind w:left="17"/>
              <w:rPr>
                <w:rFonts w:eastAsiaTheme="minorEastAsia"/>
                <w:color w:val="000000" w:themeColor="text1"/>
                <w:szCs w:val="21"/>
              </w:rPr>
            </w:pPr>
            <w:r w:rsidRPr="00A3398F">
              <w:rPr>
                <w:rFonts w:eastAsiaTheme="minorEastAsia"/>
                <w:color w:val="000000" w:themeColor="text1"/>
                <w:szCs w:val="21"/>
              </w:rPr>
              <w:t>报告期末下属分级基金的份额总额</w:t>
            </w:r>
          </w:p>
        </w:tc>
        <w:tc>
          <w:tcPr>
            <w:tcW w:w="2780"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58,052,829.56</w:t>
            </w:r>
            <w:r w:rsidRPr="00A3398F">
              <w:rPr>
                <w:rFonts w:eastAsiaTheme="minorEastAsia"/>
                <w:color w:val="000000" w:themeColor="text1"/>
                <w:kern w:val="0"/>
                <w:szCs w:val="21"/>
              </w:rPr>
              <w:t>份</w:t>
            </w:r>
          </w:p>
        </w:tc>
        <w:tc>
          <w:tcPr>
            <w:tcW w:w="2663"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3,079,281.36</w:t>
            </w:r>
            <w:r w:rsidRPr="00A3398F">
              <w:rPr>
                <w:rFonts w:eastAsiaTheme="minorEastAsia"/>
                <w:color w:val="000000" w:themeColor="text1"/>
                <w:kern w:val="0"/>
                <w:szCs w:val="21"/>
              </w:rPr>
              <w:t>份</w:t>
            </w:r>
          </w:p>
        </w:tc>
      </w:tr>
    </w:tbl>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§3  </w:t>
      </w:r>
      <w:r w:rsidRPr="00A3398F">
        <w:rPr>
          <w:rFonts w:eastAsiaTheme="minorEastAsia"/>
          <w:color w:val="000000" w:themeColor="text1"/>
          <w:kern w:val="0"/>
          <w:sz w:val="24"/>
          <w:szCs w:val="24"/>
        </w:rPr>
        <w:t>主要财务指标和基金净值表现</w:t>
      </w:r>
    </w:p>
    <w:p w:rsidR="0076518F" w:rsidRPr="00A3398F" w:rsidRDefault="0076518F" w:rsidP="00506D57">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3.1 </w:t>
      </w:r>
      <w:r w:rsidRPr="00A3398F">
        <w:rPr>
          <w:rFonts w:eastAsiaTheme="minorEastAsia"/>
          <w:b/>
          <w:color w:val="000000" w:themeColor="text1"/>
          <w:kern w:val="0"/>
          <w:sz w:val="24"/>
        </w:rPr>
        <w:t>主要财务指标</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5051" w:rsidRPr="00A3398F" w:rsidTr="00845292">
        <w:tc>
          <w:tcPr>
            <w:tcW w:w="3402" w:type="dxa"/>
            <w:vMerge w:val="restart"/>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主要财务指标</w:t>
            </w:r>
          </w:p>
        </w:tc>
        <w:tc>
          <w:tcPr>
            <w:tcW w:w="4962" w:type="dxa"/>
            <w:gridSpan w:val="2"/>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报告期</w:t>
            </w:r>
          </w:p>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(2023</w:t>
            </w:r>
            <w:r w:rsidRPr="00A3398F">
              <w:rPr>
                <w:rFonts w:eastAsiaTheme="minorEastAsia"/>
                <w:color w:val="000000" w:themeColor="text1"/>
                <w:szCs w:val="21"/>
              </w:rPr>
              <w:t>年</w:t>
            </w:r>
            <w:r w:rsidRPr="00A3398F">
              <w:rPr>
                <w:rFonts w:eastAsiaTheme="minorEastAsia"/>
                <w:color w:val="000000" w:themeColor="text1"/>
                <w:szCs w:val="21"/>
              </w:rPr>
              <w:t>10</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w:t>
            </w:r>
            <w:r w:rsidRPr="00A3398F">
              <w:rPr>
                <w:rFonts w:eastAsiaTheme="minorEastAsia"/>
                <w:color w:val="000000" w:themeColor="text1"/>
                <w:szCs w:val="21"/>
              </w:rPr>
              <w:t>-2023</w:t>
            </w:r>
            <w:r w:rsidRPr="00A3398F">
              <w:rPr>
                <w:rFonts w:eastAsiaTheme="minorEastAsia"/>
                <w:color w:val="000000" w:themeColor="text1"/>
                <w:szCs w:val="21"/>
              </w:rPr>
              <w:t>年</w:t>
            </w:r>
            <w:r w:rsidRPr="00A3398F">
              <w:rPr>
                <w:rFonts w:eastAsiaTheme="minorEastAsia"/>
                <w:color w:val="000000" w:themeColor="text1"/>
                <w:szCs w:val="21"/>
              </w:rPr>
              <w:t>12</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w:t>
            </w:r>
            <w:r w:rsidRPr="00A3398F">
              <w:rPr>
                <w:rFonts w:eastAsiaTheme="minorEastAsia"/>
                <w:color w:val="000000" w:themeColor="text1"/>
                <w:szCs w:val="21"/>
              </w:rPr>
              <w:t>)</w:t>
            </w:r>
          </w:p>
        </w:tc>
      </w:tr>
      <w:tr w:rsidR="00225051" w:rsidRPr="00A3398F" w:rsidTr="00845292">
        <w:tc>
          <w:tcPr>
            <w:tcW w:w="3402" w:type="dxa"/>
            <w:vMerge/>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1.</w:t>
            </w:r>
            <w:r w:rsidRPr="00A3398F">
              <w:rPr>
                <w:rFonts w:eastAsiaTheme="minorEastAsia"/>
                <w:color w:val="000000" w:themeColor="text1"/>
                <w:kern w:val="0"/>
                <w:szCs w:val="21"/>
              </w:rPr>
              <w:t>本期已实现收益</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-464,303.21</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-1,449.64</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w:t>
            </w:r>
            <w:r w:rsidRPr="00A3398F">
              <w:rPr>
                <w:rFonts w:eastAsiaTheme="minorEastAsia"/>
                <w:color w:val="000000" w:themeColor="text1"/>
                <w:kern w:val="0"/>
                <w:szCs w:val="21"/>
              </w:rPr>
              <w:t>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6,057,975.42</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153,213.63</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3.</w:t>
            </w:r>
            <w:r w:rsidRPr="00A3398F">
              <w:rPr>
                <w:rFonts w:eastAsiaTheme="minorEastAsia"/>
                <w:color w:val="000000" w:themeColor="text1"/>
                <w:kern w:val="0"/>
                <w:szCs w:val="21"/>
              </w:rPr>
              <w:t>加权平均基金份额本期利润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0.1072</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0.1405</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4.</w:t>
            </w:r>
            <w:r w:rsidRPr="00A3398F">
              <w:rPr>
                <w:rFonts w:eastAsiaTheme="minorEastAsia"/>
                <w:color w:val="000000" w:themeColor="text1"/>
                <w:kern w:val="0"/>
                <w:szCs w:val="21"/>
              </w:rPr>
              <w:t>期末基金资产净值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77,118,538.24</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4,101,391.92</w:t>
            </w:r>
          </w:p>
        </w:tc>
      </w:tr>
      <w:tr w:rsidR="00225051" w:rsidRPr="00A3398F" w:rsidTr="00845292">
        <w:trPr>
          <w:trHeight w:val="158"/>
        </w:trPr>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5.</w:t>
            </w:r>
            <w:r w:rsidRPr="00A3398F">
              <w:rPr>
                <w:rFonts w:eastAsiaTheme="minorEastAsia"/>
                <w:color w:val="000000" w:themeColor="text1"/>
                <w:kern w:val="0"/>
                <w:szCs w:val="21"/>
              </w:rPr>
              <w:t>期末基金份额净值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1.3284</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1.3319</w:t>
            </w:r>
          </w:p>
        </w:tc>
      </w:tr>
    </w:tbl>
    <w:p w:rsidR="00C938CF" w:rsidRDefault="00236D5F">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C938CF" w:rsidRDefault="00236D5F">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3.2 </w:t>
      </w:r>
      <w:r w:rsidRPr="00A3398F">
        <w:rPr>
          <w:rFonts w:eastAsiaTheme="minorEastAsia"/>
          <w:b/>
          <w:color w:val="000000" w:themeColor="text1"/>
          <w:kern w:val="0"/>
          <w:sz w:val="24"/>
        </w:rPr>
        <w:t>基金净值表现</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3398F">
          <w:rPr>
            <w:rFonts w:eastAsiaTheme="minorEastAsia"/>
            <w:b/>
            <w:color w:val="000000" w:themeColor="text1"/>
            <w:kern w:val="0"/>
            <w:sz w:val="24"/>
          </w:rPr>
          <w:t>3.2.1</w:t>
        </w:r>
      </w:smartTag>
      <w:r w:rsidRPr="00A3398F">
        <w:rPr>
          <w:rFonts w:eastAsiaTheme="minorEastAsia"/>
          <w:b/>
          <w:color w:val="000000" w:themeColor="text1"/>
          <w:kern w:val="0"/>
          <w:sz w:val="24"/>
        </w:rPr>
        <w:t>本报告期基金份额净值增长率及其与同期业绩比较基准收益率的比较</w:t>
      </w:r>
    </w:p>
    <w:p w:rsidR="0065601A" w:rsidRPr="00A3398F" w:rsidRDefault="0065601A" w:rsidP="0065601A">
      <w:pPr>
        <w:spacing w:line="360" w:lineRule="auto"/>
        <w:rPr>
          <w:rFonts w:eastAsiaTheme="minorEastAsia"/>
          <w:b/>
          <w:color w:val="000000" w:themeColor="text1"/>
          <w:szCs w:val="21"/>
        </w:rPr>
      </w:pPr>
      <w:r w:rsidRPr="00A3398F">
        <w:rPr>
          <w:rFonts w:eastAsiaTheme="minorEastAsia"/>
          <w:b/>
          <w:color w:val="000000" w:themeColor="text1"/>
          <w:szCs w:val="21"/>
        </w:rPr>
        <w:t>1</w:t>
      </w:r>
      <w:r w:rsidRPr="00A3398F">
        <w:rPr>
          <w:rFonts w:eastAsiaTheme="minorEastAsia"/>
          <w:b/>
          <w:color w:val="000000" w:themeColor="text1"/>
          <w:szCs w:val="21"/>
        </w:rPr>
        <w:t>、</w:t>
      </w:r>
      <w:r w:rsidRPr="00A3398F">
        <w:rPr>
          <w:rFonts w:eastAsiaTheme="minorEastAsia"/>
          <w:b/>
          <w:color w:val="000000" w:themeColor="text1"/>
          <w:kern w:val="0"/>
          <w:szCs w:val="21"/>
        </w:rPr>
        <w:t>摩根欧洲动力策略股票</w:t>
      </w:r>
      <w:r w:rsidRPr="00A3398F">
        <w:rPr>
          <w:rFonts w:eastAsiaTheme="minorEastAsia"/>
          <w:b/>
          <w:color w:val="000000" w:themeColor="text1"/>
          <w:kern w:val="0"/>
          <w:szCs w:val="21"/>
        </w:rPr>
        <w:t>(QDII)A</w:t>
      </w:r>
      <w:r w:rsidRPr="00A3398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A3398F" w:rsidTr="00CF0DD1">
        <w:tc>
          <w:tcPr>
            <w:tcW w:w="1290"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阶段</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C938CF" w:rsidTr="00CF0DD1">
        <w:tc>
          <w:tcPr>
            <w:tcW w:w="1290" w:type="dxa"/>
            <w:vAlign w:val="center"/>
          </w:tcPr>
          <w:p w:rsidR="00C938CF" w:rsidRDefault="00236D5F">
            <w:pPr>
              <w:jc w:val="left"/>
            </w:pPr>
            <w:r>
              <w:rPr>
                <w:rFonts w:eastAsiaTheme="minorEastAsia"/>
                <w:color w:val="000000" w:themeColor="text1"/>
                <w:szCs w:val="21"/>
              </w:rPr>
              <w:t>过去三个月</w:t>
            </w:r>
          </w:p>
        </w:tc>
        <w:tc>
          <w:tcPr>
            <w:tcW w:w="1291" w:type="dxa"/>
            <w:vAlign w:val="center"/>
          </w:tcPr>
          <w:p w:rsidR="00C938CF" w:rsidRDefault="00236D5F">
            <w:pPr>
              <w:jc w:val="right"/>
            </w:pPr>
            <w:r>
              <w:rPr>
                <w:rFonts w:eastAsiaTheme="minorEastAsia"/>
                <w:color w:val="000000" w:themeColor="text1"/>
                <w:szCs w:val="21"/>
              </w:rPr>
              <w:t>8.74%</w:t>
            </w:r>
          </w:p>
        </w:tc>
        <w:tc>
          <w:tcPr>
            <w:tcW w:w="1291" w:type="dxa"/>
            <w:vAlign w:val="center"/>
          </w:tcPr>
          <w:p w:rsidR="00C938CF" w:rsidRDefault="00236D5F">
            <w:pPr>
              <w:jc w:val="right"/>
            </w:pPr>
            <w:r>
              <w:rPr>
                <w:rFonts w:eastAsiaTheme="minorEastAsia"/>
                <w:color w:val="000000" w:themeColor="text1"/>
                <w:szCs w:val="21"/>
              </w:rPr>
              <w:t>0.67%</w:t>
            </w:r>
          </w:p>
        </w:tc>
        <w:tc>
          <w:tcPr>
            <w:tcW w:w="1291" w:type="dxa"/>
            <w:vAlign w:val="center"/>
          </w:tcPr>
          <w:p w:rsidR="00C938CF" w:rsidRDefault="00236D5F">
            <w:pPr>
              <w:jc w:val="right"/>
            </w:pPr>
            <w:r>
              <w:rPr>
                <w:rFonts w:eastAsiaTheme="minorEastAsia"/>
                <w:color w:val="000000" w:themeColor="text1"/>
                <w:szCs w:val="21"/>
              </w:rPr>
              <w:t>8.60%</w:t>
            </w:r>
          </w:p>
        </w:tc>
        <w:tc>
          <w:tcPr>
            <w:tcW w:w="1291" w:type="dxa"/>
            <w:vAlign w:val="center"/>
          </w:tcPr>
          <w:p w:rsidR="00C938CF" w:rsidRDefault="00236D5F">
            <w:pPr>
              <w:jc w:val="right"/>
            </w:pPr>
            <w:r>
              <w:rPr>
                <w:rFonts w:eastAsiaTheme="minorEastAsia"/>
                <w:color w:val="000000" w:themeColor="text1"/>
                <w:szCs w:val="21"/>
              </w:rPr>
              <w:t>0.83%</w:t>
            </w:r>
          </w:p>
        </w:tc>
        <w:tc>
          <w:tcPr>
            <w:tcW w:w="1291" w:type="dxa"/>
            <w:vAlign w:val="center"/>
          </w:tcPr>
          <w:p w:rsidR="00C938CF" w:rsidRDefault="00236D5F">
            <w:pPr>
              <w:jc w:val="right"/>
            </w:pPr>
            <w:r>
              <w:rPr>
                <w:rFonts w:eastAsiaTheme="minorEastAsia"/>
                <w:color w:val="000000" w:themeColor="text1"/>
                <w:szCs w:val="21"/>
              </w:rPr>
              <w:t>0.14%</w:t>
            </w:r>
          </w:p>
        </w:tc>
        <w:tc>
          <w:tcPr>
            <w:tcW w:w="1291" w:type="dxa"/>
            <w:vAlign w:val="center"/>
          </w:tcPr>
          <w:p w:rsidR="00C938CF" w:rsidRDefault="00236D5F">
            <w:pPr>
              <w:jc w:val="right"/>
            </w:pPr>
            <w:r>
              <w:rPr>
                <w:rFonts w:eastAsiaTheme="minorEastAsia"/>
                <w:color w:val="000000" w:themeColor="text1"/>
                <w:szCs w:val="21"/>
              </w:rPr>
              <w:t>-0.16%</w:t>
            </w:r>
          </w:p>
        </w:tc>
      </w:tr>
      <w:tr w:rsidR="00C938CF" w:rsidTr="00CF0DD1">
        <w:tc>
          <w:tcPr>
            <w:tcW w:w="1290" w:type="dxa"/>
            <w:vAlign w:val="center"/>
          </w:tcPr>
          <w:p w:rsidR="00C938CF" w:rsidRDefault="00236D5F">
            <w:pPr>
              <w:jc w:val="left"/>
            </w:pPr>
            <w:r>
              <w:rPr>
                <w:rFonts w:eastAsiaTheme="minorEastAsia"/>
                <w:color w:val="000000" w:themeColor="text1"/>
                <w:szCs w:val="21"/>
              </w:rPr>
              <w:t>过去六个月</w:t>
            </w:r>
          </w:p>
        </w:tc>
        <w:tc>
          <w:tcPr>
            <w:tcW w:w="1291" w:type="dxa"/>
            <w:vAlign w:val="center"/>
          </w:tcPr>
          <w:p w:rsidR="00C938CF" w:rsidRDefault="00236D5F">
            <w:pPr>
              <w:jc w:val="right"/>
            </w:pPr>
            <w:r>
              <w:rPr>
                <w:rFonts w:eastAsiaTheme="minorEastAsia"/>
                <w:color w:val="000000" w:themeColor="text1"/>
                <w:szCs w:val="21"/>
              </w:rPr>
              <w:t>1.65%</w:t>
            </w:r>
          </w:p>
        </w:tc>
        <w:tc>
          <w:tcPr>
            <w:tcW w:w="1291" w:type="dxa"/>
            <w:vAlign w:val="center"/>
          </w:tcPr>
          <w:p w:rsidR="00C938CF" w:rsidRDefault="00236D5F">
            <w:pPr>
              <w:jc w:val="right"/>
            </w:pPr>
            <w:r>
              <w:rPr>
                <w:rFonts w:eastAsiaTheme="minorEastAsia"/>
                <w:color w:val="000000" w:themeColor="text1"/>
                <w:szCs w:val="21"/>
              </w:rPr>
              <w:t>0.67%</w:t>
            </w:r>
          </w:p>
        </w:tc>
        <w:tc>
          <w:tcPr>
            <w:tcW w:w="1291" w:type="dxa"/>
            <w:vAlign w:val="center"/>
          </w:tcPr>
          <w:p w:rsidR="00C938CF" w:rsidRDefault="00236D5F">
            <w:pPr>
              <w:jc w:val="right"/>
            </w:pPr>
            <w:r>
              <w:rPr>
                <w:rFonts w:eastAsiaTheme="minorEastAsia"/>
                <w:color w:val="000000" w:themeColor="text1"/>
                <w:szCs w:val="21"/>
              </w:rPr>
              <w:t>3.13%</w:t>
            </w:r>
          </w:p>
        </w:tc>
        <w:tc>
          <w:tcPr>
            <w:tcW w:w="1291" w:type="dxa"/>
            <w:vAlign w:val="center"/>
          </w:tcPr>
          <w:p w:rsidR="00C938CF" w:rsidRDefault="00236D5F">
            <w:pPr>
              <w:jc w:val="right"/>
            </w:pPr>
            <w:r>
              <w:rPr>
                <w:rFonts w:eastAsiaTheme="minorEastAsia"/>
                <w:color w:val="000000" w:themeColor="text1"/>
                <w:szCs w:val="21"/>
              </w:rPr>
              <w:t>0.80%</w:t>
            </w:r>
          </w:p>
        </w:tc>
        <w:tc>
          <w:tcPr>
            <w:tcW w:w="1291" w:type="dxa"/>
            <w:vAlign w:val="center"/>
          </w:tcPr>
          <w:p w:rsidR="00C938CF" w:rsidRDefault="00236D5F">
            <w:pPr>
              <w:jc w:val="right"/>
            </w:pPr>
            <w:r>
              <w:rPr>
                <w:rFonts w:eastAsiaTheme="minorEastAsia"/>
                <w:color w:val="000000" w:themeColor="text1"/>
                <w:szCs w:val="21"/>
              </w:rPr>
              <w:t>-1.48%</w:t>
            </w:r>
          </w:p>
        </w:tc>
        <w:tc>
          <w:tcPr>
            <w:tcW w:w="1291" w:type="dxa"/>
            <w:vAlign w:val="center"/>
          </w:tcPr>
          <w:p w:rsidR="00C938CF" w:rsidRDefault="00236D5F">
            <w:pPr>
              <w:jc w:val="right"/>
            </w:pPr>
            <w:r>
              <w:rPr>
                <w:rFonts w:eastAsiaTheme="minorEastAsia"/>
                <w:color w:val="000000" w:themeColor="text1"/>
                <w:szCs w:val="21"/>
              </w:rPr>
              <w:t>-0.13%</w:t>
            </w:r>
          </w:p>
        </w:tc>
      </w:tr>
      <w:tr w:rsidR="00C938CF" w:rsidTr="00CF0DD1">
        <w:tc>
          <w:tcPr>
            <w:tcW w:w="1290" w:type="dxa"/>
            <w:vAlign w:val="center"/>
          </w:tcPr>
          <w:p w:rsidR="00C938CF" w:rsidRDefault="00236D5F">
            <w:pPr>
              <w:jc w:val="left"/>
            </w:pPr>
            <w:r>
              <w:rPr>
                <w:rFonts w:eastAsiaTheme="minorEastAsia"/>
                <w:color w:val="000000" w:themeColor="text1"/>
                <w:szCs w:val="21"/>
              </w:rPr>
              <w:t>过去一年</w:t>
            </w:r>
          </w:p>
        </w:tc>
        <w:tc>
          <w:tcPr>
            <w:tcW w:w="1291" w:type="dxa"/>
            <w:vAlign w:val="center"/>
          </w:tcPr>
          <w:p w:rsidR="00C938CF" w:rsidRDefault="00236D5F">
            <w:pPr>
              <w:jc w:val="right"/>
            </w:pPr>
            <w:r>
              <w:rPr>
                <w:rFonts w:eastAsiaTheme="minorEastAsia"/>
                <w:color w:val="000000" w:themeColor="text1"/>
                <w:szCs w:val="21"/>
              </w:rPr>
              <w:t>15.40%</w:t>
            </w:r>
          </w:p>
        </w:tc>
        <w:tc>
          <w:tcPr>
            <w:tcW w:w="1291" w:type="dxa"/>
            <w:vAlign w:val="center"/>
          </w:tcPr>
          <w:p w:rsidR="00C938CF" w:rsidRDefault="00236D5F">
            <w:pPr>
              <w:jc w:val="right"/>
            </w:pPr>
            <w:r>
              <w:rPr>
                <w:rFonts w:eastAsiaTheme="minorEastAsia"/>
                <w:color w:val="000000" w:themeColor="text1"/>
                <w:szCs w:val="21"/>
              </w:rPr>
              <w:t>0.77%</w:t>
            </w:r>
          </w:p>
        </w:tc>
        <w:tc>
          <w:tcPr>
            <w:tcW w:w="1291" w:type="dxa"/>
            <w:vAlign w:val="center"/>
          </w:tcPr>
          <w:p w:rsidR="00C938CF" w:rsidRDefault="00236D5F">
            <w:pPr>
              <w:jc w:val="right"/>
            </w:pPr>
            <w:r>
              <w:rPr>
                <w:rFonts w:eastAsiaTheme="minorEastAsia"/>
                <w:color w:val="000000" w:themeColor="text1"/>
                <w:szCs w:val="21"/>
              </w:rPr>
              <w:t>19.77%</w:t>
            </w:r>
          </w:p>
        </w:tc>
        <w:tc>
          <w:tcPr>
            <w:tcW w:w="1291" w:type="dxa"/>
            <w:vAlign w:val="center"/>
          </w:tcPr>
          <w:p w:rsidR="00C938CF" w:rsidRDefault="00236D5F">
            <w:pPr>
              <w:jc w:val="right"/>
            </w:pPr>
            <w:r>
              <w:rPr>
                <w:rFonts w:eastAsiaTheme="minorEastAsia"/>
                <w:color w:val="000000" w:themeColor="text1"/>
                <w:szCs w:val="21"/>
              </w:rPr>
              <w:t>0.90%</w:t>
            </w:r>
          </w:p>
        </w:tc>
        <w:tc>
          <w:tcPr>
            <w:tcW w:w="1291" w:type="dxa"/>
            <w:vAlign w:val="center"/>
          </w:tcPr>
          <w:p w:rsidR="00C938CF" w:rsidRDefault="00236D5F">
            <w:pPr>
              <w:jc w:val="right"/>
            </w:pPr>
            <w:r>
              <w:rPr>
                <w:rFonts w:eastAsiaTheme="minorEastAsia"/>
                <w:color w:val="000000" w:themeColor="text1"/>
                <w:szCs w:val="21"/>
              </w:rPr>
              <w:t>-4.37%</w:t>
            </w:r>
          </w:p>
        </w:tc>
        <w:tc>
          <w:tcPr>
            <w:tcW w:w="1291" w:type="dxa"/>
            <w:vAlign w:val="center"/>
          </w:tcPr>
          <w:p w:rsidR="00C938CF" w:rsidRDefault="00236D5F">
            <w:pPr>
              <w:jc w:val="right"/>
            </w:pPr>
            <w:r>
              <w:rPr>
                <w:rFonts w:eastAsiaTheme="minorEastAsia"/>
                <w:color w:val="000000" w:themeColor="text1"/>
                <w:szCs w:val="21"/>
              </w:rPr>
              <w:t>-0.13%</w:t>
            </w:r>
          </w:p>
        </w:tc>
      </w:tr>
      <w:tr w:rsidR="00C938CF" w:rsidTr="00CF0DD1">
        <w:tc>
          <w:tcPr>
            <w:tcW w:w="1290" w:type="dxa"/>
            <w:vAlign w:val="center"/>
          </w:tcPr>
          <w:p w:rsidR="00C938CF" w:rsidRDefault="00236D5F">
            <w:pPr>
              <w:jc w:val="left"/>
            </w:pPr>
            <w:r>
              <w:rPr>
                <w:rFonts w:eastAsiaTheme="minorEastAsia"/>
                <w:color w:val="000000" w:themeColor="text1"/>
                <w:szCs w:val="21"/>
              </w:rPr>
              <w:t>过去三年</w:t>
            </w:r>
          </w:p>
        </w:tc>
        <w:tc>
          <w:tcPr>
            <w:tcW w:w="1291" w:type="dxa"/>
            <w:vAlign w:val="center"/>
          </w:tcPr>
          <w:p w:rsidR="00C938CF" w:rsidRDefault="00236D5F">
            <w:pPr>
              <w:jc w:val="right"/>
            </w:pPr>
            <w:r>
              <w:rPr>
                <w:rFonts w:eastAsiaTheme="minorEastAsia"/>
                <w:color w:val="000000" w:themeColor="text1"/>
                <w:szCs w:val="21"/>
              </w:rPr>
              <w:t>16.60%</w:t>
            </w:r>
          </w:p>
        </w:tc>
        <w:tc>
          <w:tcPr>
            <w:tcW w:w="1291" w:type="dxa"/>
            <w:vAlign w:val="center"/>
          </w:tcPr>
          <w:p w:rsidR="00C938CF" w:rsidRDefault="00236D5F">
            <w:pPr>
              <w:jc w:val="right"/>
            </w:pPr>
            <w:r>
              <w:rPr>
                <w:rFonts w:eastAsiaTheme="minorEastAsia"/>
                <w:color w:val="000000" w:themeColor="text1"/>
                <w:szCs w:val="21"/>
              </w:rPr>
              <w:t>0.93%</w:t>
            </w:r>
          </w:p>
        </w:tc>
        <w:tc>
          <w:tcPr>
            <w:tcW w:w="1291" w:type="dxa"/>
            <w:vAlign w:val="center"/>
          </w:tcPr>
          <w:p w:rsidR="00C938CF" w:rsidRDefault="00236D5F">
            <w:pPr>
              <w:jc w:val="right"/>
            </w:pPr>
            <w:r>
              <w:rPr>
                <w:rFonts w:eastAsiaTheme="minorEastAsia"/>
                <w:color w:val="000000" w:themeColor="text1"/>
                <w:szCs w:val="21"/>
              </w:rPr>
              <w:t>25.81%</w:t>
            </w:r>
          </w:p>
        </w:tc>
        <w:tc>
          <w:tcPr>
            <w:tcW w:w="1291" w:type="dxa"/>
            <w:vAlign w:val="center"/>
          </w:tcPr>
          <w:p w:rsidR="00C938CF" w:rsidRDefault="00236D5F">
            <w:pPr>
              <w:jc w:val="right"/>
            </w:pPr>
            <w:r>
              <w:rPr>
                <w:rFonts w:eastAsiaTheme="minorEastAsia"/>
                <w:color w:val="000000" w:themeColor="text1"/>
                <w:szCs w:val="21"/>
              </w:rPr>
              <w:t>1.06%</w:t>
            </w:r>
          </w:p>
        </w:tc>
        <w:tc>
          <w:tcPr>
            <w:tcW w:w="1291" w:type="dxa"/>
            <w:vAlign w:val="center"/>
          </w:tcPr>
          <w:p w:rsidR="00C938CF" w:rsidRDefault="00236D5F">
            <w:pPr>
              <w:jc w:val="right"/>
            </w:pPr>
            <w:r>
              <w:rPr>
                <w:rFonts w:eastAsiaTheme="minorEastAsia"/>
                <w:color w:val="000000" w:themeColor="text1"/>
                <w:szCs w:val="21"/>
              </w:rPr>
              <w:t>-9.21%</w:t>
            </w:r>
          </w:p>
        </w:tc>
        <w:tc>
          <w:tcPr>
            <w:tcW w:w="1291" w:type="dxa"/>
            <w:vAlign w:val="center"/>
          </w:tcPr>
          <w:p w:rsidR="00C938CF" w:rsidRDefault="00236D5F">
            <w:pPr>
              <w:jc w:val="right"/>
            </w:pPr>
            <w:r>
              <w:rPr>
                <w:rFonts w:eastAsiaTheme="minorEastAsia"/>
                <w:color w:val="000000" w:themeColor="text1"/>
                <w:szCs w:val="21"/>
              </w:rPr>
              <w:t>-0.13%</w:t>
            </w:r>
          </w:p>
        </w:tc>
      </w:tr>
      <w:tr w:rsidR="00CF0DD1" w:rsidTr="00570DE6">
        <w:tc>
          <w:tcPr>
            <w:tcW w:w="1290" w:type="dxa"/>
            <w:vAlign w:val="center"/>
          </w:tcPr>
          <w:p w:rsidR="00CF0DD1" w:rsidRDefault="00CF0DD1" w:rsidP="00CF0DD1">
            <w:pPr>
              <w:jc w:val="left"/>
            </w:pPr>
            <w:r>
              <w:rPr>
                <w:rFonts w:eastAsiaTheme="minorEastAsia"/>
                <w:color w:val="000000" w:themeColor="text1"/>
                <w:szCs w:val="21"/>
              </w:rPr>
              <w:t>过去五年</w:t>
            </w:r>
          </w:p>
        </w:tc>
        <w:tc>
          <w:tcPr>
            <w:tcW w:w="1291" w:type="dxa"/>
          </w:tcPr>
          <w:p w:rsidR="00CF0DD1" w:rsidRDefault="00CF0DD1" w:rsidP="00CF0DD1">
            <w:pPr>
              <w:jc w:val="right"/>
            </w:pPr>
            <w:r w:rsidRPr="001759AB">
              <w:t>33.68%</w:t>
            </w:r>
          </w:p>
        </w:tc>
        <w:tc>
          <w:tcPr>
            <w:tcW w:w="1291" w:type="dxa"/>
          </w:tcPr>
          <w:p w:rsidR="00CF0DD1" w:rsidRDefault="00CF0DD1" w:rsidP="00CF0DD1">
            <w:pPr>
              <w:jc w:val="right"/>
            </w:pPr>
            <w:r w:rsidRPr="001759AB">
              <w:t>1.04%</w:t>
            </w:r>
          </w:p>
        </w:tc>
        <w:tc>
          <w:tcPr>
            <w:tcW w:w="1291" w:type="dxa"/>
          </w:tcPr>
          <w:p w:rsidR="00CF0DD1" w:rsidRDefault="00CF0DD1" w:rsidP="00CF0DD1">
            <w:pPr>
              <w:jc w:val="right"/>
            </w:pPr>
            <w:r w:rsidRPr="001759AB">
              <w:t>53.65%</w:t>
            </w:r>
          </w:p>
        </w:tc>
        <w:tc>
          <w:tcPr>
            <w:tcW w:w="1291" w:type="dxa"/>
          </w:tcPr>
          <w:p w:rsidR="00CF0DD1" w:rsidRDefault="00CF0DD1" w:rsidP="00CF0DD1">
            <w:pPr>
              <w:jc w:val="right"/>
            </w:pPr>
            <w:r w:rsidRPr="001759AB">
              <w:t>1.17%</w:t>
            </w:r>
          </w:p>
        </w:tc>
        <w:tc>
          <w:tcPr>
            <w:tcW w:w="1291" w:type="dxa"/>
          </w:tcPr>
          <w:p w:rsidR="00CF0DD1" w:rsidRDefault="00CF0DD1" w:rsidP="00CF0DD1">
            <w:pPr>
              <w:jc w:val="right"/>
            </w:pPr>
            <w:r w:rsidRPr="001759AB">
              <w:t>-19.97%</w:t>
            </w:r>
          </w:p>
        </w:tc>
        <w:tc>
          <w:tcPr>
            <w:tcW w:w="1291" w:type="dxa"/>
          </w:tcPr>
          <w:p w:rsidR="00CF0DD1" w:rsidRDefault="00CF0DD1" w:rsidP="00CF0DD1">
            <w:pPr>
              <w:jc w:val="right"/>
            </w:pPr>
            <w:r w:rsidRPr="001759AB">
              <w:t>-0.13%</w:t>
            </w:r>
          </w:p>
        </w:tc>
      </w:tr>
      <w:tr w:rsidR="00C938CF" w:rsidTr="00CF0DD1">
        <w:tc>
          <w:tcPr>
            <w:tcW w:w="1290" w:type="dxa"/>
            <w:vAlign w:val="center"/>
          </w:tcPr>
          <w:p w:rsidR="00C938CF" w:rsidRDefault="00236D5F">
            <w:pPr>
              <w:jc w:val="left"/>
            </w:pPr>
            <w:r>
              <w:rPr>
                <w:rFonts w:eastAsiaTheme="minorEastAsia"/>
                <w:color w:val="000000" w:themeColor="text1"/>
                <w:szCs w:val="21"/>
              </w:rPr>
              <w:t>自基金合同生效起至今</w:t>
            </w:r>
          </w:p>
        </w:tc>
        <w:tc>
          <w:tcPr>
            <w:tcW w:w="1291" w:type="dxa"/>
            <w:vAlign w:val="center"/>
          </w:tcPr>
          <w:p w:rsidR="00C938CF" w:rsidRDefault="00236D5F">
            <w:pPr>
              <w:jc w:val="right"/>
            </w:pPr>
            <w:r>
              <w:rPr>
                <w:rFonts w:eastAsiaTheme="minorEastAsia"/>
                <w:color w:val="000000" w:themeColor="text1"/>
                <w:szCs w:val="21"/>
              </w:rPr>
              <w:t>32.84%</w:t>
            </w:r>
          </w:p>
        </w:tc>
        <w:tc>
          <w:tcPr>
            <w:tcW w:w="1291" w:type="dxa"/>
            <w:vAlign w:val="center"/>
          </w:tcPr>
          <w:p w:rsidR="00C938CF" w:rsidRDefault="00236D5F">
            <w:pPr>
              <w:jc w:val="right"/>
            </w:pPr>
            <w:r>
              <w:rPr>
                <w:rFonts w:eastAsiaTheme="minorEastAsia"/>
                <w:color w:val="000000" w:themeColor="text1"/>
                <w:szCs w:val="21"/>
              </w:rPr>
              <w:t>1.02%</w:t>
            </w:r>
          </w:p>
        </w:tc>
        <w:tc>
          <w:tcPr>
            <w:tcW w:w="1291" w:type="dxa"/>
            <w:vAlign w:val="center"/>
          </w:tcPr>
          <w:p w:rsidR="00C938CF" w:rsidRDefault="00236D5F">
            <w:pPr>
              <w:jc w:val="right"/>
            </w:pPr>
            <w:r>
              <w:rPr>
                <w:rFonts w:eastAsiaTheme="minorEastAsia"/>
                <w:color w:val="000000" w:themeColor="text1"/>
                <w:szCs w:val="21"/>
              </w:rPr>
              <w:t>45.84%</w:t>
            </w:r>
          </w:p>
        </w:tc>
        <w:tc>
          <w:tcPr>
            <w:tcW w:w="1291" w:type="dxa"/>
            <w:vAlign w:val="center"/>
          </w:tcPr>
          <w:p w:rsidR="00C938CF" w:rsidRDefault="00236D5F">
            <w:pPr>
              <w:jc w:val="right"/>
            </w:pPr>
            <w:r>
              <w:rPr>
                <w:rFonts w:eastAsiaTheme="minorEastAsia"/>
                <w:color w:val="000000" w:themeColor="text1"/>
                <w:szCs w:val="21"/>
              </w:rPr>
              <w:t>1.17%</w:t>
            </w:r>
          </w:p>
        </w:tc>
        <w:tc>
          <w:tcPr>
            <w:tcW w:w="1291" w:type="dxa"/>
            <w:vAlign w:val="center"/>
          </w:tcPr>
          <w:p w:rsidR="00C938CF" w:rsidRDefault="00236D5F">
            <w:pPr>
              <w:jc w:val="right"/>
            </w:pPr>
            <w:r>
              <w:rPr>
                <w:rFonts w:eastAsiaTheme="minorEastAsia"/>
                <w:color w:val="000000" w:themeColor="text1"/>
                <w:szCs w:val="21"/>
              </w:rPr>
              <w:t>-13.00%</w:t>
            </w:r>
          </w:p>
        </w:tc>
        <w:tc>
          <w:tcPr>
            <w:tcW w:w="1291" w:type="dxa"/>
            <w:vAlign w:val="center"/>
          </w:tcPr>
          <w:p w:rsidR="00C938CF" w:rsidRDefault="00236D5F">
            <w:pPr>
              <w:jc w:val="right"/>
            </w:pPr>
            <w:r>
              <w:rPr>
                <w:rFonts w:eastAsiaTheme="minorEastAsia"/>
                <w:color w:val="000000" w:themeColor="text1"/>
                <w:szCs w:val="21"/>
              </w:rPr>
              <w:t>-0.15%</w:t>
            </w:r>
          </w:p>
        </w:tc>
      </w:tr>
    </w:tbl>
    <w:p w:rsidR="0065601A" w:rsidRPr="00A3398F" w:rsidRDefault="0065601A" w:rsidP="009E705F">
      <w:pPr>
        <w:adjustRightInd w:val="0"/>
        <w:spacing w:beforeLines="50" w:before="156" w:line="360" w:lineRule="auto"/>
        <w:rPr>
          <w:rFonts w:eastAsiaTheme="minorEastAsia"/>
          <w:b/>
          <w:color w:val="000000" w:themeColor="text1"/>
          <w:kern w:val="0"/>
          <w:szCs w:val="21"/>
        </w:rPr>
      </w:pPr>
      <w:r w:rsidRPr="00A3398F">
        <w:rPr>
          <w:rFonts w:eastAsiaTheme="minorEastAsia"/>
          <w:b/>
          <w:color w:val="000000" w:themeColor="text1"/>
          <w:szCs w:val="21"/>
        </w:rPr>
        <w:t>2</w:t>
      </w:r>
      <w:r w:rsidRPr="00A3398F">
        <w:rPr>
          <w:rFonts w:eastAsiaTheme="minorEastAsia"/>
          <w:b/>
          <w:color w:val="000000" w:themeColor="text1"/>
          <w:szCs w:val="21"/>
        </w:rPr>
        <w:t>、</w:t>
      </w:r>
      <w:r w:rsidRPr="00A3398F">
        <w:rPr>
          <w:rFonts w:eastAsiaTheme="minorEastAsia"/>
          <w:b/>
          <w:color w:val="000000" w:themeColor="text1"/>
          <w:kern w:val="0"/>
          <w:szCs w:val="21"/>
        </w:rPr>
        <w:t>摩根欧洲动力策略股票</w:t>
      </w:r>
      <w:r w:rsidRPr="00A3398F">
        <w:rPr>
          <w:rFonts w:eastAsiaTheme="minorEastAsia"/>
          <w:b/>
          <w:color w:val="000000" w:themeColor="text1"/>
          <w:kern w:val="0"/>
          <w:szCs w:val="21"/>
        </w:rPr>
        <w:t>(QDII)C</w:t>
      </w:r>
      <w:r w:rsidRPr="00A3398F">
        <w:rPr>
          <w:rFonts w:eastAsiaTheme="minorEastAsia"/>
          <w:b/>
          <w:color w:val="000000" w:themeColor="text1"/>
          <w:kern w:val="0"/>
          <w:szCs w:val="21"/>
        </w:rPr>
        <w:t>：</w:t>
      </w:r>
    </w:p>
    <w:tbl>
      <w:tblPr>
        <w:tblStyle w:val="afa"/>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A3398F" w:rsidTr="00845292">
        <w:tc>
          <w:tcPr>
            <w:tcW w:w="1290"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阶段</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C938CF">
        <w:tc>
          <w:tcPr>
            <w:tcW w:w="1290" w:type="dxa"/>
            <w:vAlign w:val="center"/>
          </w:tcPr>
          <w:p w:rsidR="00C938CF" w:rsidRDefault="00236D5F">
            <w:pPr>
              <w:jc w:val="left"/>
            </w:pPr>
            <w:r>
              <w:rPr>
                <w:rFonts w:eastAsiaTheme="minorEastAsia"/>
                <w:color w:val="000000" w:themeColor="text1"/>
                <w:szCs w:val="21"/>
              </w:rPr>
              <w:t>过去三个月</w:t>
            </w:r>
          </w:p>
        </w:tc>
        <w:tc>
          <w:tcPr>
            <w:tcW w:w="1291" w:type="dxa"/>
            <w:vAlign w:val="center"/>
          </w:tcPr>
          <w:p w:rsidR="00C938CF" w:rsidRDefault="00236D5F">
            <w:pPr>
              <w:jc w:val="right"/>
            </w:pPr>
            <w:r>
              <w:rPr>
                <w:rFonts w:eastAsiaTheme="minorEastAsia"/>
                <w:color w:val="000000" w:themeColor="text1"/>
                <w:szCs w:val="21"/>
              </w:rPr>
              <w:t>9.02%</w:t>
            </w:r>
          </w:p>
        </w:tc>
        <w:tc>
          <w:tcPr>
            <w:tcW w:w="1291" w:type="dxa"/>
            <w:vAlign w:val="center"/>
          </w:tcPr>
          <w:p w:rsidR="00C938CF" w:rsidRDefault="00236D5F">
            <w:pPr>
              <w:jc w:val="right"/>
            </w:pPr>
            <w:r>
              <w:rPr>
                <w:rFonts w:eastAsiaTheme="minorEastAsia"/>
                <w:color w:val="000000" w:themeColor="text1"/>
                <w:szCs w:val="21"/>
              </w:rPr>
              <w:t>0.66%</w:t>
            </w:r>
          </w:p>
        </w:tc>
        <w:tc>
          <w:tcPr>
            <w:tcW w:w="1291" w:type="dxa"/>
            <w:vAlign w:val="center"/>
          </w:tcPr>
          <w:p w:rsidR="00C938CF" w:rsidRDefault="00236D5F">
            <w:pPr>
              <w:jc w:val="right"/>
            </w:pPr>
            <w:r>
              <w:rPr>
                <w:rFonts w:eastAsiaTheme="minorEastAsia"/>
                <w:color w:val="000000" w:themeColor="text1"/>
                <w:szCs w:val="21"/>
              </w:rPr>
              <w:t>8.60%</w:t>
            </w:r>
          </w:p>
        </w:tc>
        <w:tc>
          <w:tcPr>
            <w:tcW w:w="1291" w:type="dxa"/>
            <w:vAlign w:val="center"/>
          </w:tcPr>
          <w:p w:rsidR="00C938CF" w:rsidRDefault="00236D5F">
            <w:pPr>
              <w:jc w:val="right"/>
            </w:pPr>
            <w:r>
              <w:rPr>
                <w:rFonts w:eastAsiaTheme="minorEastAsia"/>
                <w:color w:val="000000" w:themeColor="text1"/>
                <w:szCs w:val="21"/>
              </w:rPr>
              <w:t>0.83%</w:t>
            </w:r>
          </w:p>
        </w:tc>
        <w:tc>
          <w:tcPr>
            <w:tcW w:w="1291" w:type="dxa"/>
            <w:vAlign w:val="center"/>
          </w:tcPr>
          <w:p w:rsidR="00C938CF" w:rsidRDefault="00236D5F">
            <w:pPr>
              <w:jc w:val="right"/>
            </w:pPr>
            <w:r>
              <w:rPr>
                <w:rFonts w:eastAsiaTheme="minorEastAsia"/>
                <w:color w:val="000000" w:themeColor="text1"/>
                <w:szCs w:val="21"/>
              </w:rPr>
              <w:t>0.42%</w:t>
            </w:r>
          </w:p>
        </w:tc>
        <w:tc>
          <w:tcPr>
            <w:tcW w:w="1291" w:type="dxa"/>
            <w:vAlign w:val="center"/>
          </w:tcPr>
          <w:p w:rsidR="00C938CF" w:rsidRDefault="00236D5F">
            <w:pPr>
              <w:jc w:val="right"/>
            </w:pPr>
            <w:r>
              <w:rPr>
                <w:rFonts w:eastAsiaTheme="minorEastAsia"/>
                <w:color w:val="000000" w:themeColor="text1"/>
                <w:szCs w:val="21"/>
              </w:rPr>
              <w:t>-0.17%</w:t>
            </w:r>
          </w:p>
        </w:tc>
      </w:tr>
      <w:tr w:rsidR="00C938CF">
        <w:tc>
          <w:tcPr>
            <w:tcW w:w="1290" w:type="dxa"/>
            <w:vAlign w:val="center"/>
          </w:tcPr>
          <w:p w:rsidR="00C938CF" w:rsidRDefault="00236D5F">
            <w:pPr>
              <w:jc w:val="left"/>
            </w:pPr>
            <w:r>
              <w:rPr>
                <w:rFonts w:eastAsiaTheme="minorEastAsia"/>
                <w:color w:val="000000" w:themeColor="text1"/>
                <w:szCs w:val="21"/>
              </w:rPr>
              <w:t>过去六个月</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r>
      <w:tr w:rsidR="00C938CF">
        <w:tc>
          <w:tcPr>
            <w:tcW w:w="1290" w:type="dxa"/>
            <w:vAlign w:val="center"/>
          </w:tcPr>
          <w:p w:rsidR="00C938CF" w:rsidRDefault="00236D5F">
            <w:pPr>
              <w:jc w:val="left"/>
            </w:pPr>
            <w:r>
              <w:rPr>
                <w:rFonts w:eastAsiaTheme="minorEastAsia"/>
                <w:color w:val="000000" w:themeColor="text1"/>
                <w:szCs w:val="21"/>
              </w:rPr>
              <w:t>过去一年</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r>
      <w:tr w:rsidR="00C938CF">
        <w:tc>
          <w:tcPr>
            <w:tcW w:w="1290" w:type="dxa"/>
            <w:vAlign w:val="center"/>
          </w:tcPr>
          <w:p w:rsidR="00C938CF" w:rsidRDefault="00236D5F">
            <w:pPr>
              <w:jc w:val="left"/>
            </w:pPr>
            <w:r>
              <w:rPr>
                <w:rFonts w:eastAsiaTheme="minorEastAsia"/>
                <w:color w:val="000000" w:themeColor="text1"/>
                <w:szCs w:val="21"/>
              </w:rPr>
              <w:t>过去三年</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r>
      <w:tr w:rsidR="00C938CF">
        <w:tc>
          <w:tcPr>
            <w:tcW w:w="1290" w:type="dxa"/>
            <w:vAlign w:val="center"/>
          </w:tcPr>
          <w:p w:rsidR="00C938CF" w:rsidRDefault="00236D5F">
            <w:pPr>
              <w:jc w:val="left"/>
            </w:pPr>
            <w:r>
              <w:rPr>
                <w:rFonts w:eastAsiaTheme="minorEastAsia"/>
                <w:color w:val="000000" w:themeColor="text1"/>
                <w:szCs w:val="21"/>
              </w:rPr>
              <w:t>过去五年</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c>
          <w:tcPr>
            <w:tcW w:w="1291" w:type="dxa"/>
            <w:vAlign w:val="center"/>
          </w:tcPr>
          <w:p w:rsidR="00C938CF" w:rsidRDefault="00236D5F">
            <w:pPr>
              <w:jc w:val="right"/>
            </w:pPr>
            <w:r>
              <w:rPr>
                <w:rFonts w:eastAsiaTheme="minorEastAsia"/>
                <w:color w:val="000000" w:themeColor="text1"/>
                <w:szCs w:val="21"/>
              </w:rPr>
              <w:t>-</w:t>
            </w:r>
          </w:p>
        </w:tc>
      </w:tr>
      <w:tr w:rsidR="00C938CF">
        <w:tc>
          <w:tcPr>
            <w:tcW w:w="1290" w:type="dxa"/>
            <w:vAlign w:val="center"/>
          </w:tcPr>
          <w:p w:rsidR="00C938CF" w:rsidRDefault="00236D5F">
            <w:pPr>
              <w:jc w:val="left"/>
            </w:pPr>
            <w:r>
              <w:rPr>
                <w:rFonts w:eastAsiaTheme="minorEastAsia"/>
                <w:color w:val="000000" w:themeColor="text1"/>
                <w:szCs w:val="21"/>
              </w:rPr>
              <w:t>自基金合同生效起至今</w:t>
            </w:r>
          </w:p>
        </w:tc>
        <w:tc>
          <w:tcPr>
            <w:tcW w:w="1291" w:type="dxa"/>
            <w:vAlign w:val="center"/>
          </w:tcPr>
          <w:p w:rsidR="00C938CF" w:rsidRDefault="00236D5F">
            <w:pPr>
              <w:jc w:val="right"/>
            </w:pPr>
            <w:r>
              <w:rPr>
                <w:rFonts w:eastAsiaTheme="minorEastAsia"/>
                <w:color w:val="000000" w:themeColor="text1"/>
                <w:szCs w:val="21"/>
              </w:rPr>
              <w:t>5.34%</w:t>
            </w:r>
          </w:p>
        </w:tc>
        <w:tc>
          <w:tcPr>
            <w:tcW w:w="1291" w:type="dxa"/>
            <w:vAlign w:val="center"/>
          </w:tcPr>
          <w:p w:rsidR="00C938CF" w:rsidRDefault="00236D5F">
            <w:pPr>
              <w:jc w:val="right"/>
            </w:pPr>
            <w:r>
              <w:rPr>
                <w:rFonts w:eastAsiaTheme="minorEastAsia"/>
                <w:color w:val="000000" w:themeColor="text1"/>
                <w:szCs w:val="21"/>
              </w:rPr>
              <w:t>0.66%</w:t>
            </w:r>
          </w:p>
        </w:tc>
        <w:tc>
          <w:tcPr>
            <w:tcW w:w="1291" w:type="dxa"/>
            <w:vAlign w:val="center"/>
          </w:tcPr>
          <w:p w:rsidR="00C938CF" w:rsidRDefault="00236D5F">
            <w:pPr>
              <w:jc w:val="right"/>
            </w:pPr>
            <w:r>
              <w:rPr>
                <w:rFonts w:eastAsiaTheme="minorEastAsia"/>
                <w:color w:val="000000" w:themeColor="text1"/>
                <w:szCs w:val="21"/>
              </w:rPr>
              <w:t>6.09%</w:t>
            </w:r>
          </w:p>
        </w:tc>
        <w:tc>
          <w:tcPr>
            <w:tcW w:w="1291" w:type="dxa"/>
            <w:vAlign w:val="center"/>
          </w:tcPr>
          <w:p w:rsidR="00C938CF" w:rsidRDefault="00236D5F">
            <w:pPr>
              <w:jc w:val="right"/>
            </w:pPr>
            <w:r>
              <w:rPr>
                <w:rFonts w:eastAsiaTheme="minorEastAsia"/>
                <w:color w:val="000000" w:themeColor="text1"/>
                <w:szCs w:val="21"/>
              </w:rPr>
              <w:t>0.83%</w:t>
            </w:r>
          </w:p>
        </w:tc>
        <w:tc>
          <w:tcPr>
            <w:tcW w:w="1291" w:type="dxa"/>
            <w:vAlign w:val="center"/>
          </w:tcPr>
          <w:p w:rsidR="00C938CF" w:rsidRDefault="00236D5F">
            <w:pPr>
              <w:jc w:val="right"/>
            </w:pPr>
            <w:r>
              <w:rPr>
                <w:rFonts w:eastAsiaTheme="minorEastAsia"/>
                <w:color w:val="000000" w:themeColor="text1"/>
                <w:szCs w:val="21"/>
              </w:rPr>
              <w:t>-0.75%</w:t>
            </w:r>
          </w:p>
        </w:tc>
        <w:tc>
          <w:tcPr>
            <w:tcW w:w="1291" w:type="dxa"/>
            <w:vAlign w:val="center"/>
          </w:tcPr>
          <w:p w:rsidR="00C938CF" w:rsidRDefault="00236D5F">
            <w:pPr>
              <w:jc w:val="right"/>
            </w:pPr>
            <w:r>
              <w:rPr>
                <w:rFonts w:eastAsiaTheme="minorEastAsia"/>
                <w:color w:val="000000" w:themeColor="text1"/>
                <w:szCs w:val="21"/>
              </w:rPr>
              <w:t>-0.17%</w:t>
            </w:r>
          </w:p>
        </w:tc>
      </w:tr>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3.2.2</w:t>
      </w:r>
      <w:r w:rsidRPr="00A3398F">
        <w:rPr>
          <w:rFonts w:eastAsiaTheme="minorEastAsia"/>
          <w:b/>
          <w:color w:val="000000" w:themeColor="text1"/>
          <w:kern w:val="0"/>
          <w:sz w:val="24"/>
        </w:rPr>
        <w:t xml:space="preserve">　</w:t>
      </w:r>
      <w:r w:rsidR="009779FD" w:rsidRPr="00A3398F">
        <w:rPr>
          <w:rStyle w:val="afb"/>
          <w:color w:val="000000" w:themeColor="text1"/>
          <w:sz w:val="24"/>
          <w:shd w:val="clear" w:color="auto" w:fill="FFFFFF"/>
        </w:rPr>
        <w:t>自基金合同生效以来</w:t>
      </w:r>
      <w:r w:rsidRPr="00A3398F">
        <w:rPr>
          <w:rFonts w:eastAsiaTheme="minorEastAsia"/>
          <w:b/>
          <w:color w:val="000000" w:themeColor="text1"/>
          <w:kern w:val="0"/>
          <w:sz w:val="24"/>
        </w:rPr>
        <w:t>基金累计</w:t>
      </w:r>
      <w:r w:rsidR="004339D9" w:rsidRPr="00A3398F">
        <w:rPr>
          <w:rFonts w:eastAsiaTheme="minorEastAsia"/>
          <w:b/>
          <w:color w:val="000000" w:themeColor="text1"/>
          <w:kern w:val="0"/>
          <w:sz w:val="24"/>
        </w:rPr>
        <w:t>份额</w:t>
      </w:r>
      <w:r w:rsidRPr="00A3398F">
        <w:rPr>
          <w:rFonts w:eastAsiaTheme="minorEastAsia"/>
          <w:b/>
          <w:color w:val="000000" w:themeColor="text1"/>
          <w:kern w:val="0"/>
          <w:sz w:val="24"/>
        </w:rPr>
        <w:t>净值增长率变动及其与同期业绩比较基准收益率变动的比较</w:t>
      </w:r>
    </w:p>
    <w:p w:rsidR="00A96FD9" w:rsidRPr="00A3398F" w:rsidRDefault="00A96FD9" w:rsidP="00EC4BA3">
      <w:pPr>
        <w:spacing w:line="360" w:lineRule="auto"/>
        <w:jc w:val="center"/>
        <w:rPr>
          <w:rFonts w:eastAsiaTheme="minorEastAsia"/>
          <w:color w:val="000000" w:themeColor="text1"/>
          <w:szCs w:val="21"/>
        </w:rPr>
      </w:pPr>
      <w:r w:rsidRPr="00A3398F">
        <w:rPr>
          <w:rFonts w:eastAsiaTheme="minorEastAsia"/>
          <w:color w:val="000000" w:themeColor="text1"/>
          <w:szCs w:val="21"/>
        </w:rPr>
        <w:t>摩根欧洲动力策略股票型证券投资基金</w:t>
      </w:r>
      <w:r w:rsidRPr="00A3398F">
        <w:rPr>
          <w:rFonts w:eastAsiaTheme="minorEastAsia"/>
          <w:color w:val="000000" w:themeColor="text1"/>
          <w:szCs w:val="21"/>
        </w:rPr>
        <w:t>(QDII)</w:t>
      </w:r>
    </w:p>
    <w:p w:rsidR="00FB39F7" w:rsidRPr="00A3398F"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3398F">
        <w:rPr>
          <w:rFonts w:ascii="Times New Roman" w:eastAsiaTheme="minorEastAsia" w:hAnsi="Times New Roman"/>
          <w:color w:val="000000" w:themeColor="text1"/>
        </w:rPr>
        <w:t>累计</w:t>
      </w:r>
      <w:r w:rsidR="00C67DCB" w:rsidRPr="00A3398F">
        <w:rPr>
          <w:rFonts w:ascii="Times New Roman" w:eastAsiaTheme="minorEastAsia" w:hAnsi="Times New Roman"/>
          <w:color w:val="000000" w:themeColor="text1"/>
        </w:rPr>
        <w:t>份额</w:t>
      </w:r>
      <w:r w:rsidRPr="00A3398F">
        <w:rPr>
          <w:rFonts w:ascii="Times New Roman" w:eastAsiaTheme="minorEastAsia" w:hAnsi="Times New Roman"/>
          <w:color w:val="000000" w:themeColor="text1"/>
        </w:rPr>
        <w:t>净值增长率与业绩比较基准收益率历史走势对比图</w:t>
      </w:r>
    </w:p>
    <w:p w:rsidR="005908C0" w:rsidRPr="00A3398F" w:rsidRDefault="005908C0" w:rsidP="00EC4BA3">
      <w:pPr>
        <w:spacing w:line="360" w:lineRule="auto"/>
        <w:jc w:val="center"/>
        <w:rPr>
          <w:rFonts w:eastAsiaTheme="minorEastAsia"/>
          <w:color w:val="000000" w:themeColor="text1"/>
          <w:szCs w:val="21"/>
        </w:rPr>
      </w:pPr>
      <w:r w:rsidRPr="00A3398F">
        <w:rPr>
          <w:rFonts w:eastAsiaTheme="minorEastAsia"/>
          <w:color w:val="000000" w:themeColor="text1"/>
          <w:kern w:val="0"/>
          <w:szCs w:val="21"/>
        </w:rPr>
        <w:t>（</w:t>
      </w:r>
      <w:r w:rsidR="00623556" w:rsidRPr="00A3398F">
        <w:rPr>
          <w:rFonts w:eastAsiaTheme="minorEastAsia"/>
          <w:color w:val="000000" w:themeColor="text1"/>
          <w:kern w:val="0"/>
          <w:szCs w:val="21"/>
        </w:rPr>
        <w:t>2018</w:t>
      </w:r>
      <w:r w:rsidR="00623556" w:rsidRPr="00A3398F">
        <w:rPr>
          <w:rFonts w:eastAsiaTheme="minorEastAsia"/>
          <w:color w:val="000000" w:themeColor="text1"/>
          <w:kern w:val="0"/>
          <w:szCs w:val="21"/>
        </w:rPr>
        <w:t>年</w:t>
      </w:r>
      <w:r w:rsidR="00623556" w:rsidRPr="00A3398F">
        <w:rPr>
          <w:rFonts w:eastAsiaTheme="minorEastAsia"/>
          <w:color w:val="000000" w:themeColor="text1"/>
          <w:kern w:val="0"/>
          <w:szCs w:val="21"/>
        </w:rPr>
        <w:t>10</w:t>
      </w:r>
      <w:r w:rsidR="00623556" w:rsidRPr="00A3398F">
        <w:rPr>
          <w:rFonts w:eastAsiaTheme="minorEastAsia"/>
          <w:color w:val="000000" w:themeColor="text1"/>
          <w:kern w:val="0"/>
          <w:szCs w:val="21"/>
        </w:rPr>
        <w:t>月</w:t>
      </w:r>
      <w:r w:rsidR="00623556" w:rsidRPr="00A3398F">
        <w:rPr>
          <w:rFonts w:eastAsiaTheme="minorEastAsia"/>
          <w:color w:val="000000" w:themeColor="text1"/>
          <w:kern w:val="0"/>
          <w:szCs w:val="21"/>
        </w:rPr>
        <w:t>31</w:t>
      </w:r>
      <w:r w:rsidR="00623556" w:rsidRPr="00A3398F">
        <w:rPr>
          <w:rFonts w:eastAsiaTheme="minorEastAsia"/>
          <w:color w:val="000000" w:themeColor="text1"/>
          <w:kern w:val="0"/>
          <w:szCs w:val="21"/>
        </w:rPr>
        <w:t>日</w:t>
      </w:r>
      <w:r w:rsidRPr="00A3398F">
        <w:rPr>
          <w:rFonts w:eastAsiaTheme="minorEastAsia"/>
          <w:color w:val="000000" w:themeColor="text1"/>
          <w:kern w:val="0"/>
          <w:szCs w:val="21"/>
        </w:rPr>
        <w:t>至</w:t>
      </w:r>
      <w:r w:rsidRPr="00A3398F">
        <w:rPr>
          <w:rFonts w:eastAsiaTheme="minorEastAsia"/>
          <w:color w:val="000000" w:themeColor="text1"/>
          <w:kern w:val="0"/>
          <w:szCs w:val="21"/>
        </w:rPr>
        <w:t>2023</w:t>
      </w:r>
      <w:r w:rsidRPr="00A3398F">
        <w:rPr>
          <w:rFonts w:eastAsiaTheme="minorEastAsia"/>
          <w:color w:val="000000" w:themeColor="text1"/>
          <w:kern w:val="0"/>
          <w:szCs w:val="21"/>
        </w:rPr>
        <w:t>年</w:t>
      </w:r>
      <w:r w:rsidRPr="00A3398F">
        <w:rPr>
          <w:rFonts w:eastAsiaTheme="minorEastAsia"/>
          <w:color w:val="000000" w:themeColor="text1"/>
          <w:kern w:val="0"/>
          <w:szCs w:val="21"/>
        </w:rPr>
        <w:t>12</w:t>
      </w:r>
      <w:r w:rsidRPr="00A3398F">
        <w:rPr>
          <w:rFonts w:eastAsiaTheme="minorEastAsia"/>
          <w:color w:val="000000" w:themeColor="text1"/>
          <w:kern w:val="0"/>
          <w:szCs w:val="21"/>
        </w:rPr>
        <w:t>月</w:t>
      </w:r>
      <w:r w:rsidRPr="00A3398F">
        <w:rPr>
          <w:rFonts w:eastAsiaTheme="minorEastAsia"/>
          <w:color w:val="000000" w:themeColor="text1"/>
          <w:kern w:val="0"/>
          <w:szCs w:val="21"/>
        </w:rPr>
        <w:t>31</w:t>
      </w:r>
      <w:r w:rsidRPr="00A3398F">
        <w:rPr>
          <w:rFonts w:eastAsiaTheme="minorEastAsia"/>
          <w:color w:val="000000" w:themeColor="text1"/>
          <w:kern w:val="0"/>
          <w:szCs w:val="21"/>
        </w:rPr>
        <w:t>日）</w:t>
      </w:r>
    </w:p>
    <w:p w:rsidR="0065601A" w:rsidRPr="00A3398F" w:rsidRDefault="0065601A" w:rsidP="0065601A">
      <w:pPr>
        <w:snapToGrid w:val="0"/>
        <w:spacing w:line="360" w:lineRule="auto"/>
        <w:rPr>
          <w:rFonts w:eastAsiaTheme="minorEastAsia"/>
          <w:color w:val="000000" w:themeColor="text1"/>
          <w:szCs w:val="21"/>
        </w:rPr>
      </w:pPr>
      <w:r w:rsidRPr="00A3398F">
        <w:rPr>
          <w:rFonts w:eastAsiaTheme="minorEastAsia"/>
          <w:color w:val="000000" w:themeColor="text1"/>
          <w:szCs w:val="21"/>
        </w:rPr>
        <w:t>1</w:t>
      </w: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r w:rsidRPr="00A3398F">
        <w:rPr>
          <w:rFonts w:eastAsiaTheme="minorEastAsia"/>
          <w:color w:val="000000" w:themeColor="text1"/>
          <w:szCs w:val="21"/>
        </w:rPr>
        <w:t>：</w:t>
      </w:r>
    </w:p>
    <w:p w:rsidR="0065601A" w:rsidRPr="00A3398F" w:rsidRDefault="0065601A" w:rsidP="0065601A">
      <w:pPr>
        <w:pStyle w:val="20"/>
        <w:spacing w:line="288" w:lineRule="auto"/>
        <w:ind w:firstLineChars="0" w:firstLine="0"/>
        <w:jc w:val="center"/>
        <w:rPr>
          <w:rFonts w:ascii="Times New Roman" w:eastAsiaTheme="minorEastAsia" w:hAnsi="Times New Roman"/>
          <w:color w:val="000000" w:themeColor="text1"/>
          <w:sz w:val="21"/>
          <w:szCs w:val="21"/>
        </w:rPr>
      </w:pPr>
      <w:r w:rsidRPr="00A3398F">
        <w:rPr>
          <w:rFonts w:ascii="Times New Roman" w:eastAsiaTheme="minorEastAsia" w:hAnsi="Times New Roman"/>
          <w:noProof/>
          <w:color w:val="000000" w:themeColor="text1"/>
          <w:sz w:val="21"/>
          <w:szCs w:val="21"/>
        </w:rPr>
        <w:drawing>
          <wp:inline distT="0" distB="0" distL="0" distR="0" wp14:anchorId="78A4BE9B" wp14:editId="63313FE9">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日，图示的时间段为合同生效日至本报告期末。</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 xml:space="preserve"> 6 </w:t>
      </w:r>
      <w:r w:rsidRPr="00A3398F">
        <w:rPr>
          <w:rFonts w:eastAsiaTheme="minorEastAsia"/>
          <w:color w:val="000000" w:themeColor="text1"/>
          <w:szCs w:val="21"/>
        </w:rPr>
        <w:t>个月，建仓期结束时资产配置比例符合本基金基金合同规定。</w:t>
      </w:r>
    </w:p>
    <w:p w:rsidR="0065601A" w:rsidRPr="00A3398F" w:rsidRDefault="0065601A" w:rsidP="009E705F">
      <w:pPr>
        <w:snapToGrid w:val="0"/>
        <w:spacing w:beforeLines="100" w:before="312" w:line="360" w:lineRule="auto"/>
        <w:rPr>
          <w:rFonts w:eastAsiaTheme="minorEastAsia"/>
          <w:color w:val="000000" w:themeColor="text1"/>
          <w:szCs w:val="21"/>
        </w:rPr>
      </w:pPr>
      <w:r w:rsidRPr="00A3398F">
        <w:rPr>
          <w:rFonts w:eastAsiaTheme="minorEastAsia"/>
          <w:color w:val="000000" w:themeColor="text1"/>
          <w:szCs w:val="21"/>
        </w:rPr>
        <w:t>2</w:t>
      </w: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r w:rsidRPr="00A3398F">
        <w:rPr>
          <w:rFonts w:eastAsiaTheme="minorEastAsia"/>
          <w:color w:val="000000" w:themeColor="text1"/>
          <w:szCs w:val="21"/>
        </w:rPr>
        <w:t>：</w:t>
      </w:r>
    </w:p>
    <w:p w:rsidR="0065601A" w:rsidRPr="00A3398F" w:rsidRDefault="0065601A" w:rsidP="0065601A">
      <w:pPr>
        <w:pStyle w:val="20"/>
        <w:spacing w:line="288" w:lineRule="auto"/>
        <w:ind w:firstLineChars="0" w:firstLine="0"/>
        <w:jc w:val="center"/>
        <w:rPr>
          <w:rFonts w:ascii="Times New Roman" w:eastAsiaTheme="minorEastAsia" w:hAnsi="Times New Roman"/>
          <w:color w:val="000000" w:themeColor="text1"/>
          <w:sz w:val="21"/>
          <w:szCs w:val="21"/>
        </w:rPr>
      </w:pPr>
      <w:r w:rsidRPr="00A3398F">
        <w:rPr>
          <w:rFonts w:ascii="Times New Roman" w:eastAsiaTheme="minorEastAsia" w:hAnsi="Times New Roman"/>
          <w:noProof/>
          <w:color w:val="000000" w:themeColor="text1"/>
          <w:sz w:val="21"/>
          <w:szCs w:val="21"/>
        </w:rPr>
        <w:drawing>
          <wp:inline distT="0" distB="0" distL="0" distR="0" wp14:anchorId="736DCB4C" wp14:editId="561D13E6">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6</w:t>
      </w:r>
      <w:r w:rsidRPr="00A3398F">
        <w:rPr>
          <w:rFonts w:eastAsiaTheme="minorEastAsia"/>
          <w:color w:val="000000" w:themeColor="text1"/>
          <w:szCs w:val="21"/>
        </w:rPr>
        <w:t>个月，建仓期结束时资产配置比例符合本基金基金合同规定。</w:t>
      </w:r>
    </w:p>
    <w:p w:rsidR="00845292" w:rsidRPr="00A3398F" w:rsidRDefault="00845292" w:rsidP="0065601A">
      <w:pPr>
        <w:spacing w:line="360" w:lineRule="auto"/>
        <w:ind w:firstLineChars="200" w:firstLine="420"/>
        <w:rPr>
          <w:rFonts w:eastAsiaTheme="minorEastAsia"/>
          <w:color w:val="000000" w:themeColor="text1"/>
          <w:szCs w:val="21"/>
        </w:rPr>
      </w:pP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§4  </w:t>
      </w:r>
      <w:r w:rsidRPr="00A3398F">
        <w:rPr>
          <w:rFonts w:eastAsiaTheme="minorEastAsia"/>
          <w:color w:val="000000" w:themeColor="text1"/>
          <w:kern w:val="0"/>
          <w:sz w:val="24"/>
          <w:szCs w:val="24"/>
        </w:rPr>
        <w:t>管理人报告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4.1 </w:t>
      </w:r>
      <w:r w:rsidRPr="00A3398F">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3398F" w:rsidTr="00797DD2">
        <w:trPr>
          <w:cantSplit/>
          <w:trHeight w:val="292"/>
        </w:trPr>
        <w:tc>
          <w:tcPr>
            <w:tcW w:w="851"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850"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职务</w:t>
            </w:r>
          </w:p>
        </w:tc>
        <w:tc>
          <w:tcPr>
            <w:tcW w:w="3119" w:type="dxa"/>
            <w:gridSpan w:val="2"/>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任本基金的基金经理期限</w:t>
            </w:r>
          </w:p>
        </w:tc>
        <w:tc>
          <w:tcPr>
            <w:tcW w:w="1417" w:type="dxa"/>
            <w:vMerge w:val="restart"/>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694" w:type="dxa"/>
            <w:vMerge w:val="restart"/>
            <w:vAlign w:val="center"/>
          </w:tcPr>
          <w:p w:rsidR="007D1292" w:rsidRPr="00A3398F" w:rsidRDefault="007D1292" w:rsidP="00797DD2">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8277FF" w:rsidRPr="00A3398F" w:rsidTr="00797DD2">
        <w:trPr>
          <w:cantSplit/>
        </w:trPr>
        <w:tc>
          <w:tcPr>
            <w:tcW w:w="851"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任职日期</w:t>
            </w:r>
          </w:p>
        </w:tc>
        <w:tc>
          <w:tcPr>
            <w:tcW w:w="1559"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离任日期</w:t>
            </w:r>
          </w:p>
        </w:tc>
        <w:tc>
          <w:tcPr>
            <w:tcW w:w="1417"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r>
      <w:tr w:rsidR="00C938CF">
        <w:tc>
          <w:tcPr>
            <w:tcW w:w="851" w:type="dxa"/>
            <w:vAlign w:val="center"/>
          </w:tcPr>
          <w:p w:rsidR="00C938CF" w:rsidRDefault="00236D5F">
            <w:pPr>
              <w:jc w:val="center"/>
            </w:pPr>
            <w:r>
              <w:rPr>
                <w:rFonts w:eastAsiaTheme="minorEastAsia"/>
                <w:color w:val="000000" w:themeColor="text1"/>
                <w:szCs w:val="21"/>
              </w:rPr>
              <w:t>张军</w:t>
            </w:r>
          </w:p>
        </w:tc>
        <w:tc>
          <w:tcPr>
            <w:tcW w:w="850" w:type="dxa"/>
            <w:vAlign w:val="center"/>
          </w:tcPr>
          <w:p w:rsidR="00C938CF" w:rsidRDefault="00236D5F">
            <w:pPr>
              <w:jc w:val="center"/>
            </w:pPr>
            <w:r>
              <w:rPr>
                <w:rFonts w:eastAsiaTheme="minorEastAsia"/>
                <w:color w:val="000000" w:themeColor="text1"/>
                <w:szCs w:val="21"/>
              </w:rPr>
              <w:t>本基金基金经理</w:t>
            </w:r>
          </w:p>
        </w:tc>
        <w:tc>
          <w:tcPr>
            <w:tcW w:w="1560" w:type="dxa"/>
            <w:vAlign w:val="center"/>
          </w:tcPr>
          <w:p w:rsidR="00C938CF" w:rsidRDefault="00236D5F">
            <w:pPr>
              <w:jc w:val="center"/>
            </w:pPr>
            <w:r>
              <w:rPr>
                <w:rFonts w:eastAsiaTheme="minorEastAsia"/>
                <w:color w:val="000000" w:themeColor="text1"/>
                <w:szCs w:val="21"/>
              </w:rPr>
              <w:t>2018-10-31</w:t>
            </w:r>
          </w:p>
        </w:tc>
        <w:tc>
          <w:tcPr>
            <w:tcW w:w="1559" w:type="dxa"/>
            <w:vAlign w:val="center"/>
          </w:tcPr>
          <w:p w:rsidR="00C938CF" w:rsidRDefault="00236D5F">
            <w:pPr>
              <w:jc w:val="center"/>
            </w:pPr>
            <w:r>
              <w:rPr>
                <w:rFonts w:eastAsiaTheme="minorEastAsia"/>
                <w:color w:val="000000" w:themeColor="text1"/>
                <w:szCs w:val="21"/>
              </w:rPr>
              <w:t>-</w:t>
            </w:r>
          </w:p>
        </w:tc>
        <w:tc>
          <w:tcPr>
            <w:tcW w:w="1417" w:type="dxa"/>
            <w:vAlign w:val="center"/>
          </w:tcPr>
          <w:p w:rsidR="00C938CF" w:rsidRDefault="00236D5F">
            <w:pPr>
              <w:jc w:val="center"/>
            </w:pPr>
            <w:r>
              <w:rPr>
                <w:rFonts w:eastAsiaTheme="minorEastAsia"/>
                <w:color w:val="000000" w:themeColor="text1"/>
                <w:szCs w:val="21"/>
              </w:rPr>
              <w:t>20</w:t>
            </w:r>
            <w:r>
              <w:rPr>
                <w:rFonts w:eastAsiaTheme="minorEastAsia"/>
                <w:color w:val="000000" w:themeColor="text1"/>
                <w:szCs w:val="21"/>
              </w:rPr>
              <w:t>年（金融领域从业经验</w:t>
            </w:r>
            <w:r>
              <w:rPr>
                <w:rFonts w:eastAsiaTheme="minorEastAsia"/>
                <w:color w:val="000000" w:themeColor="text1"/>
                <w:szCs w:val="21"/>
              </w:rPr>
              <w:t>31</w:t>
            </w:r>
            <w:r>
              <w:rPr>
                <w:rFonts w:eastAsiaTheme="minorEastAsia"/>
                <w:color w:val="000000" w:themeColor="text1"/>
                <w:szCs w:val="21"/>
              </w:rPr>
              <w:t>年）</w:t>
            </w:r>
          </w:p>
        </w:tc>
        <w:tc>
          <w:tcPr>
            <w:tcW w:w="2694" w:type="dxa"/>
            <w:vAlign w:val="center"/>
          </w:tcPr>
          <w:p w:rsidR="00C938CF" w:rsidRDefault="00236D5F">
            <w:pPr>
              <w:jc w:val="left"/>
            </w:pPr>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bl>
    <w:p w:rsidR="00C938CF" w:rsidRDefault="00236D5F">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C938CF" w:rsidRDefault="00236D5F">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张军先生为本基金首任基金经理，其任职日期为本基金基金合同生效之日；</w:t>
      </w:r>
    </w:p>
    <w:p w:rsidR="00A47E47" w:rsidRPr="00A3398F" w:rsidRDefault="00A47E47"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 xml:space="preserve">3. </w:t>
      </w:r>
      <w:r w:rsidRPr="00A3398F">
        <w:rPr>
          <w:rFonts w:eastAsiaTheme="minorEastAsia"/>
          <w:color w:val="000000" w:themeColor="text1"/>
          <w:szCs w:val="21"/>
        </w:rPr>
        <w:t>证券从业的含义遵从行业协会《证券业从业人员资格管理办法》的相关规定。</w:t>
      </w:r>
    </w:p>
    <w:p w:rsidR="00EE1749" w:rsidRPr="00A3398F" w:rsidRDefault="00EE1749" w:rsidP="00EE1749">
      <w:pPr>
        <w:autoSpaceDE w:val="0"/>
        <w:autoSpaceDN w:val="0"/>
        <w:adjustRightInd w:val="0"/>
        <w:spacing w:line="360" w:lineRule="auto"/>
        <w:jc w:val="left"/>
        <w:rPr>
          <w:rFonts w:eastAsia="Times New Roman"/>
          <w:b/>
          <w:color w:val="000000"/>
          <w:kern w:val="0"/>
          <w:sz w:val="24"/>
          <w:szCs w:val="21"/>
        </w:rPr>
      </w:pPr>
      <w:bookmarkStart w:id="1" w:name="_Hlk44921484"/>
      <w:bookmarkStart w:id="2" w:name="_Hlk52383584"/>
      <w:r w:rsidRPr="00A3398F">
        <w:rPr>
          <w:b/>
          <w:color w:val="000000"/>
          <w:kern w:val="0"/>
          <w:sz w:val="24"/>
        </w:rPr>
        <w:t>4</w:t>
      </w:r>
      <w:r w:rsidRPr="00A3398F">
        <w:rPr>
          <w:rFonts w:eastAsia="Times New Roman"/>
          <w:b/>
          <w:color w:val="000000"/>
          <w:kern w:val="0"/>
          <w:sz w:val="24"/>
        </w:rPr>
        <w:t>.</w:t>
      </w:r>
      <w:r w:rsidRPr="00A3398F">
        <w:rPr>
          <w:b/>
          <w:color w:val="000000"/>
          <w:kern w:val="0"/>
          <w:sz w:val="24"/>
        </w:rPr>
        <w:t xml:space="preserve">1.1 </w:t>
      </w:r>
      <w:r w:rsidRPr="00A3398F">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EE1749" w:rsidRPr="00A3398F" w:rsidTr="00EE1749">
        <w:tc>
          <w:tcPr>
            <w:tcW w:w="959"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资产净值</w:t>
            </w:r>
            <w:r w:rsidRPr="00A3398F">
              <w:rPr>
                <w:rFonts w:eastAsiaTheme="minorEastAsia"/>
                <w:color w:val="000000"/>
                <w:szCs w:val="21"/>
              </w:rPr>
              <w:t>(</w:t>
            </w:r>
            <w:r w:rsidRPr="00A3398F">
              <w:rPr>
                <w:rFonts w:eastAsiaTheme="minorEastAsia"/>
                <w:color w:val="000000"/>
                <w:szCs w:val="21"/>
              </w:rPr>
              <w:t>元</w:t>
            </w: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任职时间</w:t>
            </w:r>
          </w:p>
        </w:tc>
      </w:tr>
      <w:tr w:rsidR="00EE1749" w:rsidRPr="00A3398F" w:rsidTr="00EE1749">
        <w:tc>
          <w:tcPr>
            <w:tcW w:w="959" w:type="dxa"/>
            <w:vMerge w:val="restart"/>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5,345,137,401.59</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2008-03-08</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29,158,596.42</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2021-07-09</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5,374,295,998.01</w:t>
            </w:r>
          </w:p>
        </w:tc>
        <w:tc>
          <w:tcPr>
            <w:tcW w:w="1381" w:type="dxa"/>
            <w:tcBorders>
              <w:top w:val="single" w:sz="4" w:space="0" w:color="auto"/>
              <w:left w:val="single" w:sz="4" w:space="0" w:color="auto"/>
              <w:bottom w:val="single" w:sz="4" w:space="0" w:color="auto"/>
              <w:right w:val="single" w:sz="4" w:space="0" w:color="auto"/>
            </w:tcBorders>
          </w:tcPr>
          <w:p w:rsidR="00EE1749" w:rsidRPr="00A3398F" w:rsidRDefault="00EE1749">
            <w:pPr>
              <w:spacing w:line="288" w:lineRule="auto"/>
              <w:jc w:val="left"/>
              <w:rPr>
                <w:rFonts w:eastAsiaTheme="minorEastAsia"/>
                <w:color w:val="000000"/>
                <w:szCs w:val="21"/>
              </w:rPr>
            </w:pPr>
          </w:p>
        </w:tc>
      </w:tr>
      <w:bookmarkEnd w:id="2"/>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F077D2" w:rsidRPr="00A3398F">
        <w:rPr>
          <w:rFonts w:eastAsiaTheme="minorEastAsia"/>
          <w:b/>
          <w:color w:val="000000" w:themeColor="text1"/>
          <w:kern w:val="0"/>
          <w:sz w:val="24"/>
        </w:rPr>
        <w:t>2</w:t>
      </w:r>
      <w:r w:rsidR="00A32FDA"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273"/>
        <w:gridCol w:w="2101"/>
        <w:gridCol w:w="738"/>
        <w:gridCol w:w="4401"/>
      </w:tblGrid>
      <w:tr w:rsidR="008277FF" w:rsidRPr="00A3398F" w:rsidTr="00797DD2">
        <w:tc>
          <w:tcPr>
            <w:tcW w:w="2129"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在境外投资顾问所任职务</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C938CF">
        <w:tc>
          <w:tcPr>
            <w:tcW w:w="0" w:type="auto"/>
            <w:vAlign w:val="center"/>
          </w:tcPr>
          <w:p w:rsidR="00C938CF" w:rsidRDefault="00236D5F">
            <w:pPr>
              <w:jc w:val="center"/>
            </w:pPr>
            <w:r>
              <w:rPr>
                <w:rFonts w:eastAsiaTheme="minorEastAsia"/>
                <w:color w:val="000000" w:themeColor="text1"/>
                <w:szCs w:val="21"/>
              </w:rPr>
              <w:t>Blake Crawford</w:t>
            </w:r>
          </w:p>
        </w:tc>
        <w:tc>
          <w:tcPr>
            <w:tcW w:w="0" w:type="auto"/>
            <w:vAlign w:val="center"/>
          </w:tcPr>
          <w:p w:rsidR="00C938CF" w:rsidRDefault="00236D5F">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0" w:type="auto"/>
            <w:vAlign w:val="center"/>
          </w:tcPr>
          <w:p w:rsidR="00C938CF" w:rsidRDefault="00236D5F">
            <w:pPr>
              <w:jc w:val="center"/>
            </w:pPr>
            <w:r>
              <w:rPr>
                <w:rFonts w:eastAsiaTheme="minorEastAsia"/>
                <w:color w:val="000000" w:themeColor="text1"/>
                <w:szCs w:val="21"/>
              </w:rPr>
              <w:t>15</w:t>
            </w:r>
            <w:r>
              <w:rPr>
                <w:rFonts w:eastAsiaTheme="minorEastAsia"/>
                <w:color w:val="000000" w:themeColor="text1"/>
                <w:szCs w:val="21"/>
              </w:rPr>
              <w:t>年</w:t>
            </w:r>
          </w:p>
        </w:tc>
        <w:tc>
          <w:tcPr>
            <w:tcW w:w="0" w:type="auto"/>
            <w:vAlign w:val="center"/>
          </w:tcPr>
          <w:p w:rsidR="00C938CF" w:rsidRDefault="00236D5F">
            <w:pPr>
              <w:jc w:val="left"/>
            </w:pPr>
            <w:r>
              <w:rPr>
                <w:rFonts w:eastAsiaTheme="minorEastAsia"/>
                <w:color w:val="000000" w:themeColor="text1"/>
                <w:szCs w:val="21"/>
              </w:rPr>
              <w:t>Blake Crawford</w:t>
            </w:r>
            <w:r>
              <w:rPr>
                <w:rFonts w:eastAsiaTheme="minorEastAsia"/>
                <w:color w:val="000000" w:themeColor="text1"/>
                <w:szCs w:val="21"/>
              </w:rPr>
              <w:t>，执行董事，是摩根资产管理国际股票团队的投资经理。在</w:t>
            </w:r>
            <w:r>
              <w:rPr>
                <w:rFonts w:eastAsiaTheme="minorEastAsia"/>
                <w:color w:val="000000" w:themeColor="text1"/>
                <w:szCs w:val="21"/>
              </w:rPr>
              <w:t>2008</w:t>
            </w:r>
            <w:r>
              <w:rPr>
                <w:rFonts w:eastAsiaTheme="minorEastAsia"/>
                <w:color w:val="000000" w:themeColor="text1"/>
                <w:szCs w:val="21"/>
              </w:rPr>
              <w:t>年作为管理培训生加入公司。</w:t>
            </w:r>
            <w:r>
              <w:rPr>
                <w:rFonts w:eastAsiaTheme="minorEastAsia"/>
                <w:color w:val="000000" w:themeColor="text1"/>
                <w:szCs w:val="21"/>
              </w:rPr>
              <w:t>Blake</w:t>
            </w:r>
            <w:r>
              <w:rPr>
                <w:rFonts w:eastAsiaTheme="minorEastAsia"/>
                <w:color w:val="000000" w:themeColor="text1"/>
                <w:szCs w:val="21"/>
              </w:rPr>
              <w:t>拥有巴斯大学的经济学学士学位，同时也是特许金融分析师。</w:t>
            </w:r>
          </w:p>
        </w:tc>
      </w:tr>
      <w:tr w:rsidR="00C938CF">
        <w:tc>
          <w:tcPr>
            <w:tcW w:w="0" w:type="auto"/>
            <w:vAlign w:val="center"/>
          </w:tcPr>
          <w:p w:rsidR="00C938CF" w:rsidRDefault="00236D5F">
            <w:pPr>
              <w:jc w:val="center"/>
            </w:pPr>
            <w:r>
              <w:rPr>
                <w:rFonts w:eastAsiaTheme="minorEastAsia"/>
                <w:color w:val="000000" w:themeColor="text1"/>
                <w:szCs w:val="21"/>
              </w:rPr>
              <w:t>Alexander Whyte</w:t>
            </w:r>
          </w:p>
        </w:tc>
        <w:tc>
          <w:tcPr>
            <w:tcW w:w="0" w:type="auto"/>
            <w:vAlign w:val="center"/>
          </w:tcPr>
          <w:p w:rsidR="00C938CF" w:rsidRDefault="00236D5F">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0" w:type="auto"/>
            <w:vAlign w:val="center"/>
          </w:tcPr>
          <w:p w:rsidR="00C938CF" w:rsidRDefault="00236D5F">
            <w:pPr>
              <w:jc w:val="center"/>
            </w:pPr>
            <w:r>
              <w:rPr>
                <w:rFonts w:eastAsiaTheme="minorEastAsia"/>
                <w:color w:val="000000" w:themeColor="text1"/>
                <w:szCs w:val="21"/>
              </w:rPr>
              <w:t>10</w:t>
            </w:r>
            <w:r>
              <w:rPr>
                <w:rFonts w:eastAsiaTheme="minorEastAsia"/>
                <w:color w:val="000000" w:themeColor="text1"/>
                <w:szCs w:val="21"/>
              </w:rPr>
              <w:t>年</w:t>
            </w:r>
          </w:p>
        </w:tc>
        <w:tc>
          <w:tcPr>
            <w:tcW w:w="0" w:type="auto"/>
            <w:vAlign w:val="center"/>
          </w:tcPr>
          <w:p w:rsidR="00C938CF" w:rsidRDefault="00236D5F">
            <w:pPr>
              <w:jc w:val="left"/>
            </w:pPr>
            <w:r>
              <w:rPr>
                <w:rFonts w:eastAsiaTheme="minorEastAsia"/>
                <w:color w:val="000000" w:themeColor="text1"/>
                <w:szCs w:val="21"/>
              </w:rPr>
              <w:t>Alexander Whyte</w:t>
            </w:r>
            <w:r>
              <w:rPr>
                <w:rFonts w:eastAsiaTheme="minorEastAsia"/>
                <w:color w:val="000000" w:themeColor="text1"/>
                <w:szCs w:val="21"/>
              </w:rPr>
              <w:t>，执行董事，是摩根资产管理国际股票团队的投资经理。</w:t>
            </w:r>
            <w:r>
              <w:rPr>
                <w:rFonts w:eastAsiaTheme="minorEastAsia"/>
                <w:color w:val="000000" w:themeColor="text1"/>
                <w:szCs w:val="21"/>
              </w:rPr>
              <w:t>Alex</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Alex</w:t>
            </w:r>
            <w:r>
              <w:rPr>
                <w:rFonts w:eastAsiaTheme="minorEastAsia"/>
                <w:color w:val="000000" w:themeColor="text1"/>
                <w:szCs w:val="21"/>
              </w:rPr>
              <w:t>拥有剑桥大学的机械工程学士学位和硕士学位，并且是特许金融分析师。</w:t>
            </w:r>
          </w:p>
        </w:tc>
      </w:tr>
      <w:tr w:rsidR="00C938CF">
        <w:tc>
          <w:tcPr>
            <w:tcW w:w="0" w:type="auto"/>
            <w:vAlign w:val="center"/>
          </w:tcPr>
          <w:p w:rsidR="00C938CF" w:rsidRDefault="00236D5F">
            <w:pPr>
              <w:jc w:val="center"/>
            </w:pPr>
            <w:r>
              <w:rPr>
                <w:rFonts w:eastAsiaTheme="minorEastAsia"/>
                <w:color w:val="000000" w:themeColor="text1"/>
                <w:szCs w:val="21"/>
              </w:rPr>
              <w:t>Victoria Helvert</w:t>
            </w:r>
          </w:p>
        </w:tc>
        <w:tc>
          <w:tcPr>
            <w:tcW w:w="0" w:type="auto"/>
            <w:vAlign w:val="center"/>
          </w:tcPr>
          <w:p w:rsidR="00C938CF" w:rsidRDefault="00236D5F">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副总裁，摩根资产管理国际股票团队投资经理</w:t>
            </w:r>
          </w:p>
        </w:tc>
        <w:tc>
          <w:tcPr>
            <w:tcW w:w="0" w:type="auto"/>
            <w:vAlign w:val="center"/>
          </w:tcPr>
          <w:p w:rsidR="00C938CF" w:rsidRDefault="00236D5F">
            <w:pPr>
              <w:jc w:val="center"/>
            </w:pPr>
            <w:r>
              <w:rPr>
                <w:rFonts w:eastAsiaTheme="minorEastAsia"/>
                <w:color w:val="000000" w:themeColor="text1"/>
                <w:szCs w:val="21"/>
              </w:rPr>
              <w:t>10</w:t>
            </w:r>
            <w:r>
              <w:rPr>
                <w:rFonts w:eastAsiaTheme="minorEastAsia"/>
                <w:color w:val="000000" w:themeColor="text1"/>
                <w:szCs w:val="21"/>
              </w:rPr>
              <w:t>年</w:t>
            </w:r>
          </w:p>
        </w:tc>
        <w:tc>
          <w:tcPr>
            <w:tcW w:w="0" w:type="auto"/>
            <w:vAlign w:val="center"/>
          </w:tcPr>
          <w:p w:rsidR="00C938CF" w:rsidRDefault="00236D5F">
            <w:pPr>
              <w:jc w:val="left"/>
            </w:pPr>
            <w:r>
              <w:rPr>
                <w:rFonts w:eastAsiaTheme="minorEastAsia"/>
                <w:color w:val="000000" w:themeColor="text1"/>
                <w:szCs w:val="21"/>
              </w:rPr>
              <w:t>Victoria Helvert</w:t>
            </w:r>
            <w:r>
              <w:rPr>
                <w:rFonts w:eastAsiaTheme="minorEastAsia"/>
                <w:color w:val="000000" w:themeColor="text1"/>
                <w:szCs w:val="21"/>
              </w:rPr>
              <w:t>，副总裁，是摩根资产管理国际股票团队的投资经理。</w:t>
            </w:r>
            <w:r>
              <w:rPr>
                <w:rFonts w:eastAsiaTheme="minorEastAsia"/>
                <w:color w:val="000000" w:themeColor="text1"/>
                <w:szCs w:val="21"/>
              </w:rPr>
              <w:t>Victoria</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Victoria</w:t>
            </w:r>
            <w:r>
              <w:rPr>
                <w:rFonts w:eastAsiaTheme="minorEastAsia"/>
                <w:color w:val="000000" w:themeColor="text1"/>
                <w:szCs w:val="21"/>
              </w:rPr>
              <w:t>拥有杜伦大学的经济学学士学位，并且是英格兰及威尔士特许会计师</w:t>
            </w:r>
            <w:r>
              <w:rPr>
                <w:rFonts w:eastAsiaTheme="minorEastAsia"/>
                <w:color w:val="000000" w:themeColor="text1"/>
                <w:szCs w:val="21"/>
              </w:rPr>
              <w:t>(ACA)</w:t>
            </w:r>
            <w:r>
              <w:rPr>
                <w:rFonts w:eastAsiaTheme="minorEastAsia"/>
                <w:color w:val="000000" w:themeColor="text1"/>
                <w:szCs w:val="21"/>
              </w:rPr>
              <w:t>。</w:t>
            </w:r>
          </w:p>
        </w:tc>
      </w:tr>
    </w:tbl>
    <w:p w:rsidR="00FB47E0" w:rsidRPr="00A3398F"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3</w:t>
      </w:r>
      <w:r w:rsidR="003508B0" w:rsidRPr="00A3398F">
        <w:rPr>
          <w:b/>
          <w:color w:val="000000"/>
          <w:sz w:val="24"/>
          <w:shd w:val="clear" w:color="auto" w:fill="FFFFFF"/>
        </w:rPr>
        <w:t>管理人对报告期内本基金运作遵规守信情况的说明</w:t>
      </w:r>
    </w:p>
    <w:p w:rsidR="00363E15" w:rsidRPr="00A3398F" w:rsidRDefault="00363E15"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4</w:t>
      </w:r>
      <w:r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公平交易专项说明</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4.1</w:t>
      </w:r>
      <w:r w:rsidRPr="00A3398F">
        <w:rPr>
          <w:rFonts w:eastAsiaTheme="minorEastAsia"/>
          <w:color w:val="000000" w:themeColor="text1"/>
          <w:sz w:val="24"/>
        </w:rPr>
        <w:t>公平交易制度的执行情况</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w:t>
      </w:r>
      <w:r w:rsidRPr="00A3398F">
        <w:rPr>
          <w:rFonts w:eastAsiaTheme="minorEastAsia"/>
          <w:color w:val="000000" w:themeColor="text1"/>
          <w:sz w:val="24"/>
        </w:rPr>
        <w:t>.</w:t>
      </w:r>
      <w:r w:rsidR="00A32FDA" w:rsidRPr="00A3398F">
        <w:rPr>
          <w:rFonts w:eastAsiaTheme="minorEastAsia"/>
          <w:color w:val="000000" w:themeColor="text1"/>
          <w:sz w:val="24"/>
        </w:rPr>
        <w:t>2</w:t>
      </w:r>
      <w:r w:rsidRPr="00A3398F">
        <w:rPr>
          <w:rFonts w:eastAsiaTheme="minorEastAsia"/>
          <w:color w:val="000000" w:themeColor="text1"/>
          <w:sz w:val="24"/>
        </w:rPr>
        <w:t>异常交易行为的专项说明</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所有投资组合参与的交易所公开竞价同日反向交易成交较少的单边交易量超过该证券当日成交量的</w:t>
      </w:r>
      <w:r w:rsidRPr="00A3398F">
        <w:rPr>
          <w:rFonts w:eastAsiaTheme="minorEastAsia"/>
          <w:color w:val="000000" w:themeColor="text1"/>
          <w:szCs w:val="21"/>
        </w:rPr>
        <w:t>5%</w:t>
      </w:r>
      <w:r w:rsidRPr="00A3398F">
        <w:rPr>
          <w:rFonts w:eastAsiaTheme="minorEastAsia"/>
          <w:color w:val="000000" w:themeColor="text1"/>
          <w:szCs w:val="21"/>
        </w:rPr>
        <w:t>的情形：无。</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EF4716" w:rsidRPr="00A3398F" w:rsidRDefault="00EF4716" w:rsidP="00EF4716">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4.5 </w:t>
      </w:r>
      <w:r w:rsidRPr="00A3398F">
        <w:rPr>
          <w:rFonts w:eastAsiaTheme="minorEastAsia"/>
          <w:b/>
          <w:color w:val="000000" w:themeColor="text1"/>
          <w:kern w:val="0"/>
          <w:sz w:val="24"/>
        </w:rPr>
        <w:t>报告期内基金的投资策略和业绩表现说明</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报告期内，欧洲股市在</w:t>
      </w:r>
      <w:r>
        <w:rPr>
          <w:rFonts w:eastAsiaTheme="minorEastAsia"/>
          <w:color w:val="000000" w:themeColor="text1"/>
          <w:szCs w:val="21"/>
        </w:rPr>
        <w:t>10</w:t>
      </w:r>
      <w:r>
        <w:rPr>
          <w:rFonts w:eastAsiaTheme="minorEastAsia"/>
          <w:color w:val="000000" w:themeColor="text1"/>
          <w:szCs w:val="21"/>
        </w:rPr>
        <w:t>月受到地缘政治和美国利率政策</w:t>
      </w:r>
      <w:r>
        <w:rPr>
          <w:rFonts w:eastAsiaTheme="minorEastAsia"/>
          <w:color w:val="000000" w:themeColor="text1"/>
          <w:szCs w:val="21"/>
        </w:rPr>
        <w:t>“</w:t>
      </w:r>
      <w:r>
        <w:rPr>
          <w:rFonts w:eastAsiaTheme="minorEastAsia"/>
          <w:color w:val="000000" w:themeColor="text1"/>
          <w:szCs w:val="21"/>
        </w:rPr>
        <w:t>更高利率更长时间</w:t>
      </w:r>
      <w:r>
        <w:rPr>
          <w:rFonts w:eastAsiaTheme="minorEastAsia"/>
          <w:color w:val="000000" w:themeColor="text1"/>
          <w:szCs w:val="21"/>
        </w:rPr>
        <w:t>”</w:t>
      </w:r>
      <w:r>
        <w:rPr>
          <w:rFonts w:eastAsiaTheme="minorEastAsia"/>
          <w:color w:val="000000" w:themeColor="text1"/>
          <w:szCs w:val="21"/>
        </w:rPr>
        <w:t>的解读影响，股市继续下跌。在</w:t>
      </w:r>
      <w:r>
        <w:rPr>
          <w:rFonts w:eastAsiaTheme="minorEastAsia"/>
          <w:color w:val="000000" w:themeColor="text1"/>
          <w:szCs w:val="21"/>
        </w:rPr>
        <w:t>11</w:t>
      </w:r>
      <w:r>
        <w:rPr>
          <w:rFonts w:eastAsiaTheme="minorEastAsia"/>
          <w:color w:val="000000" w:themeColor="text1"/>
          <w:szCs w:val="21"/>
        </w:rPr>
        <w:t>月开始止跌回升，反弹的驱动力主要来自美联储的利率政策转为鸽派。</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11</w:t>
      </w:r>
      <w:r>
        <w:rPr>
          <w:rFonts w:eastAsiaTheme="minorEastAsia"/>
          <w:color w:val="000000" w:themeColor="text1"/>
          <w:szCs w:val="21"/>
        </w:rPr>
        <w:t>月欧元区综合</w:t>
      </w:r>
      <w:r>
        <w:rPr>
          <w:rFonts w:eastAsiaTheme="minorEastAsia"/>
          <w:color w:val="000000" w:themeColor="text1"/>
          <w:szCs w:val="21"/>
        </w:rPr>
        <w:t>PMI (</w:t>
      </w:r>
      <w:r>
        <w:rPr>
          <w:rFonts w:eastAsiaTheme="minorEastAsia"/>
          <w:color w:val="000000" w:themeColor="text1"/>
          <w:szCs w:val="21"/>
        </w:rPr>
        <w:t>采购经理人指数</w:t>
      </w:r>
      <w:r>
        <w:rPr>
          <w:rFonts w:eastAsiaTheme="minorEastAsia"/>
          <w:color w:val="000000" w:themeColor="text1"/>
          <w:szCs w:val="21"/>
        </w:rPr>
        <w:t xml:space="preserve">) </w:t>
      </w:r>
      <w:r>
        <w:rPr>
          <w:rFonts w:eastAsiaTheme="minorEastAsia"/>
          <w:color w:val="000000" w:themeColor="text1"/>
          <w:szCs w:val="21"/>
        </w:rPr>
        <w:t>升至</w:t>
      </w:r>
      <w:r>
        <w:rPr>
          <w:rFonts w:eastAsiaTheme="minorEastAsia"/>
          <w:color w:val="000000" w:themeColor="text1"/>
          <w:szCs w:val="21"/>
        </w:rPr>
        <w:t>47.6</w:t>
      </w:r>
      <w:r>
        <w:rPr>
          <w:rFonts w:eastAsiaTheme="minorEastAsia"/>
          <w:color w:val="000000" w:themeColor="text1"/>
          <w:szCs w:val="21"/>
        </w:rPr>
        <w:t>，高于前一个月</w:t>
      </w:r>
      <w:r>
        <w:rPr>
          <w:rFonts w:eastAsiaTheme="minorEastAsia"/>
          <w:color w:val="000000" w:themeColor="text1"/>
          <w:szCs w:val="21"/>
        </w:rPr>
        <w:t>46.5</w:t>
      </w:r>
      <w:r>
        <w:rPr>
          <w:rFonts w:eastAsiaTheme="minorEastAsia"/>
          <w:color w:val="000000" w:themeColor="text1"/>
          <w:szCs w:val="21"/>
        </w:rPr>
        <w:t>的近三年低点，也略高于市场预期。这一数据仍显示尽管商业活动连续第六个月减少，但服务业和制造业在此期间的收缩速度均有所放缓。新订单的总流入经历了四个月来的最小下降，而积压的工作连续第八个月减少。劳动力市场出现下滑，原因是需求状况减弱。此外，商业信心保持不变，企业对来年的活动前景保持适度的乐观态度，这与</w:t>
      </w:r>
      <w:r>
        <w:rPr>
          <w:rFonts w:eastAsiaTheme="minorEastAsia"/>
          <w:color w:val="000000" w:themeColor="text1"/>
          <w:szCs w:val="21"/>
        </w:rPr>
        <w:t>11</w:t>
      </w:r>
      <w:r>
        <w:rPr>
          <w:rFonts w:eastAsiaTheme="minorEastAsia"/>
          <w:color w:val="000000" w:themeColor="text1"/>
          <w:szCs w:val="21"/>
        </w:rPr>
        <w:t>月消费者信心指数的上升非常吻合。</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欧洲央行建议将利率长期维持在限制性范围内可能是必要的，并表示随着通胀压力进一步减弱，可能会在</w:t>
      </w:r>
      <w:r>
        <w:rPr>
          <w:rFonts w:eastAsiaTheme="minorEastAsia"/>
          <w:color w:val="000000" w:themeColor="text1"/>
          <w:szCs w:val="21"/>
        </w:rPr>
        <w:t>2024</w:t>
      </w:r>
      <w:r>
        <w:rPr>
          <w:rFonts w:eastAsiaTheme="minorEastAsia"/>
          <w:color w:val="000000" w:themeColor="text1"/>
          <w:szCs w:val="21"/>
        </w:rPr>
        <w:t>年考虑降息。</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英国的通胀率也出现了超预期的下降，</w:t>
      </w:r>
      <w:r>
        <w:rPr>
          <w:rFonts w:eastAsiaTheme="minorEastAsia"/>
          <w:color w:val="000000" w:themeColor="text1"/>
          <w:szCs w:val="21"/>
        </w:rPr>
        <w:t>11</w:t>
      </w:r>
      <w:r>
        <w:rPr>
          <w:rFonts w:eastAsiaTheme="minorEastAsia"/>
          <w:color w:val="000000" w:themeColor="text1"/>
          <w:szCs w:val="21"/>
        </w:rPr>
        <w:t>月整体通胀率和核心通胀率同比分别降至</w:t>
      </w:r>
      <w:r>
        <w:rPr>
          <w:rFonts w:eastAsiaTheme="minorEastAsia"/>
          <w:color w:val="000000" w:themeColor="text1"/>
          <w:szCs w:val="21"/>
        </w:rPr>
        <w:t xml:space="preserve">3.9% </w:t>
      </w:r>
      <w:r>
        <w:rPr>
          <w:rFonts w:eastAsiaTheme="minorEastAsia"/>
          <w:color w:val="000000" w:themeColor="text1"/>
          <w:szCs w:val="21"/>
        </w:rPr>
        <w:t>和</w:t>
      </w:r>
      <w:r>
        <w:rPr>
          <w:rFonts w:eastAsiaTheme="minorEastAsia"/>
          <w:color w:val="000000" w:themeColor="text1"/>
          <w:szCs w:val="21"/>
        </w:rPr>
        <w:t>5.1%</w:t>
      </w:r>
      <w:r>
        <w:rPr>
          <w:rFonts w:eastAsiaTheme="minorEastAsia"/>
          <w:color w:val="000000" w:themeColor="text1"/>
          <w:szCs w:val="21"/>
        </w:rPr>
        <w:t>。尽管工资增长仍在上升，但服务业通胀的下降可能会使央行决策者对维持利率更加满意。有迹象表明，英国的经济活动已经触底，</w:t>
      </w:r>
      <w:r>
        <w:rPr>
          <w:rFonts w:eastAsiaTheme="minorEastAsia"/>
          <w:color w:val="000000" w:themeColor="text1"/>
          <w:szCs w:val="21"/>
        </w:rPr>
        <w:t>11</w:t>
      </w:r>
      <w:r>
        <w:rPr>
          <w:rFonts w:eastAsiaTheme="minorEastAsia"/>
          <w:color w:val="000000" w:themeColor="text1"/>
          <w:szCs w:val="21"/>
        </w:rPr>
        <w:t>月和</w:t>
      </w:r>
      <w:r>
        <w:rPr>
          <w:rFonts w:eastAsiaTheme="minorEastAsia"/>
          <w:color w:val="000000" w:themeColor="text1"/>
          <w:szCs w:val="21"/>
        </w:rPr>
        <w:t>12</w:t>
      </w:r>
      <w:r>
        <w:rPr>
          <w:rFonts w:eastAsiaTheme="minorEastAsia"/>
          <w:color w:val="000000" w:themeColor="text1"/>
          <w:szCs w:val="21"/>
        </w:rPr>
        <w:t>月份服务采购经理人指数连续</w:t>
      </w:r>
      <w:r>
        <w:rPr>
          <w:rFonts w:eastAsiaTheme="minorEastAsia"/>
          <w:color w:val="000000" w:themeColor="text1"/>
          <w:szCs w:val="21"/>
        </w:rPr>
        <w:t>2</w:t>
      </w:r>
      <w:r>
        <w:rPr>
          <w:rFonts w:eastAsiaTheme="minorEastAsia"/>
          <w:color w:val="000000" w:themeColor="text1"/>
          <w:szCs w:val="21"/>
        </w:rPr>
        <w:t>个月突破了区分扩张与收缩的关键</w:t>
      </w:r>
      <w:r>
        <w:rPr>
          <w:rFonts w:eastAsiaTheme="minorEastAsia"/>
          <w:color w:val="000000" w:themeColor="text1"/>
          <w:szCs w:val="21"/>
        </w:rPr>
        <w:t>50</w:t>
      </w:r>
      <w:r>
        <w:rPr>
          <w:rFonts w:eastAsiaTheme="minorEastAsia"/>
          <w:color w:val="000000" w:themeColor="text1"/>
          <w:szCs w:val="21"/>
        </w:rPr>
        <w:t>关口。</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谨慎地预期欧洲经济面临的风险并没有消失，各种宏观经济指标表明经济势头正在减弱。利润的不确定性是另一个原因，后疫情经济的动态和企业利润的异常增长仍然很复杂，使预测异常困难。除了这些宏观不确定性之外，还有许多政治和地缘政治的不确定性，在这个阶段很难预测。战争仍在多个边界上发生，这些边界有可能通过全球经济带来进一步的商品价格冲击。</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在这种背景下的好消息是，有迹象表明通胀压力正在放缓。然而，在经济活动没有显著放缓的情况下，央行似乎不太可能提前降息。由于通货膨胀在过去三年的大部分时间里都高于目标，我们预计他们宁愿在宽松政策方面做得太晚而不是太早，以抵消他们努力消除的通货膨胀问题再次加剧的风险。</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总而言之，由于经济</w:t>
      </w:r>
      <w:r>
        <w:rPr>
          <w:rFonts w:eastAsiaTheme="minorEastAsia"/>
          <w:color w:val="000000" w:themeColor="text1"/>
          <w:szCs w:val="21"/>
        </w:rPr>
        <w:t>2024</w:t>
      </w:r>
      <w:r>
        <w:rPr>
          <w:rFonts w:eastAsiaTheme="minorEastAsia"/>
          <w:color w:val="000000" w:themeColor="text1"/>
          <w:szCs w:val="21"/>
        </w:rPr>
        <w:t>年道路的不确定性仍然很高，因此采取多元化的方法似乎是合适的。美国经济软着陆可能有利于欧洲，而在经济出现更深层次的下滑的情况下，英国市场更具防御性的特征可能会令它脱颖而出。</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在</w:t>
      </w:r>
      <w:r>
        <w:rPr>
          <w:rFonts w:eastAsiaTheme="minorEastAsia"/>
          <w:color w:val="000000" w:themeColor="text1"/>
          <w:szCs w:val="21"/>
        </w:rPr>
        <w:t>2022</w:t>
      </w:r>
      <w:r>
        <w:rPr>
          <w:rFonts w:eastAsiaTheme="minorEastAsia"/>
          <w:color w:val="000000" w:themeColor="text1"/>
          <w:szCs w:val="21"/>
        </w:rPr>
        <w:t>年欧股大盘遭到抛售之后，较低的估值为投资者提供了一系列新的股票机会，市场在</w:t>
      </w:r>
      <w:r>
        <w:rPr>
          <w:rFonts w:eastAsiaTheme="minorEastAsia"/>
          <w:color w:val="000000" w:themeColor="text1"/>
          <w:szCs w:val="21"/>
        </w:rPr>
        <w:t>2023</w:t>
      </w:r>
      <w:r>
        <w:rPr>
          <w:rFonts w:eastAsiaTheme="minorEastAsia"/>
          <w:color w:val="000000" w:themeColor="text1"/>
          <w:szCs w:val="21"/>
        </w:rPr>
        <w:t>年出现了稳固的上涨，但这种反弹并未均匀分布。在</w:t>
      </w:r>
      <w:r>
        <w:rPr>
          <w:rFonts w:eastAsiaTheme="minorEastAsia"/>
          <w:color w:val="000000" w:themeColor="text1"/>
          <w:szCs w:val="21"/>
        </w:rPr>
        <w:t>2023</w:t>
      </w:r>
      <w:r>
        <w:rPr>
          <w:rFonts w:eastAsiaTheme="minorEastAsia"/>
          <w:color w:val="000000" w:themeColor="text1"/>
          <w:szCs w:val="21"/>
        </w:rPr>
        <w:t>年的大幅反弹之后，投资者在部署</w:t>
      </w:r>
      <w:r>
        <w:rPr>
          <w:rFonts w:eastAsiaTheme="minorEastAsia"/>
          <w:color w:val="000000" w:themeColor="text1"/>
          <w:szCs w:val="21"/>
        </w:rPr>
        <w:t>2024</w:t>
      </w:r>
      <w:r>
        <w:rPr>
          <w:rFonts w:eastAsiaTheme="minorEastAsia"/>
          <w:color w:val="000000" w:themeColor="text1"/>
          <w:szCs w:val="21"/>
        </w:rPr>
        <w:t>年的仓位时，同时评估风险和机会显得尤为重要。当前这样的环境是主动管理大有可为的环境。主动管理可以让投资者向低估的细分市场倾斜，如果上升的估值是未来市场回调的预警，那么谨慎的证券选择就更加重要。</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在充满风险的环境中，本基金认为高质量的公司，如强劲的资产负债表和具有穿越周期经验的管理团队，将是最值得投资的。</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:8.74%</w:t>
      </w:r>
      <w:r>
        <w:rPr>
          <w:rFonts w:eastAsiaTheme="minorEastAsia"/>
          <w:color w:val="000000" w:themeColor="text1"/>
          <w:szCs w:val="21"/>
        </w:rPr>
        <w:t>，同期业绩比较基准收益率为</w:t>
      </w:r>
      <w:r>
        <w:rPr>
          <w:rFonts w:eastAsiaTheme="minorEastAsia"/>
          <w:color w:val="000000" w:themeColor="text1"/>
          <w:szCs w:val="21"/>
        </w:rPr>
        <w:t>:8.60%</w:t>
      </w:r>
      <w:r>
        <w:rPr>
          <w:rFonts w:eastAsiaTheme="minorEastAsia"/>
          <w:color w:val="000000" w:themeColor="text1"/>
          <w:szCs w:val="21"/>
        </w:rPr>
        <w:t>。</w:t>
      </w:r>
    </w:p>
    <w:p w:rsidR="00EF4716" w:rsidRPr="00A3398F" w:rsidRDefault="00EF4716" w:rsidP="00EF4716">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本报告期本基金</w:t>
      </w:r>
      <w:r w:rsidRPr="00A3398F">
        <w:rPr>
          <w:rFonts w:eastAsiaTheme="minorEastAsia"/>
          <w:color w:val="000000" w:themeColor="text1"/>
          <w:szCs w:val="21"/>
        </w:rPr>
        <w:t>C</w:t>
      </w:r>
      <w:r w:rsidRPr="00A3398F">
        <w:rPr>
          <w:rFonts w:eastAsiaTheme="minorEastAsia"/>
          <w:color w:val="000000" w:themeColor="text1"/>
          <w:szCs w:val="21"/>
        </w:rPr>
        <w:t>份额净值增长率为</w:t>
      </w:r>
      <w:r w:rsidRPr="00A3398F">
        <w:rPr>
          <w:rFonts w:eastAsiaTheme="minorEastAsia"/>
          <w:color w:val="000000" w:themeColor="text1"/>
          <w:szCs w:val="21"/>
        </w:rPr>
        <w:t>:9.02%</w:t>
      </w:r>
      <w:r w:rsidRPr="00A3398F">
        <w:rPr>
          <w:rFonts w:eastAsiaTheme="minorEastAsia"/>
          <w:color w:val="000000" w:themeColor="text1"/>
          <w:szCs w:val="21"/>
        </w:rPr>
        <w:t>，同期业绩比较基准收益率为</w:t>
      </w:r>
      <w:r w:rsidRPr="00A3398F">
        <w:rPr>
          <w:rFonts w:eastAsiaTheme="minorEastAsia"/>
          <w:color w:val="000000" w:themeColor="text1"/>
          <w:szCs w:val="21"/>
        </w:rPr>
        <w:t>:8.60%</w:t>
      </w:r>
      <w:r w:rsidRPr="00A3398F">
        <w:rPr>
          <w:rFonts w:eastAsiaTheme="minorEastAsia"/>
          <w:color w:val="000000" w:themeColor="text1"/>
          <w:szCs w:val="21"/>
        </w:rPr>
        <w:t>。</w:t>
      </w:r>
    </w:p>
    <w:p w:rsidR="00C736BB" w:rsidRPr="00A3398F" w:rsidRDefault="00C736BB" w:rsidP="00A70E23">
      <w:pPr>
        <w:spacing w:line="360" w:lineRule="auto"/>
        <w:ind w:firstLineChars="200" w:firstLine="480"/>
        <w:rPr>
          <w:rFonts w:eastAsiaTheme="minorEastAsia"/>
          <w:color w:val="000000" w:themeColor="text1"/>
          <w:sz w:val="24"/>
        </w:rPr>
      </w:pPr>
    </w:p>
    <w:p w:rsidR="00D9766F" w:rsidRPr="00A3398F" w:rsidRDefault="00D9766F" w:rsidP="00D9766F">
      <w:pPr>
        <w:spacing w:line="360" w:lineRule="auto"/>
        <w:rPr>
          <w:rFonts w:eastAsiaTheme="minorEastAsia"/>
          <w:color w:val="000000" w:themeColor="text1"/>
          <w:sz w:val="24"/>
        </w:rPr>
      </w:pPr>
      <w:r w:rsidRPr="00A3398F">
        <w:rPr>
          <w:rFonts w:eastAsiaTheme="minorEastAsia"/>
          <w:b/>
          <w:color w:val="000000" w:themeColor="text1"/>
          <w:kern w:val="0"/>
          <w:sz w:val="24"/>
        </w:rPr>
        <w:t>4.6</w:t>
      </w:r>
      <w:r w:rsidRPr="00A3398F">
        <w:rPr>
          <w:rFonts w:eastAsiaTheme="minorEastAsia"/>
          <w:b/>
          <w:color w:val="000000" w:themeColor="text1"/>
          <w:kern w:val="0"/>
          <w:sz w:val="24"/>
        </w:rPr>
        <w:t>报告期内基金持有人数或基金资产净值预警说明</w:t>
      </w:r>
    </w:p>
    <w:p w:rsidR="00D9766F" w:rsidRPr="00A3398F" w:rsidRDefault="00D9766F" w:rsidP="00D9766F">
      <w:pPr>
        <w:spacing w:line="360" w:lineRule="auto"/>
        <w:ind w:firstLineChars="200" w:firstLine="420"/>
        <w:rPr>
          <w:rFonts w:eastAsiaTheme="minorEastAsia"/>
          <w:color w:val="000000" w:themeColor="text1"/>
          <w:szCs w:val="21"/>
        </w:rPr>
      </w:pPr>
      <w:r w:rsidRPr="00A3398F">
        <w:rPr>
          <w:rFonts w:eastAsiaTheme="minorEastAsia"/>
          <w:color w:val="000000" w:themeColor="text1"/>
          <w:kern w:val="0"/>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§5  </w:t>
      </w:r>
      <w:r w:rsidRPr="00A3398F">
        <w:rPr>
          <w:rFonts w:eastAsiaTheme="minorEastAsia"/>
          <w:color w:val="000000" w:themeColor="text1"/>
          <w:kern w:val="0"/>
          <w:sz w:val="24"/>
          <w:szCs w:val="24"/>
        </w:rPr>
        <w:t>投资组合报告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5.1 </w:t>
      </w:r>
      <w:r w:rsidRPr="00A3398F">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3398F" w:rsidTr="00592EFF">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序号</w:t>
            </w:r>
          </w:p>
        </w:tc>
        <w:tc>
          <w:tcPr>
            <w:tcW w:w="4253"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项目</w:t>
            </w:r>
          </w:p>
        </w:tc>
        <w:tc>
          <w:tcPr>
            <w:tcW w:w="2835"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金额</w:t>
            </w:r>
            <w:r w:rsidRPr="00A3398F">
              <w:rPr>
                <w:rFonts w:eastAsiaTheme="minorEastAsia"/>
                <w:color w:val="000000" w:themeColor="text1"/>
                <w:szCs w:val="21"/>
              </w:rPr>
              <w:t>(</w:t>
            </w:r>
            <w:r w:rsidR="002655D4" w:rsidRPr="00A3398F">
              <w:rPr>
                <w:rFonts w:eastAsiaTheme="minorEastAsia"/>
                <w:color w:val="000000" w:themeColor="text1"/>
                <w:szCs w:val="21"/>
              </w:rPr>
              <w:t>人民币</w:t>
            </w:r>
            <w:r w:rsidRPr="00A3398F">
              <w:rPr>
                <w:rFonts w:eastAsiaTheme="minorEastAsia"/>
                <w:color w:val="000000" w:themeColor="text1"/>
                <w:szCs w:val="21"/>
              </w:rPr>
              <w:t>元</w:t>
            </w:r>
            <w:r w:rsidRPr="00A3398F">
              <w:rPr>
                <w:rFonts w:eastAsiaTheme="minorEastAsia"/>
                <w:color w:val="000000" w:themeColor="text1"/>
                <w:szCs w:val="21"/>
              </w:rPr>
              <w:t>)</w:t>
            </w:r>
          </w:p>
        </w:tc>
        <w:tc>
          <w:tcPr>
            <w:tcW w:w="1559"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占基金总资产的比例</w:t>
            </w: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1</w:t>
            </w: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权益投资</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72,036,634.74</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85.95</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w:t>
            </w:r>
            <w:r w:rsidR="00E462F4" w:rsidRPr="00A3398F">
              <w:rPr>
                <w:rFonts w:eastAsiaTheme="minorEastAsia"/>
                <w:color w:val="000000" w:themeColor="text1"/>
                <w:szCs w:val="21"/>
              </w:rPr>
              <w:t>普通股</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71,193,152.60</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84.95</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存托凭证</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843,482.14</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1.01</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优先股</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房地产信托</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t>2</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基金投资</w:t>
            </w:r>
          </w:p>
        </w:tc>
        <w:tc>
          <w:tcPr>
            <w:tcW w:w="2835"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3</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固定收益投资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其中：债券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资产支持证券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4</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金融衍生品投资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其中：远期</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期货</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期权</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298" w:firstLine="626"/>
              <w:rPr>
                <w:rFonts w:eastAsiaTheme="minorEastAsia"/>
                <w:color w:val="000000" w:themeColor="text1"/>
                <w:szCs w:val="21"/>
              </w:rPr>
            </w:pPr>
            <w:r w:rsidRPr="00A3398F">
              <w:rPr>
                <w:rFonts w:eastAsiaTheme="minorEastAsia"/>
                <w:color w:val="000000" w:themeColor="text1"/>
                <w:szCs w:val="21"/>
              </w:rPr>
              <w:t>权证</w:t>
            </w:r>
          </w:p>
        </w:tc>
        <w:tc>
          <w:tcPr>
            <w:tcW w:w="2835"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5</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买入返售金融资产</w:t>
            </w:r>
          </w:p>
        </w:tc>
        <w:tc>
          <w:tcPr>
            <w:tcW w:w="2835"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其中：买断式回购的买入返售金融资产</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t>6</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货币市场工具</w:t>
            </w:r>
          </w:p>
        </w:tc>
        <w:tc>
          <w:tcPr>
            <w:tcW w:w="2835"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7</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银行存款和结算备付金合计</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9,423,162.33</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11.24</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8</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其他各项资产</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2,348,022.02</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2.80</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9</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合计</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83,807,819.09</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100.00</w:t>
            </w:r>
          </w:p>
        </w:tc>
      </w:tr>
    </w:tbl>
    <w:p w:rsidR="00F512C0" w:rsidRPr="00A3398F" w:rsidRDefault="00F512C0" w:rsidP="00363E15">
      <w:pPr>
        <w:autoSpaceDE w:val="0"/>
        <w:autoSpaceDN w:val="0"/>
        <w:adjustRightInd w:val="0"/>
        <w:spacing w:line="360" w:lineRule="auto"/>
        <w:jc w:val="left"/>
        <w:rPr>
          <w:rFonts w:eastAsiaTheme="minorEastAsia"/>
          <w:color w:val="000000" w:themeColor="text1"/>
          <w:szCs w:val="21"/>
        </w:rPr>
      </w:pPr>
    </w:p>
    <w:p w:rsidR="0076518F" w:rsidRPr="00A3398F" w:rsidRDefault="00A82C02"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2</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3398F" w:rsidTr="002C042C">
        <w:trPr>
          <w:jc w:val="center"/>
        </w:trPr>
        <w:tc>
          <w:tcPr>
            <w:tcW w:w="2410"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国家（地区）</w:t>
            </w:r>
          </w:p>
        </w:tc>
        <w:tc>
          <w:tcPr>
            <w:tcW w:w="3118"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公允价值</w:t>
            </w:r>
            <w:r w:rsidRPr="00A3398F">
              <w:rPr>
                <w:rFonts w:eastAsiaTheme="minorEastAsia"/>
                <w:color w:val="000000" w:themeColor="text1"/>
                <w:kern w:val="0"/>
                <w:szCs w:val="21"/>
              </w:rPr>
              <w:t>(</w:t>
            </w:r>
            <w:r w:rsidRPr="00A3398F">
              <w:rPr>
                <w:rFonts w:eastAsiaTheme="minorEastAsia"/>
                <w:color w:val="000000" w:themeColor="text1"/>
                <w:kern w:val="0"/>
                <w:szCs w:val="21"/>
              </w:rPr>
              <w:t>人民币元</w:t>
            </w:r>
            <w:r w:rsidRPr="00A3398F">
              <w:rPr>
                <w:rFonts w:eastAsiaTheme="minorEastAsia"/>
                <w:color w:val="000000" w:themeColor="text1"/>
                <w:kern w:val="0"/>
                <w:szCs w:val="21"/>
              </w:rPr>
              <w:t>)</w:t>
            </w:r>
          </w:p>
        </w:tc>
        <w:tc>
          <w:tcPr>
            <w:tcW w:w="3076"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占基金资产净值比例（％）</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英国</w:t>
            </w:r>
          </w:p>
        </w:tc>
        <w:tc>
          <w:tcPr>
            <w:tcW w:w="3118" w:type="dxa"/>
            <w:vAlign w:val="center"/>
          </w:tcPr>
          <w:p w:rsidR="00C938CF" w:rsidRDefault="00236D5F">
            <w:pPr>
              <w:jc w:val="right"/>
            </w:pPr>
            <w:r>
              <w:rPr>
                <w:rFonts w:eastAsiaTheme="minorEastAsia"/>
                <w:color w:val="000000" w:themeColor="text1"/>
                <w:szCs w:val="21"/>
              </w:rPr>
              <w:t>18,148,337.39</w:t>
            </w:r>
          </w:p>
        </w:tc>
        <w:tc>
          <w:tcPr>
            <w:tcW w:w="3076" w:type="dxa"/>
            <w:vAlign w:val="center"/>
          </w:tcPr>
          <w:p w:rsidR="00C938CF" w:rsidRDefault="00236D5F">
            <w:pPr>
              <w:jc w:val="right"/>
            </w:pPr>
            <w:r>
              <w:rPr>
                <w:rFonts w:eastAsiaTheme="minorEastAsia"/>
                <w:color w:val="000000" w:themeColor="text1"/>
                <w:szCs w:val="21"/>
              </w:rPr>
              <w:t>22.34</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法国</w:t>
            </w:r>
          </w:p>
        </w:tc>
        <w:tc>
          <w:tcPr>
            <w:tcW w:w="3118" w:type="dxa"/>
            <w:vAlign w:val="center"/>
          </w:tcPr>
          <w:p w:rsidR="00C938CF" w:rsidRDefault="00236D5F">
            <w:pPr>
              <w:jc w:val="right"/>
            </w:pPr>
            <w:r>
              <w:rPr>
                <w:rFonts w:eastAsiaTheme="minorEastAsia"/>
                <w:color w:val="000000" w:themeColor="text1"/>
                <w:szCs w:val="21"/>
              </w:rPr>
              <w:t>17,656,366.88</w:t>
            </w:r>
          </w:p>
        </w:tc>
        <w:tc>
          <w:tcPr>
            <w:tcW w:w="3076" w:type="dxa"/>
            <w:vAlign w:val="center"/>
          </w:tcPr>
          <w:p w:rsidR="00C938CF" w:rsidRDefault="00236D5F">
            <w:pPr>
              <w:jc w:val="right"/>
            </w:pPr>
            <w:r>
              <w:rPr>
                <w:rFonts w:eastAsiaTheme="minorEastAsia"/>
                <w:color w:val="000000" w:themeColor="text1"/>
                <w:szCs w:val="21"/>
              </w:rPr>
              <w:t>21.74</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德国</w:t>
            </w:r>
          </w:p>
        </w:tc>
        <w:tc>
          <w:tcPr>
            <w:tcW w:w="3118" w:type="dxa"/>
            <w:vAlign w:val="center"/>
          </w:tcPr>
          <w:p w:rsidR="00C938CF" w:rsidRDefault="00236D5F">
            <w:pPr>
              <w:jc w:val="right"/>
            </w:pPr>
            <w:r>
              <w:rPr>
                <w:rFonts w:eastAsiaTheme="minorEastAsia"/>
                <w:color w:val="000000" w:themeColor="text1"/>
                <w:szCs w:val="21"/>
              </w:rPr>
              <w:t>7,759,578.89</w:t>
            </w:r>
          </w:p>
        </w:tc>
        <w:tc>
          <w:tcPr>
            <w:tcW w:w="3076" w:type="dxa"/>
            <w:vAlign w:val="center"/>
          </w:tcPr>
          <w:p w:rsidR="00C938CF" w:rsidRDefault="00236D5F">
            <w:pPr>
              <w:jc w:val="right"/>
            </w:pPr>
            <w:r>
              <w:rPr>
                <w:rFonts w:eastAsiaTheme="minorEastAsia"/>
                <w:color w:val="000000" w:themeColor="text1"/>
                <w:szCs w:val="21"/>
              </w:rPr>
              <w:t>9.55</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瑞士</w:t>
            </w:r>
          </w:p>
        </w:tc>
        <w:tc>
          <w:tcPr>
            <w:tcW w:w="3118" w:type="dxa"/>
            <w:vAlign w:val="center"/>
          </w:tcPr>
          <w:p w:rsidR="00C938CF" w:rsidRDefault="00236D5F">
            <w:pPr>
              <w:jc w:val="right"/>
            </w:pPr>
            <w:r>
              <w:rPr>
                <w:rFonts w:eastAsiaTheme="minorEastAsia"/>
                <w:color w:val="000000" w:themeColor="text1"/>
                <w:szCs w:val="21"/>
              </w:rPr>
              <w:t>6,995,417.32</w:t>
            </w:r>
          </w:p>
        </w:tc>
        <w:tc>
          <w:tcPr>
            <w:tcW w:w="3076" w:type="dxa"/>
            <w:vAlign w:val="center"/>
          </w:tcPr>
          <w:p w:rsidR="00C938CF" w:rsidRDefault="00236D5F">
            <w:pPr>
              <w:jc w:val="right"/>
            </w:pPr>
            <w:r>
              <w:rPr>
                <w:rFonts w:eastAsiaTheme="minorEastAsia"/>
                <w:color w:val="000000" w:themeColor="text1"/>
                <w:szCs w:val="21"/>
              </w:rPr>
              <w:t>8.61</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瑞典</w:t>
            </w:r>
          </w:p>
        </w:tc>
        <w:tc>
          <w:tcPr>
            <w:tcW w:w="3118" w:type="dxa"/>
            <w:vAlign w:val="center"/>
          </w:tcPr>
          <w:p w:rsidR="00C938CF" w:rsidRDefault="00236D5F">
            <w:pPr>
              <w:jc w:val="right"/>
            </w:pPr>
            <w:r>
              <w:rPr>
                <w:rFonts w:eastAsiaTheme="minorEastAsia"/>
                <w:color w:val="000000" w:themeColor="text1"/>
                <w:szCs w:val="21"/>
              </w:rPr>
              <w:t>5,285,754.74</w:t>
            </w:r>
          </w:p>
        </w:tc>
        <w:tc>
          <w:tcPr>
            <w:tcW w:w="3076" w:type="dxa"/>
            <w:vAlign w:val="center"/>
          </w:tcPr>
          <w:p w:rsidR="00C938CF" w:rsidRDefault="00236D5F">
            <w:pPr>
              <w:jc w:val="right"/>
            </w:pPr>
            <w:r>
              <w:rPr>
                <w:rFonts w:eastAsiaTheme="minorEastAsia"/>
                <w:color w:val="000000" w:themeColor="text1"/>
                <w:szCs w:val="21"/>
              </w:rPr>
              <w:t>6.51</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荷兰</w:t>
            </w:r>
          </w:p>
        </w:tc>
        <w:tc>
          <w:tcPr>
            <w:tcW w:w="3118" w:type="dxa"/>
            <w:vAlign w:val="center"/>
          </w:tcPr>
          <w:p w:rsidR="00C938CF" w:rsidRDefault="00236D5F">
            <w:pPr>
              <w:jc w:val="right"/>
            </w:pPr>
            <w:r>
              <w:rPr>
                <w:rFonts w:eastAsiaTheme="minorEastAsia"/>
                <w:color w:val="000000" w:themeColor="text1"/>
                <w:szCs w:val="21"/>
              </w:rPr>
              <w:t>4,299,550.62</w:t>
            </w:r>
          </w:p>
        </w:tc>
        <w:tc>
          <w:tcPr>
            <w:tcW w:w="3076" w:type="dxa"/>
            <w:vAlign w:val="center"/>
          </w:tcPr>
          <w:p w:rsidR="00C938CF" w:rsidRDefault="00236D5F">
            <w:pPr>
              <w:jc w:val="right"/>
            </w:pPr>
            <w:r>
              <w:rPr>
                <w:rFonts w:eastAsiaTheme="minorEastAsia"/>
                <w:color w:val="000000" w:themeColor="text1"/>
                <w:szCs w:val="21"/>
              </w:rPr>
              <w:t>5.29</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意大利</w:t>
            </w:r>
          </w:p>
        </w:tc>
        <w:tc>
          <w:tcPr>
            <w:tcW w:w="3118" w:type="dxa"/>
            <w:vAlign w:val="center"/>
          </w:tcPr>
          <w:p w:rsidR="00C938CF" w:rsidRDefault="00236D5F">
            <w:pPr>
              <w:jc w:val="right"/>
            </w:pPr>
            <w:r>
              <w:rPr>
                <w:rFonts w:eastAsiaTheme="minorEastAsia"/>
                <w:color w:val="000000" w:themeColor="text1"/>
                <w:szCs w:val="21"/>
              </w:rPr>
              <w:t>3,302,416.74</w:t>
            </w:r>
          </w:p>
        </w:tc>
        <w:tc>
          <w:tcPr>
            <w:tcW w:w="3076" w:type="dxa"/>
            <w:vAlign w:val="center"/>
          </w:tcPr>
          <w:p w:rsidR="00C938CF" w:rsidRDefault="00236D5F">
            <w:pPr>
              <w:jc w:val="right"/>
            </w:pPr>
            <w:r>
              <w:rPr>
                <w:rFonts w:eastAsiaTheme="minorEastAsia"/>
                <w:color w:val="000000" w:themeColor="text1"/>
                <w:szCs w:val="21"/>
              </w:rPr>
              <w:t>4.07</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西班牙</w:t>
            </w:r>
          </w:p>
        </w:tc>
        <w:tc>
          <w:tcPr>
            <w:tcW w:w="3118" w:type="dxa"/>
            <w:vAlign w:val="center"/>
          </w:tcPr>
          <w:p w:rsidR="00C938CF" w:rsidRDefault="00236D5F">
            <w:pPr>
              <w:jc w:val="right"/>
            </w:pPr>
            <w:r>
              <w:rPr>
                <w:rFonts w:eastAsiaTheme="minorEastAsia"/>
                <w:color w:val="000000" w:themeColor="text1"/>
                <w:szCs w:val="21"/>
              </w:rPr>
              <w:t>2,457,657.26</w:t>
            </w:r>
          </w:p>
        </w:tc>
        <w:tc>
          <w:tcPr>
            <w:tcW w:w="3076" w:type="dxa"/>
            <w:vAlign w:val="center"/>
          </w:tcPr>
          <w:p w:rsidR="00C938CF" w:rsidRDefault="00236D5F">
            <w:pPr>
              <w:jc w:val="right"/>
            </w:pPr>
            <w:r>
              <w:rPr>
                <w:rFonts w:eastAsiaTheme="minorEastAsia"/>
                <w:color w:val="000000" w:themeColor="text1"/>
                <w:szCs w:val="21"/>
              </w:rPr>
              <w:t>3.03</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丹麦</w:t>
            </w:r>
          </w:p>
        </w:tc>
        <w:tc>
          <w:tcPr>
            <w:tcW w:w="3118" w:type="dxa"/>
            <w:vAlign w:val="center"/>
          </w:tcPr>
          <w:p w:rsidR="00C938CF" w:rsidRDefault="00236D5F">
            <w:pPr>
              <w:jc w:val="right"/>
            </w:pPr>
            <w:r>
              <w:rPr>
                <w:rFonts w:eastAsiaTheme="minorEastAsia"/>
                <w:color w:val="000000" w:themeColor="text1"/>
                <w:szCs w:val="21"/>
              </w:rPr>
              <w:t>2,422,865.23</w:t>
            </w:r>
          </w:p>
        </w:tc>
        <w:tc>
          <w:tcPr>
            <w:tcW w:w="3076" w:type="dxa"/>
            <w:vAlign w:val="center"/>
          </w:tcPr>
          <w:p w:rsidR="00C938CF" w:rsidRDefault="00236D5F">
            <w:pPr>
              <w:jc w:val="right"/>
            </w:pPr>
            <w:r>
              <w:rPr>
                <w:rFonts w:eastAsiaTheme="minorEastAsia"/>
                <w:color w:val="000000" w:themeColor="text1"/>
                <w:szCs w:val="21"/>
              </w:rPr>
              <w:t>2.98</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爱尔兰</w:t>
            </w:r>
          </w:p>
        </w:tc>
        <w:tc>
          <w:tcPr>
            <w:tcW w:w="3118" w:type="dxa"/>
            <w:vAlign w:val="center"/>
          </w:tcPr>
          <w:p w:rsidR="00C938CF" w:rsidRDefault="00236D5F">
            <w:pPr>
              <w:jc w:val="right"/>
            </w:pPr>
            <w:r>
              <w:rPr>
                <w:rFonts w:eastAsiaTheme="minorEastAsia"/>
                <w:color w:val="000000" w:themeColor="text1"/>
                <w:szCs w:val="21"/>
              </w:rPr>
              <w:t>1,801,143.47</w:t>
            </w:r>
          </w:p>
        </w:tc>
        <w:tc>
          <w:tcPr>
            <w:tcW w:w="3076" w:type="dxa"/>
            <w:vAlign w:val="center"/>
          </w:tcPr>
          <w:p w:rsidR="00C938CF" w:rsidRDefault="00236D5F">
            <w:pPr>
              <w:jc w:val="right"/>
            </w:pPr>
            <w:r>
              <w:rPr>
                <w:rFonts w:eastAsiaTheme="minorEastAsia"/>
                <w:color w:val="000000" w:themeColor="text1"/>
                <w:szCs w:val="21"/>
              </w:rPr>
              <w:t>2.22</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美国</w:t>
            </w:r>
          </w:p>
        </w:tc>
        <w:tc>
          <w:tcPr>
            <w:tcW w:w="3118" w:type="dxa"/>
            <w:vAlign w:val="center"/>
          </w:tcPr>
          <w:p w:rsidR="00C938CF" w:rsidRDefault="00236D5F">
            <w:pPr>
              <w:jc w:val="right"/>
            </w:pPr>
            <w:r>
              <w:rPr>
                <w:rFonts w:eastAsiaTheme="minorEastAsia"/>
                <w:color w:val="000000" w:themeColor="text1"/>
                <w:szCs w:val="21"/>
              </w:rPr>
              <w:t>843,482.14</w:t>
            </w:r>
          </w:p>
        </w:tc>
        <w:tc>
          <w:tcPr>
            <w:tcW w:w="3076" w:type="dxa"/>
            <w:vAlign w:val="center"/>
          </w:tcPr>
          <w:p w:rsidR="00C938CF" w:rsidRDefault="00236D5F">
            <w:pPr>
              <w:jc w:val="right"/>
            </w:pPr>
            <w:r>
              <w:rPr>
                <w:rFonts w:eastAsiaTheme="minorEastAsia"/>
                <w:color w:val="000000" w:themeColor="text1"/>
                <w:szCs w:val="21"/>
              </w:rPr>
              <w:t>1.04</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挪威</w:t>
            </w:r>
          </w:p>
        </w:tc>
        <w:tc>
          <w:tcPr>
            <w:tcW w:w="3118" w:type="dxa"/>
            <w:vAlign w:val="center"/>
          </w:tcPr>
          <w:p w:rsidR="00C938CF" w:rsidRDefault="00236D5F">
            <w:pPr>
              <w:jc w:val="right"/>
            </w:pPr>
            <w:r>
              <w:rPr>
                <w:rFonts w:eastAsiaTheme="minorEastAsia"/>
                <w:color w:val="000000" w:themeColor="text1"/>
                <w:szCs w:val="21"/>
              </w:rPr>
              <w:t>550,234.28</w:t>
            </w:r>
          </w:p>
        </w:tc>
        <w:tc>
          <w:tcPr>
            <w:tcW w:w="3076" w:type="dxa"/>
            <w:vAlign w:val="center"/>
          </w:tcPr>
          <w:p w:rsidR="00C938CF" w:rsidRDefault="00236D5F">
            <w:pPr>
              <w:jc w:val="right"/>
            </w:pPr>
            <w:r>
              <w:rPr>
                <w:rFonts w:eastAsiaTheme="minorEastAsia"/>
                <w:color w:val="000000" w:themeColor="text1"/>
                <w:szCs w:val="21"/>
              </w:rPr>
              <w:t>0.68</w:t>
            </w:r>
          </w:p>
        </w:tc>
      </w:tr>
      <w:tr w:rsidR="00C938CF">
        <w:trPr>
          <w:jc w:val="center"/>
        </w:trPr>
        <w:tc>
          <w:tcPr>
            <w:tcW w:w="2410" w:type="dxa"/>
            <w:vAlign w:val="center"/>
          </w:tcPr>
          <w:p w:rsidR="00C938CF" w:rsidRDefault="00236D5F">
            <w:pPr>
              <w:jc w:val="left"/>
            </w:pPr>
            <w:r>
              <w:rPr>
                <w:rFonts w:eastAsiaTheme="minorEastAsia"/>
                <w:color w:val="000000" w:themeColor="text1"/>
                <w:szCs w:val="21"/>
              </w:rPr>
              <w:t>奥地利</w:t>
            </w:r>
          </w:p>
        </w:tc>
        <w:tc>
          <w:tcPr>
            <w:tcW w:w="3118" w:type="dxa"/>
            <w:vAlign w:val="center"/>
          </w:tcPr>
          <w:p w:rsidR="00C938CF" w:rsidRDefault="00236D5F">
            <w:pPr>
              <w:jc w:val="right"/>
            </w:pPr>
            <w:r>
              <w:rPr>
                <w:rFonts w:eastAsiaTheme="minorEastAsia"/>
                <w:color w:val="000000" w:themeColor="text1"/>
                <w:szCs w:val="21"/>
              </w:rPr>
              <w:t>513,829.78</w:t>
            </w:r>
          </w:p>
        </w:tc>
        <w:tc>
          <w:tcPr>
            <w:tcW w:w="3076" w:type="dxa"/>
            <w:vAlign w:val="center"/>
          </w:tcPr>
          <w:p w:rsidR="00C938CF" w:rsidRDefault="00236D5F">
            <w:pPr>
              <w:jc w:val="right"/>
            </w:pPr>
            <w:r>
              <w:rPr>
                <w:rFonts w:eastAsiaTheme="minorEastAsia"/>
                <w:color w:val="000000" w:themeColor="text1"/>
                <w:szCs w:val="21"/>
              </w:rPr>
              <w:t>0.63</w:t>
            </w:r>
          </w:p>
        </w:tc>
      </w:tr>
      <w:tr w:rsidR="008277FF" w:rsidRPr="00A3398F" w:rsidTr="00877D98">
        <w:trPr>
          <w:jc w:val="center"/>
        </w:trPr>
        <w:tc>
          <w:tcPr>
            <w:tcW w:w="2410" w:type="dxa"/>
            <w:vAlign w:val="center"/>
          </w:tcPr>
          <w:p w:rsidR="002C042C" w:rsidRPr="00A3398F" w:rsidRDefault="002C042C" w:rsidP="00877D98">
            <w:pPr>
              <w:autoSpaceDE w:val="0"/>
              <w:autoSpaceDN w:val="0"/>
              <w:adjustRightInd w:val="0"/>
              <w:spacing w:before="29" w:line="360" w:lineRule="auto"/>
              <w:rPr>
                <w:rFonts w:eastAsiaTheme="minorEastAsia"/>
                <w:color w:val="000000" w:themeColor="text1"/>
                <w:szCs w:val="21"/>
              </w:rPr>
            </w:pPr>
            <w:r w:rsidRPr="00A3398F">
              <w:rPr>
                <w:rFonts w:eastAsiaTheme="minorEastAsia"/>
                <w:color w:val="000000" w:themeColor="text1"/>
                <w:szCs w:val="21"/>
              </w:rPr>
              <w:t>合计</w:t>
            </w:r>
          </w:p>
        </w:tc>
        <w:tc>
          <w:tcPr>
            <w:tcW w:w="3118" w:type="dxa"/>
            <w:vAlign w:val="center"/>
          </w:tcPr>
          <w:p w:rsidR="002C042C" w:rsidRPr="00A3398F" w:rsidRDefault="002C042C" w:rsidP="00877D98">
            <w:pPr>
              <w:autoSpaceDE w:val="0"/>
              <w:autoSpaceDN w:val="0"/>
              <w:adjustRightInd w:val="0"/>
              <w:spacing w:before="29" w:line="360" w:lineRule="auto"/>
              <w:jc w:val="right"/>
              <w:rPr>
                <w:rFonts w:eastAsiaTheme="minorEastAsia"/>
                <w:color w:val="000000" w:themeColor="text1"/>
                <w:szCs w:val="21"/>
              </w:rPr>
            </w:pPr>
            <w:r w:rsidRPr="00A3398F">
              <w:rPr>
                <w:rFonts w:eastAsiaTheme="minorEastAsia"/>
                <w:color w:val="000000" w:themeColor="text1"/>
                <w:szCs w:val="21"/>
              </w:rPr>
              <w:t>72,036,634.74</w:t>
            </w:r>
          </w:p>
        </w:tc>
        <w:tc>
          <w:tcPr>
            <w:tcW w:w="3076" w:type="dxa"/>
            <w:vAlign w:val="center"/>
          </w:tcPr>
          <w:p w:rsidR="002C042C" w:rsidRPr="00A3398F" w:rsidRDefault="002C042C" w:rsidP="00877D98">
            <w:pPr>
              <w:autoSpaceDE w:val="0"/>
              <w:autoSpaceDN w:val="0"/>
              <w:adjustRightInd w:val="0"/>
              <w:spacing w:before="29" w:line="360" w:lineRule="auto"/>
              <w:jc w:val="right"/>
              <w:rPr>
                <w:rFonts w:eastAsiaTheme="minorEastAsia"/>
                <w:color w:val="000000" w:themeColor="text1"/>
                <w:szCs w:val="21"/>
              </w:rPr>
            </w:pPr>
            <w:r w:rsidRPr="00A3398F">
              <w:rPr>
                <w:rFonts w:eastAsiaTheme="minorEastAsia"/>
                <w:color w:val="000000" w:themeColor="text1"/>
                <w:szCs w:val="21"/>
              </w:rPr>
              <w:t>88.69</w:t>
            </w:r>
          </w:p>
        </w:tc>
      </w:tr>
    </w:tbl>
    <w:p w:rsidR="00363E15" w:rsidRPr="00A3398F" w:rsidRDefault="00363E15" w:rsidP="00363E15">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注：国家（地区）类别根据其所在的证券交易所确定，</w:t>
      </w:r>
      <w:r w:rsidRPr="00A3398F">
        <w:rPr>
          <w:rFonts w:eastAsiaTheme="minorEastAsia"/>
          <w:color w:val="000000" w:themeColor="text1"/>
          <w:szCs w:val="21"/>
        </w:rPr>
        <w:t>ADR</w:t>
      </w:r>
      <w:r w:rsidRPr="00A3398F">
        <w:rPr>
          <w:rFonts w:eastAsiaTheme="minorEastAsia"/>
          <w:color w:val="000000" w:themeColor="text1"/>
          <w:szCs w:val="21"/>
        </w:rPr>
        <w:t>、</w:t>
      </w:r>
      <w:r w:rsidRPr="00A3398F">
        <w:rPr>
          <w:rFonts w:eastAsiaTheme="minorEastAsia"/>
          <w:color w:val="000000" w:themeColor="text1"/>
          <w:szCs w:val="21"/>
        </w:rPr>
        <w:t>GDR</w:t>
      </w:r>
      <w:r w:rsidRPr="00A3398F">
        <w:rPr>
          <w:rFonts w:eastAsiaTheme="minorEastAsia"/>
          <w:color w:val="000000" w:themeColor="text1"/>
          <w:szCs w:val="21"/>
        </w:rPr>
        <w:t>按照存托凭证本身挂牌的证券交易所确定。</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3</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3398F" w:rsidTr="008B2EAD">
        <w:tc>
          <w:tcPr>
            <w:tcW w:w="2787"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行业类别</w:t>
            </w:r>
          </w:p>
        </w:tc>
        <w:tc>
          <w:tcPr>
            <w:tcW w:w="2551"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公允价值（人民币元）</w:t>
            </w:r>
          </w:p>
        </w:tc>
        <w:tc>
          <w:tcPr>
            <w:tcW w:w="3175"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占基金资产净值比例（％）</w:t>
            </w:r>
          </w:p>
        </w:tc>
      </w:tr>
      <w:tr w:rsidR="00C938CF">
        <w:tc>
          <w:tcPr>
            <w:tcW w:w="2787" w:type="dxa"/>
            <w:vAlign w:val="center"/>
          </w:tcPr>
          <w:p w:rsidR="00C938CF" w:rsidRDefault="00236D5F">
            <w:pPr>
              <w:jc w:val="left"/>
            </w:pPr>
            <w:r>
              <w:rPr>
                <w:rFonts w:eastAsiaTheme="minorEastAsia"/>
                <w:color w:val="000000" w:themeColor="text1"/>
                <w:szCs w:val="21"/>
              </w:rPr>
              <w:t>金融</w:t>
            </w:r>
          </w:p>
        </w:tc>
        <w:tc>
          <w:tcPr>
            <w:tcW w:w="2551" w:type="dxa"/>
            <w:vAlign w:val="center"/>
          </w:tcPr>
          <w:p w:rsidR="00C938CF" w:rsidRDefault="00236D5F">
            <w:pPr>
              <w:jc w:val="right"/>
            </w:pPr>
            <w:r>
              <w:rPr>
                <w:rFonts w:eastAsiaTheme="minorEastAsia"/>
                <w:color w:val="000000" w:themeColor="text1"/>
                <w:szCs w:val="21"/>
              </w:rPr>
              <w:t>14,938,492.34</w:t>
            </w:r>
          </w:p>
        </w:tc>
        <w:tc>
          <w:tcPr>
            <w:tcW w:w="3175" w:type="dxa"/>
            <w:vAlign w:val="center"/>
          </w:tcPr>
          <w:p w:rsidR="00C938CF" w:rsidRDefault="00236D5F">
            <w:pPr>
              <w:jc w:val="right"/>
            </w:pPr>
            <w:r>
              <w:rPr>
                <w:rFonts w:eastAsiaTheme="minorEastAsia"/>
                <w:color w:val="000000" w:themeColor="text1"/>
                <w:szCs w:val="21"/>
              </w:rPr>
              <w:t>18.39</w:t>
            </w:r>
          </w:p>
        </w:tc>
      </w:tr>
      <w:tr w:rsidR="00C938CF">
        <w:tc>
          <w:tcPr>
            <w:tcW w:w="2787" w:type="dxa"/>
            <w:vAlign w:val="center"/>
          </w:tcPr>
          <w:p w:rsidR="00C938CF" w:rsidRDefault="00236D5F">
            <w:pPr>
              <w:jc w:val="left"/>
            </w:pPr>
            <w:r>
              <w:rPr>
                <w:rFonts w:eastAsiaTheme="minorEastAsia"/>
                <w:color w:val="000000" w:themeColor="text1"/>
                <w:szCs w:val="21"/>
              </w:rPr>
              <w:t>工业</w:t>
            </w:r>
          </w:p>
        </w:tc>
        <w:tc>
          <w:tcPr>
            <w:tcW w:w="2551" w:type="dxa"/>
            <w:vAlign w:val="center"/>
          </w:tcPr>
          <w:p w:rsidR="00C938CF" w:rsidRDefault="00236D5F">
            <w:pPr>
              <w:jc w:val="right"/>
            </w:pPr>
            <w:r>
              <w:rPr>
                <w:rFonts w:eastAsiaTheme="minorEastAsia"/>
                <w:color w:val="000000" w:themeColor="text1"/>
                <w:szCs w:val="21"/>
              </w:rPr>
              <w:t>13,029,289.07</w:t>
            </w:r>
          </w:p>
        </w:tc>
        <w:tc>
          <w:tcPr>
            <w:tcW w:w="3175" w:type="dxa"/>
            <w:vAlign w:val="center"/>
          </w:tcPr>
          <w:p w:rsidR="00C938CF" w:rsidRDefault="00236D5F">
            <w:pPr>
              <w:jc w:val="right"/>
            </w:pPr>
            <w:r>
              <w:rPr>
                <w:rFonts w:eastAsiaTheme="minorEastAsia"/>
                <w:color w:val="000000" w:themeColor="text1"/>
                <w:szCs w:val="21"/>
              </w:rPr>
              <w:t>16.04</w:t>
            </w:r>
          </w:p>
        </w:tc>
      </w:tr>
      <w:tr w:rsidR="00C938CF">
        <w:tc>
          <w:tcPr>
            <w:tcW w:w="2787" w:type="dxa"/>
            <w:vAlign w:val="center"/>
          </w:tcPr>
          <w:p w:rsidR="00C938CF" w:rsidRDefault="00236D5F">
            <w:pPr>
              <w:jc w:val="left"/>
            </w:pPr>
            <w:r>
              <w:rPr>
                <w:rFonts w:eastAsiaTheme="minorEastAsia"/>
                <w:color w:val="000000" w:themeColor="text1"/>
                <w:szCs w:val="21"/>
              </w:rPr>
              <w:t>消费者非必需品</w:t>
            </w:r>
          </w:p>
        </w:tc>
        <w:tc>
          <w:tcPr>
            <w:tcW w:w="2551" w:type="dxa"/>
            <w:vAlign w:val="center"/>
          </w:tcPr>
          <w:p w:rsidR="00C938CF" w:rsidRDefault="00236D5F">
            <w:pPr>
              <w:jc w:val="right"/>
            </w:pPr>
            <w:r>
              <w:rPr>
                <w:rFonts w:eastAsiaTheme="minorEastAsia"/>
                <w:color w:val="000000" w:themeColor="text1"/>
                <w:szCs w:val="21"/>
              </w:rPr>
              <w:t>10,499,388.16</w:t>
            </w:r>
          </w:p>
        </w:tc>
        <w:tc>
          <w:tcPr>
            <w:tcW w:w="3175" w:type="dxa"/>
            <w:vAlign w:val="center"/>
          </w:tcPr>
          <w:p w:rsidR="00C938CF" w:rsidRDefault="00236D5F">
            <w:pPr>
              <w:jc w:val="right"/>
            </w:pPr>
            <w:r>
              <w:rPr>
                <w:rFonts w:eastAsiaTheme="minorEastAsia"/>
                <w:color w:val="000000" w:themeColor="text1"/>
                <w:szCs w:val="21"/>
              </w:rPr>
              <w:t>12.93</w:t>
            </w:r>
          </w:p>
        </w:tc>
      </w:tr>
      <w:tr w:rsidR="00C938CF">
        <w:tc>
          <w:tcPr>
            <w:tcW w:w="2787" w:type="dxa"/>
            <w:vAlign w:val="center"/>
          </w:tcPr>
          <w:p w:rsidR="00C938CF" w:rsidRDefault="00236D5F">
            <w:pPr>
              <w:jc w:val="left"/>
            </w:pPr>
            <w:r>
              <w:rPr>
                <w:rFonts w:eastAsiaTheme="minorEastAsia"/>
                <w:color w:val="000000" w:themeColor="text1"/>
                <w:szCs w:val="21"/>
              </w:rPr>
              <w:t>医疗保健</w:t>
            </w:r>
          </w:p>
        </w:tc>
        <w:tc>
          <w:tcPr>
            <w:tcW w:w="2551" w:type="dxa"/>
            <w:vAlign w:val="center"/>
          </w:tcPr>
          <w:p w:rsidR="00C938CF" w:rsidRDefault="00236D5F">
            <w:pPr>
              <w:jc w:val="right"/>
            </w:pPr>
            <w:r>
              <w:rPr>
                <w:rFonts w:eastAsiaTheme="minorEastAsia"/>
                <w:color w:val="000000" w:themeColor="text1"/>
                <w:szCs w:val="21"/>
              </w:rPr>
              <w:t>6,715,882.10</w:t>
            </w:r>
          </w:p>
        </w:tc>
        <w:tc>
          <w:tcPr>
            <w:tcW w:w="3175" w:type="dxa"/>
            <w:vAlign w:val="center"/>
          </w:tcPr>
          <w:p w:rsidR="00C938CF" w:rsidRDefault="00236D5F">
            <w:pPr>
              <w:jc w:val="right"/>
            </w:pPr>
            <w:r>
              <w:rPr>
                <w:rFonts w:eastAsiaTheme="minorEastAsia"/>
                <w:color w:val="000000" w:themeColor="text1"/>
                <w:szCs w:val="21"/>
              </w:rPr>
              <w:t>8.27</w:t>
            </w:r>
          </w:p>
        </w:tc>
      </w:tr>
      <w:tr w:rsidR="00C938CF">
        <w:tc>
          <w:tcPr>
            <w:tcW w:w="2787" w:type="dxa"/>
            <w:vAlign w:val="center"/>
          </w:tcPr>
          <w:p w:rsidR="00C938CF" w:rsidRDefault="00236D5F">
            <w:pPr>
              <w:jc w:val="left"/>
            </w:pPr>
            <w:r>
              <w:rPr>
                <w:rFonts w:eastAsiaTheme="minorEastAsia"/>
                <w:color w:val="000000" w:themeColor="text1"/>
                <w:szCs w:val="21"/>
              </w:rPr>
              <w:t>能源</w:t>
            </w:r>
          </w:p>
        </w:tc>
        <w:tc>
          <w:tcPr>
            <w:tcW w:w="2551" w:type="dxa"/>
            <w:vAlign w:val="center"/>
          </w:tcPr>
          <w:p w:rsidR="00C938CF" w:rsidRDefault="00236D5F">
            <w:pPr>
              <w:jc w:val="right"/>
            </w:pPr>
            <w:r>
              <w:rPr>
                <w:rFonts w:eastAsiaTheme="minorEastAsia"/>
                <w:color w:val="000000" w:themeColor="text1"/>
                <w:szCs w:val="21"/>
              </w:rPr>
              <w:t>6,012,625.23</w:t>
            </w:r>
          </w:p>
        </w:tc>
        <w:tc>
          <w:tcPr>
            <w:tcW w:w="3175" w:type="dxa"/>
            <w:vAlign w:val="center"/>
          </w:tcPr>
          <w:p w:rsidR="00C938CF" w:rsidRDefault="00236D5F">
            <w:pPr>
              <w:jc w:val="right"/>
            </w:pPr>
            <w:r>
              <w:rPr>
                <w:rFonts w:eastAsiaTheme="minorEastAsia"/>
                <w:color w:val="000000" w:themeColor="text1"/>
                <w:szCs w:val="21"/>
              </w:rPr>
              <w:t>7.40</w:t>
            </w:r>
          </w:p>
        </w:tc>
      </w:tr>
      <w:tr w:rsidR="00C938CF">
        <w:tc>
          <w:tcPr>
            <w:tcW w:w="2787" w:type="dxa"/>
            <w:vAlign w:val="center"/>
          </w:tcPr>
          <w:p w:rsidR="00C938CF" w:rsidRDefault="00236D5F">
            <w:pPr>
              <w:jc w:val="left"/>
            </w:pPr>
            <w:r>
              <w:rPr>
                <w:rFonts w:eastAsiaTheme="minorEastAsia"/>
                <w:color w:val="000000" w:themeColor="text1"/>
                <w:szCs w:val="21"/>
              </w:rPr>
              <w:t>基础材料</w:t>
            </w:r>
          </w:p>
        </w:tc>
        <w:tc>
          <w:tcPr>
            <w:tcW w:w="2551" w:type="dxa"/>
            <w:vAlign w:val="center"/>
          </w:tcPr>
          <w:p w:rsidR="00C938CF" w:rsidRDefault="00236D5F">
            <w:pPr>
              <w:jc w:val="right"/>
            </w:pPr>
            <w:r>
              <w:rPr>
                <w:rFonts w:eastAsiaTheme="minorEastAsia"/>
                <w:color w:val="000000" w:themeColor="text1"/>
                <w:szCs w:val="21"/>
              </w:rPr>
              <w:t>5,123,165.02</w:t>
            </w:r>
          </w:p>
        </w:tc>
        <w:tc>
          <w:tcPr>
            <w:tcW w:w="3175" w:type="dxa"/>
            <w:vAlign w:val="center"/>
          </w:tcPr>
          <w:p w:rsidR="00C938CF" w:rsidRDefault="00236D5F">
            <w:pPr>
              <w:jc w:val="right"/>
            </w:pPr>
            <w:r>
              <w:rPr>
                <w:rFonts w:eastAsiaTheme="minorEastAsia"/>
                <w:color w:val="000000" w:themeColor="text1"/>
                <w:szCs w:val="21"/>
              </w:rPr>
              <w:t>6.31</w:t>
            </w:r>
          </w:p>
        </w:tc>
      </w:tr>
      <w:tr w:rsidR="00C938CF">
        <w:tc>
          <w:tcPr>
            <w:tcW w:w="2787" w:type="dxa"/>
            <w:vAlign w:val="center"/>
          </w:tcPr>
          <w:p w:rsidR="00C938CF" w:rsidRDefault="00236D5F">
            <w:pPr>
              <w:jc w:val="left"/>
            </w:pPr>
            <w:r>
              <w:rPr>
                <w:rFonts w:eastAsiaTheme="minorEastAsia"/>
                <w:color w:val="000000" w:themeColor="text1"/>
                <w:szCs w:val="21"/>
              </w:rPr>
              <w:t>公用事业</w:t>
            </w:r>
          </w:p>
        </w:tc>
        <w:tc>
          <w:tcPr>
            <w:tcW w:w="2551" w:type="dxa"/>
            <w:vAlign w:val="center"/>
          </w:tcPr>
          <w:p w:rsidR="00C938CF" w:rsidRDefault="00236D5F">
            <w:pPr>
              <w:jc w:val="right"/>
            </w:pPr>
            <w:r>
              <w:rPr>
                <w:rFonts w:eastAsiaTheme="minorEastAsia"/>
                <w:color w:val="000000" w:themeColor="text1"/>
                <w:szCs w:val="21"/>
              </w:rPr>
              <w:t>4,561,309.41</w:t>
            </w:r>
          </w:p>
        </w:tc>
        <w:tc>
          <w:tcPr>
            <w:tcW w:w="3175" w:type="dxa"/>
            <w:vAlign w:val="center"/>
          </w:tcPr>
          <w:p w:rsidR="00C938CF" w:rsidRDefault="00236D5F">
            <w:pPr>
              <w:jc w:val="right"/>
            </w:pPr>
            <w:r>
              <w:rPr>
                <w:rFonts w:eastAsiaTheme="minorEastAsia"/>
                <w:color w:val="000000" w:themeColor="text1"/>
                <w:szCs w:val="21"/>
              </w:rPr>
              <w:t>5.62</w:t>
            </w:r>
          </w:p>
        </w:tc>
      </w:tr>
      <w:tr w:rsidR="00C938CF">
        <w:tc>
          <w:tcPr>
            <w:tcW w:w="2787" w:type="dxa"/>
            <w:vAlign w:val="center"/>
          </w:tcPr>
          <w:p w:rsidR="00C938CF" w:rsidRDefault="00236D5F">
            <w:pPr>
              <w:jc w:val="left"/>
            </w:pPr>
            <w:r>
              <w:rPr>
                <w:rFonts w:eastAsiaTheme="minorEastAsia"/>
                <w:color w:val="000000" w:themeColor="text1"/>
                <w:szCs w:val="21"/>
              </w:rPr>
              <w:t>电信服务</w:t>
            </w:r>
          </w:p>
        </w:tc>
        <w:tc>
          <w:tcPr>
            <w:tcW w:w="2551" w:type="dxa"/>
            <w:vAlign w:val="center"/>
          </w:tcPr>
          <w:p w:rsidR="00C938CF" w:rsidRDefault="00236D5F">
            <w:pPr>
              <w:jc w:val="right"/>
            </w:pPr>
            <w:r>
              <w:rPr>
                <w:rFonts w:eastAsiaTheme="minorEastAsia"/>
                <w:color w:val="000000" w:themeColor="text1"/>
                <w:szCs w:val="21"/>
              </w:rPr>
              <w:t>4,314,677.82</w:t>
            </w:r>
          </w:p>
        </w:tc>
        <w:tc>
          <w:tcPr>
            <w:tcW w:w="3175" w:type="dxa"/>
            <w:vAlign w:val="center"/>
          </w:tcPr>
          <w:p w:rsidR="00C938CF" w:rsidRDefault="00236D5F">
            <w:pPr>
              <w:jc w:val="right"/>
            </w:pPr>
            <w:r>
              <w:rPr>
                <w:rFonts w:eastAsiaTheme="minorEastAsia"/>
                <w:color w:val="000000" w:themeColor="text1"/>
                <w:szCs w:val="21"/>
              </w:rPr>
              <w:t>5.31</w:t>
            </w:r>
          </w:p>
        </w:tc>
      </w:tr>
      <w:tr w:rsidR="00C938CF">
        <w:tc>
          <w:tcPr>
            <w:tcW w:w="2787" w:type="dxa"/>
            <w:vAlign w:val="center"/>
          </w:tcPr>
          <w:p w:rsidR="00C938CF" w:rsidRDefault="00236D5F">
            <w:pPr>
              <w:jc w:val="left"/>
            </w:pPr>
            <w:r>
              <w:rPr>
                <w:rFonts w:eastAsiaTheme="minorEastAsia"/>
                <w:color w:val="000000" w:themeColor="text1"/>
                <w:szCs w:val="21"/>
              </w:rPr>
              <w:t>消费者常用品</w:t>
            </w:r>
          </w:p>
        </w:tc>
        <w:tc>
          <w:tcPr>
            <w:tcW w:w="2551" w:type="dxa"/>
            <w:vAlign w:val="center"/>
          </w:tcPr>
          <w:p w:rsidR="00C938CF" w:rsidRDefault="00236D5F">
            <w:pPr>
              <w:jc w:val="right"/>
            </w:pPr>
            <w:r>
              <w:rPr>
                <w:rFonts w:eastAsiaTheme="minorEastAsia"/>
                <w:color w:val="000000" w:themeColor="text1"/>
                <w:szCs w:val="21"/>
              </w:rPr>
              <w:t>3,842,191.05</w:t>
            </w:r>
          </w:p>
        </w:tc>
        <w:tc>
          <w:tcPr>
            <w:tcW w:w="3175" w:type="dxa"/>
            <w:vAlign w:val="center"/>
          </w:tcPr>
          <w:p w:rsidR="00C938CF" w:rsidRDefault="00236D5F">
            <w:pPr>
              <w:jc w:val="right"/>
            </w:pPr>
            <w:r>
              <w:rPr>
                <w:rFonts w:eastAsiaTheme="minorEastAsia"/>
                <w:color w:val="000000" w:themeColor="text1"/>
                <w:szCs w:val="21"/>
              </w:rPr>
              <w:t>4.73</w:t>
            </w:r>
          </w:p>
        </w:tc>
      </w:tr>
      <w:tr w:rsidR="00C938CF">
        <w:tc>
          <w:tcPr>
            <w:tcW w:w="2787" w:type="dxa"/>
            <w:vAlign w:val="center"/>
          </w:tcPr>
          <w:p w:rsidR="00C938CF" w:rsidRDefault="00236D5F">
            <w:pPr>
              <w:jc w:val="left"/>
            </w:pPr>
            <w:r>
              <w:rPr>
                <w:rFonts w:eastAsiaTheme="minorEastAsia"/>
                <w:color w:val="000000" w:themeColor="text1"/>
                <w:szCs w:val="21"/>
              </w:rPr>
              <w:t>信息技术</w:t>
            </w:r>
          </w:p>
        </w:tc>
        <w:tc>
          <w:tcPr>
            <w:tcW w:w="2551" w:type="dxa"/>
            <w:vAlign w:val="center"/>
          </w:tcPr>
          <w:p w:rsidR="00C938CF" w:rsidRDefault="00236D5F">
            <w:pPr>
              <w:jc w:val="right"/>
            </w:pPr>
            <w:r>
              <w:rPr>
                <w:rFonts w:eastAsiaTheme="minorEastAsia"/>
                <w:color w:val="000000" w:themeColor="text1"/>
                <w:szCs w:val="21"/>
              </w:rPr>
              <w:t>2,999,614.54</w:t>
            </w:r>
          </w:p>
        </w:tc>
        <w:tc>
          <w:tcPr>
            <w:tcW w:w="3175" w:type="dxa"/>
            <w:vAlign w:val="center"/>
          </w:tcPr>
          <w:p w:rsidR="00C938CF" w:rsidRDefault="00236D5F">
            <w:pPr>
              <w:jc w:val="right"/>
            </w:pPr>
            <w:r>
              <w:rPr>
                <w:rFonts w:eastAsiaTheme="minorEastAsia"/>
                <w:color w:val="000000" w:themeColor="text1"/>
                <w:szCs w:val="21"/>
              </w:rPr>
              <w:t>3.69</w:t>
            </w:r>
          </w:p>
        </w:tc>
      </w:tr>
      <w:tr w:rsidR="008277FF" w:rsidRPr="00A3398F" w:rsidTr="00877D98">
        <w:tc>
          <w:tcPr>
            <w:tcW w:w="2787" w:type="dxa"/>
            <w:vAlign w:val="center"/>
          </w:tcPr>
          <w:p w:rsidR="00C37E98" w:rsidRPr="00A3398F" w:rsidRDefault="00C37E98" w:rsidP="00877D98">
            <w:pPr>
              <w:autoSpaceDE w:val="0"/>
              <w:autoSpaceDN w:val="0"/>
              <w:adjustRightInd w:val="0"/>
              <w:spacing w:before="29" w:line="360" w:lineRule="auto"/>
              <w:ind w:left="15"/>
              <w:rPr>
                <w:rFonts w:eastAsiaTheme="minorEastAsia"/>
                <w:color w:val="000000" w:themeColor="text1"/>
                <w:szCs w:val="21"/>
              </w:rPr>
            </w:pPr>
            <w:r w:rsidRPr="00A3398F">
              <w:rPr>
                <w:rFonts w:eastAsiaTheme="minorEastAsia"/>
                <w:color w:val="000000" w:themeColor="text1"/>
                <w:szCs w:val="21"/>
              </w:rPr>
              <w:t>合计</w:t>
            </w:r>
          </w:p>
        </w:tc>
        <w:tc>
          <w:tcPr>
            <w:tcW w:w="2551" w:type="dxa"/>
            <w:vAlign w:val="center"/>
          </w:tcPr>
          <w:p w:rsidR="00C37E98" w:rsidRPr="00A3398F"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72,036,634.74</w:t>
            </w:r>
          </w:p>
        </w:tc>
        <w:tc>
          <w:tcPr>
            <w:tcW w:w="3175" w:type="dxa"/>
            <w:vAlign w:val="center"/>
          </w:tcPr>
          <w:p w:rsidR="00C37E98" w:rsidRPr="00A3398F"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88.69</w:t>
            </w:r>
          </w:p>
        </w:tc>
      </w:tr>
    </w:tbl>
    <w:p w:rsidR="005B6AC7" w:rsidRPr="00A3398F" w:rsidRDefault="000A521D" w:rsidP="008B6A4A">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注：以上分类采用全球行业分类标准</w:t>
      </w:r>
      <w:r w:rsidRPr="00A3398F">
        <w:rPr>
          <w:rFonts w:eastAsiaTheme="minorEastAsia"/>
          <w:color w:val="000000" w:themeColor="text1"/>
          <w:szCs w:val="21"/>
        </w:rPr>
        <w:t>(GICS)</w:t>
      </w:r>
      <w:r w:rsidRPr="00A3398F">
        <w:rPr>
          <w:rFonts w:eastAsiaTheme="minorEastAsia"/>
          <w:color w:val="000000" w:themeColor="text1"/>
          <w:szCs w:val="21"/>
        </w:rPr>
        <w:t>。</w:t>
      </w:r>
      <w:r w:rsidRPr="00A3398F">
        <w:rPr>
          <w:rFonts w:eastAsiaTheme="minorEastAsia"/>
          <w:color w:val="000000" w:themeColor="text1"/>
          <w:szCs w:val="21"/>
        </w:rPr>
        <w:t xml:space="preserve"> </w:t>
      </w:r>
    </w:p>
    <w:p w:rsidR="000A521D" w:rsidRDefault="000A521D" w:rsidP="008B6A4A">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kern w:val="0"/>
          <w:sz w:val="24"/>
        </w:rPr>
      </w:pPr>
      <w:r w:rsidRPr="00A3398F">
        <w:rPr>
          <w:rFonts w:eastAsiaTheme="minorEastAsia"/>
          <w:b/>
          <w:kern w:val="0"/>
          <w:sz w:val="24"/>
        </w:rPr>
        <w:t>5.</w:t>
      </w:r>
      <w:r w:rsidR="002A0FA2" w:rsidRPr="00A3398F">
        <w:rPr>
          <w:rFonts w:eastAsiaTheme="minorEastAsia"/>
          <w:b/>
          <w:kern w:val="0"/>
          <w:sz w:val="24"/>
        </w:rPr>
        <w:t>4</w:t>
      </w:r>
      <w:r w:rsidR="0076518F" w:rsidRPr="00A3398F">
        <w:rPr>
          <w:rFonts w:eastAsiaTheme="minorEastAsia"/>
          <w:b/>
          <w:kern w:val="0"/>
          <w:sz w:val="24"/>
        </w:rPr>
        <w:t xml:space="preserve"> </w:t>
      </w:r>
      <w:r w:rsidR="0076518F" w:rsidRPr="00A3398F">
        <w:rPr>
          <w:rFonts w:eastAsiaTheme="minorEastAsia"/>
          <w:b/>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50"/>
        <w:gridCol w:w="1659"/>
        <w:gridCol w:w="979"/>
        <w:gridCol w:w="963"/>
        <w:gridCol w:w="723"/>
        <w:gridCol w:w="684"/>
        <w:gridCol w:w="868"/>
        <w:gridCol w:w="1319"/>
        <w:gridCol w:w="868"/>
      </w:tblGrid>
      <w:tr w:rsidR="00A3398F" w:rsidRPr="00A3398F" w:rsidTr="00236D5F">
        <w:tc>
          <w:tcPr>
            <w:tcW w:w="492"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序号</w:t>
            </w:r>
          </w:p>
        </w:tc>
        <w:tc>
          <w:tcPr>
            <w:tcW w:w="1617" w:type="dxa"/>
            <w:vAlign w:val="center"/>
          </w:tcPr>
          <w:p w:rsidR="001C7D5D" w:rsidRPr="00A3398F" w:rsidRDefault="001C7D5D" w:rsidP="001C7D5D">
            <w:pPr>
              <w:adjustRightInd w:val="0"/>
              <w:snapToGrid w:val="0"/>
              <w:spacing w:line="400" w:lineRule="exact"/>
              <w:jc w:val="center"/>
              <w:rPr>
                <w:rFonts w:eastAsiaTheme="minorEastAsia"/>
                <w:kern w:val="0"/>
                <w:szCs w:val="21"/>
              </w:rPr>
            </w:pPr>
            <w:r w:rsidRPr="00A3398F">
              <w:rPr>
                <w:rFonts w:eastAsiaTheme="minorEastAsia"/>
                <w:kern w:val="0"/>
                <w:szCs w:val="21"/>
              </w:rPr>
              <w:t>公司名称（英文）</w:t>
            </w:r>
          </w:p>
        </w:tc>
        <w:tc>
          <w:tcPr>
            <w:tcW w:w="939" w:type="dxa"/>
            <w:vAlign w:val="center"/>
          </w:tcPr>
          <w:p w:rsidR="001C7D5D" w:rsidRPr="00A3398F" w:rsidRDefault="001C7D5D" w:rsidP="00797DD2">
            <w:pPr>
              <w:adjustRightInd w:val="0"/>
              <w:snapToGrid w:val="0"/>
              <w:spacing w:line="400" w:lineRule="exact"/>
              <w:jc w:val="center"/>
              <w:rPr>
                <w:rFonts w:eastAsiaTheme="minorEastAsia"/>
                <w:kern w:val="0"/>
                <w:szCs w:val="21"/>
              </w:rPr>
            </w:pPr>
            <w:r w:rsidRPr="00A3398F">
              <w:rPr>
                <w:rFonts w:eastAsiaTheme="minorEastAsia"/>
                <w:kern w:val="0"/>
                <w:szCs w:val="21"/>
              </w:rPr>
              <w:t>公司名称（中文）</w:t>
            </w:r>
          </w:p>
        </w:tc>
        <w:tc>
          <w:tcPr>
            <w:tcW w:w="963" w:type="dxa"/>
            <w:vAlign w:val="center"/>
          </w:tcPr>
          <w:p w:rsidR="001C7D5D" w:rsidRPr="00A3398F" w:rsidRDefault="001C7D5D" w:rsidP="00797DD2">
            <w:pPr>
              <w:adjustRightInd w:val="0"/>
              <w:snapToGrid w:val="0"/>
              <w:spacing w:line="400" w:lineRule="exact"/>
              <w:jc w:val="center"/>
              <w:rPr>
                <w:rFonts w:eastAsiaTheme="minorEastAsia"/>
                <w:kern w:val="0"/>
                <w:szCs w:val="21"/>
              </w:rPr>
            </w:pPr>
            <w:r w:rsidRPr="00A3398F">
              <w:rPr>
                <w:rFonts w:eastAsiaTheme="minorEastAsia"/>
                <w:kern w:val="0"/>
                <w:szCs w:val="21"/>
              </w:rPr>
              <w:t>证券代码</w:t>
            </w:r>
          </w:p>
        </w:tc>
        <w:tc>
          <w:tcPr>
            <w:tcW w:w="682"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所在证</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券市场</w:t>
            </w:r>
          </w:p>
        </w:tc>
        <w:tc>
          <w:tcPr>
            <w:tcW w:w="697"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所属国家</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（地区</w:t>
            </w:r>
            <w:r w:rsidRPr="00A3398F">
              <w:rPr>
                <w:rFonts w:eastAsiaTheme="minorEastAsia"/>
                <w:kern w:val="0"/>
                <w:szCs w:val="21"/>
              </w:rPr>
              <w:t>)</w:t>
            </w:r>
          </w:p>
        </w:tc>
        <w:tc>
          <w:tcPr>
            <w:tcW w:w="902"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数量</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（股）</w:t>
            </w:r>
          </w:p>
        </w:tc>
        <w:tc>
          <w:tcPr>
            <w:tcW w:w="1319"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公允价值（人民币元）</w:t>
            </w:r>
          </w:p>
        </w:tc>
        <w:tc>
          <w:tcPr>
            <w:tcW w:w="902"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占基金资产净值比例（％）</w:t>
            </w:r>
          </w:p>
        </w:tc>
      </w:tr>
      <w:tr w:rsidR="00C938CF">
        <w:tc>
          <w:tcPr>
            <w:tcW w:w="0" w:type="auto"/>
            <w:vAlign w:val="center"/>
          </w:tcPr>
          <w:p w:rsidR="00C938CF" w:rsidRDefault="00236D5F">
            <w:pPr>
              <w:jc w:val="center"/>
            </w:pPr>
            <w:r>
              <w:rPr>
                <w:rFonts w:eastAsiaTheme="minorEastAsia"/>
                <w:szCs w:val="21"/>
              </w:rPr>
              <w:t>1</w:t>
            </w:r>
          </w:p>
        </w:tc>
        <w:tc>
          <w:tcPr>
            <w:tcW w:w="0" w:type="auto"/>
            <w:vAlign w:val="center"/>
          </w:tcPr>
          <w:p w:rsidR="00C938CF" w:rsidRDefault="00236D5F">
            <w:pPr>
              <w:jc w:val="center"/>
            </w:pPr>
            <w:r>
              <w:rPr>
                <w:rFonts w:eastAsiaTheme="minorEastAsia"/>
                <w:szCs w:val="21"/>
              </w:rPr>
              <w:t>SHELL PLC (UK)</w:t>
            </w:r>
          </w:p>
        </w:tc>
        <w:tc>
          <w:tcPr>
            <w:tcW w:w="0" w:type="auto"/>
            <w:vAlign w:val="center"/>
          </w:tcPr>
          <w:p w:rsidR="00C938CF" w:rsidRDefault="00236D5F">
            <w:pPr>
              <w:jc w:val="center"/>
            </w:pPr>
            <w:r>
              <w:rPr>
                <w:rFonts w:eastAsiaTheme="minorEastAsia"/>
                <w:szCs w:val="21"/>
              </w:rPr>
              <w:t>壳牌公共有限公司</w:t>
            </w:r>
          </w:p>
        </w:tc>
        <w:tc>
          <w:tcPr>
            <w:tcW w:w="0" w:type="auto"/>
            <w:vAlign w:val="center"/>
          </w:tcPr>
          <w:p w:rsidR="00C938CF" w:rsidRDefault="00236D5F">
            <w:pPr>
              <w:jc w:val="center"/>
            </w:pPr>
            <w:r>
              <w:rPr>
                <w:rFonts w:eastAsiaTheme="minorEastAsia"/>
                <w:szCs w:val="21"/>
              </w:rPr>
              <w:t>SHEL</w:t>
            </w:r>
          </w:p>
        </w:tc>
        <w:tc>
          <w:tcPr>
            <w:tcW w:w="0" w:type="auto"/>
            <w:vAlign w:val="center"/>
          </w:tcPr>
          <w:p w:rsidR="00C938CF" w:rsidRDefault="00236D5F">
            <w:pPr>
              <w:jc w:val="center"/>
            </w:pPr>
            <w:r>
              <w:rPr>
                <w:rFonts w:eastAsiaTheme="minorEastAsia"/>
                <w:szCs w:val="21"/>
              </w:rPr>
              <w:t>英国伦敦交易所</w:t>
            </w:r>
          </w:p>
        </w:tc>
        <w:tc>
          <w:tcPr>
            <w:tcW w:w="0" w:type="auto"/>
            <w:vAlign w:val="center"/>
          </w:tcPr>
          <w:p w:rsidR="00C938CF" w:rsidRDefault="00236D5F">
            <w:pPr>
              <w:jc w:val="center"/>
            </w:pPr>
            <w:r>
              <w:rPr>
                <w:rFonts w:eastAsiaTheme="minorEastAsia"/>
                <w:szCs w:val="21"/>
              </w:rPr>
              <w:t>英国</w:t>
            </w:r>
          </w:p>
        </w:tc>
        <w:tc>
          <w:tcPr>
            <w:tcW w:w="0" w:type="auto"/>
            <w:vAlign w:val="center"/>
          </w:tcPr>
          <w:p w:rsidR="00C938CF" w:rsidRDefault="00236D5F">
            <w:pPr>
              <w:jc w:val="right"/>
            </w:pPr>
            <w:r>
              <w:rPr>
                <w:rFonts w:eastAsiaTheme="minorEastAsia"/>
                <w:szCs w:val="21"/>
              </w:rPr>
              <w:t>11,751</w:t>
            </w:r>
          </w:p>
        </w:tc>
        <w:tc>
          <w:tcPr>
            <w:tcW w:w="0" w:type="auto"/>
            <w:vAlign w:val="center"/>
          </w:tcPr>
          <w:p w:rsidR="00C938CF" w:rsidRDefault="00236D5F">
            <w:pPr>
              <w:jc w:val="right"/>
            </w:pPr>
            <w:r>
              <w:rPr>
                <w:rFonts w:eastAsiaTheme="minorEastAsia"/>
                <w:szCs w:val="21"/>
              </w:rPr>
              <w:t>2,732,012.20</w:t>
            </w:r>
          </w:p>
        </w:tc>
        <w:tc>
          <w:tcPr>
            <w:tcW w:w="0" w:type="auto"/>
            <w:vAlign w:val="center"/>
          </w:tcPr>
          <w:p w:rsidR="00C938CF" w:rsidRDefault="00236D5F">
            <w:pPr>
              <w:jc w:val="right"/>
            </w:pPr>
            <w:r>
              <w:rPr>
                <w:rFonts w:eastAsiaTheme="minorEastAsia"/>
                <w:szCs w:val="21"/>
              </w:rPr>
              <w:t>3.36</w:t>
            </w:r>
          </w:p>
        </w:tc>
      </w:tr>
      <w:tr w:rsidR="00C938CF">
        <w:tc>
          <w:tcPr>
            <w:tcW w:w="0" w:type="auto"/>
            <w:vAlign w:val="center"/>
          </w:tcPr>
          <w:p w:rsidR="00C938CF" w:rsidRDefault="00236D5F">
            <w:pPr>
              <w:jc w:val="center"/>
            </w:pPr>
            <w:r>
              <w:rPr>
                <w:rFonts w:eastAsiaTheme="minorEastAsia"/>
                <w:szCs w:val="21"/>
              </w:rPr>
              <w:t>2</w:t>
            </w:r>
          </w:p>
        </w:tc>
        <w:tc>
          <w:tcPr>
            <w:tcW w:w="0" w:type="auto"/>
            <w:vAlign w:val="center"/>
          </w:tcPr>
          <w:p w:rsidR="00C938CF" w:rsidRDefault="00236D5F">
            <w:pPr>
              <w:jc w:val="center"/>
            </w:pPr>
            <w:r>
              <w:rPr>
                <w:rFonts w:eastAsiaTheme="minorEastAsia"/>
                <w:szCs w:val="21"/>
              </w:rPr>
              <w:t>NOVO NORDISK A/S-B</w:t>
            </w:r>
          </w:p>
        </w:tc>
        <w:tc>
          <w:tcPr>
            <w:tcW w:w="0" w:type="auto"/>
            <w:vAlign w:val="center"/>
          </w:tcPr>
          <w:p w:rsidR="00C938CF" w:rsidRDefault="00236D5F">
            <w:pPr>
              <w:jc w:val="center"/>
            </w:pPr>
            <w:r>
              <w:rPr>
                <w:rFonts w:eastAsiaTheme="minorEastAsia"/>
                <w:szCs w:val="21"/>
              </w:rPr>
              <w:t>诺和诺德公司</w:t>
            </w:r>
          </w:p>
        </w:tc>
        <w:tc>
          <w:tcPr>
            <w:tcW w:w="0" w:type="auto"/>
            <w:vAlign w:val="center"/>
          </w:tcPr>
          <w:p w:rsidR="00C938CF" w:rsidRDefault="00236D5F">
            <w:pPr>
              <w:jc w:val="center"/>
            </w:pPr>
            <w:r>
              <w:rPr>
                <w:rFonts w:eastAsiaTheme="minorEastAsia"/>
                <w:szCs w:val="21"/>
              </w:rPr>
              <w:t>NOVOB</w:t>
            </w:r>
          </w:p>
        </w:tc>
        <w:tc>
          <w:tcPr>
            <w:tcW w:w="0" w:type="auto"/>
            <w:vAlign w:val="center"/>
          </w:tcPr>
          <w:p w:rsidR="00C938CF" w:rsidRDefault="00236D5F">
            <w:pPr>
              <w:jc w:val="center"/>
            </w:pPr>
            <w:r>
              <w:rPr>
                <w:rFonts w:eastAsiaTheme="minorEastAsia"/>
                <w:szCs w:val="21"/>
              </w:rPr>
              <w:t>丹麦证券交易所</w:t>
            </w:r>
          </w:p>
        </w:tc>
        <w:tc>
          <w:tcPr>
            <w:tcW w:w="0" w:type="auto"/>
            <w:vAlign w:val="center"/>
          </w:tcPr>
          <w:p w:rsidR="00C938CF" w:rsidRDefault="00236D5F">
            <w:pPr>
              <w:jc w:val="center"/>
            </w:pPr>
            <w:r>
              <w:rPr>
                <w:rFonts w:eastAsiaTheme="minorEastAsia"/>
                <w:szCs w:val="21"/>
              </w:rPr>
              <w:t>丹麦</w:t>
            </w:r>
          </w:p>
        </w:tc>
        <w:tc>
          <w:tcPr>
            <w:tcW w:w="0" w:type="auto"/>
            <w:vAlign w:val="center"/>
          </w:tcPr>
          <w:p w:rsidR="00C938CF" w:rsidRDefault="00236D5F">
            <w:pPr>
              <w:jc w:val="right"/>
            </w:pPr>
            <w:r>
              <w:rPr>
                <w:rFonts w:eastAsiaTheme="minorEastAsia"/>
                <w:szCs w:val="21"/>
              </w:rPr>
              <w:t>3,294</w:t>
            </w:r>
          </w:p>
        </w:tc>
        <w:tc>
          <w:tcPr>
            <w:tcW w:w="0" w:type="auto"/>
            <w:vAlign w:val="center"/>
          </w:tcPr>
          <w:p w:rsidR="00C938CF" w:rsidRDefault="00236D5F">
            <w:pPr>
              <w:jc w:val="right"/>
            </w:pPr>
            <w:r>
              <w:rPr>
                <w:rFonts w:eastAsiaTheme="minorEastAsia"/>
                <w:szCs w:val="21"/>
              </w:rPr>
              <w:t>2,422,865.23</w:t>
            </w:r>
          </w:p>
        </w:tc>
        <w:tc>
          <w:tcPr>
            <w:tcW w:w="0" w:type="auto"/>
            <w:vAlign w:val="center"/>
          </w:tcPr>
          <w:p w:rsidR="00C938CF" w:rsidRDefault="00236D5F">
            <w:pPr>
              <w:jc w:val="right"/>
            </w:pPr>
            <w:r>
              <w:rPr>
                <w:rFonts w:eastAsiaTheme="minorEastAsia"/>
                <w:szCs w:val="21"/>
              </w:rPr>
              <w:t>2.98</w:t>
            </w:r>
          </w:p>
        </w:tc>
      </w:tr>
      <w:tr w:rsidR="00C938CF">
        <w:tc>
          <w:tcPr>
            <w:tcW w:w="0" w:type="auto"/>
            <w:vAlign w:val="center"/>
          </w:tcPr>
          <w:p w:rsidR="00C938CF" w:rsidRDefault="00236D5F">
            <w:pPr>
              <w:jc w:val="center"/>
            </w:pPr>
            <w:r>
              <w:rPr>
                <w:rFonts w:eastAsiaTheme="minorEastAsia"/>
                <w:szCs w:val="21"/>
              </w:rPr>
              <w:t>3</w:t>
            </w:r>
          </w:p>
        </w:tc>
        <w:tc>
          <w:tcPr>
            <w:tcW w:w="0" w:type="auto"/>
            <w:vAlign w:val="center"/>
          </w:tcPr>
          <w:p w:rsidR="00C938CF" w:rsidRDefault="00236D5F">
            <w:pPr>
              <w:jc w:val="center"/>
            </w:pPr>
            <w:r>
              <w:rPr>
                <w:rFonts w:eastAsiaTheme="minorEastAsia"/>
                <w:szCs w:val="21"/>
              </w:rPr>
              <w:t>NOVARTIS AG-REG</w:t>
            </w:r>
          </w:p>
        </w:tc>
        <w:tc>
          <w:tcPr>
            <w:tcW w:w="0" w:type="auto"/>
            <w:vAlign w:val="center"/>
          </w:tcPr>
          <w:p w:rsidR="00C938CF" w:rsidRDefault="00236D5F">
            <w:pPr>
              <w:jc w:val="center"/>
            </w:pPr>
            <w:r>
              <w:rPr>
                <w:rFonts w:eastAsiaTheme="minorEastAsia"/>
                <w:szCs w:val="21"/>
              </w:rPr>
              <w:t>诺华</w:t>
            </w:r>
          </w:p>
        </w:tc>
        <w:tc>
          <w:tcPr>
            <w:tcW w:w="0" w:type="auto"/>
            <w:vAlign w:val="center"/>
          </w:tcPr>
          <w:p w:rsidR="00C938CF" w:rsidRDefault="00236D5F">
            <w:pPr>
              <w:jc w:val="center"/>
            </w:pPr>
            <w:r>
              <w:rPr>
                <w:rFonts w:eastAsiaTheme="minorEastAsia"/>
                <w:szCs w:val="21"/>
              </w:rPr>
              <w:t>NOVN</w:t>
            </w:r>
          </w:p>
        </w:tc>
        <w:tc>
          <w:tcPr>
            <w:tcW w:w="0" w:type="auto"/>
            <w:vAlign w:val="center"/>
          </w:tcPr>
          <w:p w:rsidR="00C938CF" w:rsidRDefault="00236D5F">
            <w:pPr>
              <w:jc w:val="center"/>
            </w:pPr>
            <w:r>
              <w:rPr>
                <w:rFonts w:eastAsiaTheme="minorEastAsia"/>
                <w:szCs w:val="21"/>
              </w:rPr>
              <w:t>瑞士证券交易所</w:t>
            </w:r>
          </w:p>
        </w:tc>
        <w:tc>
          <w:tcPr>
            <w:tcW w:w="0" w:type="auto"/>
            <w:vAlign w:val="center"/>
          </w:tcPr>
          <w:p w:rsidR="00C938CF" w:rsidRDefault="00236D5F">
            <w:pPr>
              <w:jc w:val="center"/>
            </w:pPr>
            <w:r>
              <w:rPr>
                <w:rFonts w:eastAsiaTheme="minorEastAsia"/>
                <w:szCs w:val="21"/>
              </w:rPr>
              <w:t>瑞士</w:t>
            </w:r>
          </w:p>
        </w:tc>
        <w:tc>
          <w:tcPr>
            <w:tcW w:w="0" w:type="auto"/>
            <w:vAlign w:val="center"/>
          </w:tcPr>
          <w:p w:rsidR="00C938CF" w:rsidRDefault="00236D5F">
            <w:pPr>
              <w:jc w:val="right"/>
            </w:pPr>
            <w:r>
              <w:rPr>
                <w:rFonts w:eastAsiaTheme="minorEastAsia"/>
                <w:szCs w:val="21"/>
              </w:rPr>
              <w:t>3,119</w:t>
            </w:r>
          </w:p>
        </w:tc>
        <w:tc>
          <w:tcPr>
            <w:tcW w:w="0" w:type="auto"/>
            <w:vAlign w:val="center"/>
          </w:tcPr>
          <w:p w:rsidR="00C938CF" w:rsidRDefault="00236D5F">
            <w:pPr>
              <w:jc w:val="right"/>
            </w:pPr>
            <w:r>
              <w:rPr>
                <w:rFonts w:eastAsiaTheme="minorEastAsia"/>
                <w:szCs w:val="21"/>
              </w:rPr>
              <w:t>2,228,430.71</w:t>
            </w:r>
          </w:p>
        </w:tc>
        <w:tc>
          <w:tcPr>
            <w:tcW w:w="0" w:type="auto"/>
            <w:vAlign w:val="center"/>
          </w:tcPr>
          <w:p w:rsidR="00C938CF" w:rsidRDefault="00236D5F">
            <w:pPr>
              <w:jc w:val="right"/>
            </w:pPr>
            <w:r>
              <w:rPr>
                <w:rFonts w:eastAsiaTheme="minorEastAsia"/>
                <w:szCs w:val="21"/>
              </w:rPr>
              <w:t>2.74</w:t>
            </w:r>
          </w:p>
        </w:tc>
      </w:tr>
      <w:tr w:rsidR="00C938CF">
        <w:tc>
          <w:tcPr>
            <w:tcW w:w="0" w:type="auto"/>
            <w:vAlign w:val="center"/>
          </w:tcPr>
          <w:p w:rsidR="00C938CF" w:rsidRDefault="00236D5F">
            <w:pPr>
              <w:jc w:val="center"/>
            </w:pPr>
            <w:r>
              <w:rPr>
                <w:rFonts w:eastAsiaTheme="minorEastAsia"/>
                <w:szCs w:val="21"/>
              </w:rPr>
              <w:t>4</w:t>
            </w:r>
          </w:p>
        </w:tc>
        <w:tc>
          <w:tcPr>
            <w:tcW w:w="0" w:type="auto"/>
            <w:vAlign w:val="center"/>
          </w:tcPr>
          <w:p w:rsidR="00C938CF" w:rsidRDefault="00236D5F">
            <w:pPr>
              <w:jc w:val="center"/>
            </w:pPr>
            <w:r>
              <w:rPr>
                <w:rFonts w:eastAsiaTheme="minorEastAsia"/>
                <w:szCs w:val="21"/>
              </w:rPr>
              <w:t>TotalEnergies SE</w:t>
            </w:r>
          </w:p>
        </w:tc>
        <w:tc>
          <w:tcPr>
            <w:tcW w:w="0" w:type="auto"/>
            <w:vAlign w:val="center"/>
          </w:tcPr>
          <w:p w:rsidR="00C938CF" w:rsidRDefault="00236D5F">
            <w:pPr>
              <w:jc w:val="center"/>
            </w:pPr>
            <w:r>
              <w:rPr>
                <w:rFonts w:eastAsiaTheme="minorEastAsia"/>
                <w:szCs w:val="21"/>
              </w:rPr>
              <w:t>道达尔集团</w:t>
            </w:r>
          </w:p>
        </w:tc>
        <w:tc>
          <w:tcPr>
            <w:tcW w:w="0" w:type="auto"/>
            <w:vAlign w:val="center"/>
          </w:tcPr>
          <w:p w:rsidR="00C938CF" w:rsidRDefault="00236D5F">
            <w:pPr>
              <w:jc w:val="center"/>
            </w:pPr>
            <w:r>
              <w:rPr>
                <w:rFonts w:eastAsiaTheme="minorEastAsia"/>
                <w:szCs w:val="21"/>
              </w:rPr>
              <w:t>TTE</w:t>
            </w:r>
          </w:p>
        </w:tc>
        <w:tc>
          <w:tcPr>
            <w:tcW w:w="0" w:type="auto"/>
            <w:vAlign w:val="center"/>
          </w:tcPr>
          <w:p w:rsidR="00C938CF" w:rsidRDefault="00236D5F">
            <w:pPr>
              <w:jc w:val="center"/>
            </w:pPr>
            <w:r>
              <w:rPr>
                <w:rFonts w:eastAsiaTheme="minorEastAsia"/>
                <w:szCs w:val="21"/>
              </w:rPr>
              <w:t>巴黎证券交易所</w:t>
            </w:r>
          </w:p>
        </w:tc>
        <w:tc>
          <w:tcPr>
            <w:tcW w:w="0" w:type="auto"/>
            <w:vAlign w:val="center"/>
          </w:tcPr>
          <w:p w:rsidR="00C938CF" w:rsidRDefault="00236D5F">
            <w:pPr>
              <w:jc w:val="center"/>
            </w:pPr>
            <w:r>
              <w:rPr>
                <w:rFonts w:eastAsiaTheme="minorEastAsia"/>
                <w:szCs w:val="21"/>
              </w:rPr>
              <w:t>法国</w:t>
            </w:r>
          </w:p>
        </w:tc>
        <w:tc>
          <w:tcPr>
            <w:tcW w:w="0" w:type="auto"/>
            <w:vAlign w:val="center"/>
          </w:tcPr>
          <w:p w:rsidR="00C938CF" w:rsidRDefault="00236D5F">
            <w:pPr>
              <w:jc w:val="right"/>
            </w:pPr>
            <w:r>
              <w:rPr>
                <w:rFonts w:eastAsiaTheme="minorEastAsia"/>
                <w:szCs w:val="21"/>
              </w:rPr>
              <w:t>4,267</w:t>
            </w:r>
          </w:p>
        </w:tc>
        <w:tc>
          <w:tcPr>
            <w:tcW w:w="0" w:type="auto"/>
            <w:vAlign w:val="center"/>
          </w:tcPr>
          <w:p w:rsidR="00C938CF" w:rsidRDefault="00236D5F">
            <w:pPr>
              <w:jc w:val="right"/>
            </w:pPr>
            <w:r>
              <w:rPr>
                <w:rFonts w:eastAsiaTheme="minorEastAsia"/>
                <w:szCs w:val="21"/>
              </w:rPr>
              <w:t>2,065,768.71</w:t>
            </w:r>
          </w:p>
        </w:tc>
        <w:tc>
          <w:tcPr>
            <w:tcW w:w="0" w:type="auto"/>
            <w:vAlign w:val="center"/>
          </w:tcPr>
          <w:p w:rsidR="00C938CF" w:rsidRDefault="00236D5F">
            <w:pPr>
              <w:jc w:val="right"/>
            </w:pPr>
            <w:r>
              <w:rPr>
                <w:rFonts w:eastAsiaTheme="minorEastAsia"/>
                <w:szCs w:val="21"/>
              </w:rPr>
              <w:t>2.54</w:t>
            </w:r>
          </w:p>
        </w:tc>
      </w:tr>
      <w:tr w:rsidR="00C938CF">
        <w:tc>
          <w:tcPr>
            <w:tcW w:w="0" w:type="auto"/>
            <w:vAlign w:val="center"/>
          </w:tcPr>
          <w:p w:rsidR="00C938CF" w:rsidRDefault="00236D5F">
            <w:pPr>
              <w:jc w:val="center"/>
            </w:pPr>
            <w:r>
              <w:rPr>
                <w:rFonts w:eastAsiaTheme="minorEastAsia"/>
                <w:szCs w:val="21"/>
              </w:rPr>
              <w:t>5</w:t>
            </w:r>
          </w:p>
        </w:tc>
        <w:tc>
          <w:tcPr>
            <w:tcW w:w="0" w:type="auto"/>
            <w:vAlign w:val="center"/>
          </w:tcPr>
          <w:p w:rsidR="00C938CF" w:rsidRDefault="00236D5F">
            <w:pPr>
              <w:jc w:val="center"/>
            </w:pPr>
            <w:r>
              <w:rPr>
                <w:rFonts w:eastAsiaTheme="minorEastAsia"/>
                <w:szCs w:val="21"/>
              </w:rPr>
              <w:t>AIR LIQUIDE SA</w:t>
            </w:r>
          </w:p>
        </w:tc>
        <w:tc>
          <w:tcPr>
            <w:tcW w:w="0" w:type="auto"/>
            <w:vAlign w:val="center"/>
          </w:tcPr>
          <w:p w:rsidR="00C938CF" w:rsidRDefault="00236D5F">
            <w:pPr>
              <w:jc w:val="center"/>
            </w:pPr>
            <w:r>
              <w:rPr>
                <w:rFonts w:eastAsiaTheme="minorEastAsia"/>
                <w:szCs w:val="21"/>
              </w:rPr>
              <w:t>液化空气集团</w:t>
            </w:r>
          </w:p>
        </w:tc>
        <w:tc>
          <w:tcPr>
            <w:tcW w:w="0" w:type="auto"/>
            <w:vAlign w:val="center"/>
          </w:tcPr>
          <w:p w:rsidR="00C938CF" w:rsidRDefault="00236D5F">
            <w:pPr>
              <w:jc w:val="center"/>
            </w:pPr>
            <w:r>
              <w:rPr>
                <w:rFonts w:eastAsiaTheme="minorEastAsia"/>
                <w:szCs w:val="21"/>
              </w:rPr>
              <w:t>AI</w:t>
            </w:r>
          </w:p>
        </w:tc>
        <w:tc>
          <w:tcPr>
            <w:tcW w:w="0" w:type="auto"/>
            <w:vAlign w:val="center"/>
          </w:tcPr>
          <w:p w:rsidR="00C938CF" w:rsidRDefault="00236D5F">
            <w:pPr>
              <w:jc w:val="center"/>
            </w:pPr>
            <w:r>
              <w:rPr>
                <w:rFonts w:eastAsiaTheme="minorEastAsia"/>
                <w:szCs w:val="21"/>
              </w:rPr>
              <w:t>巴黎证券交易所</w:t>
            </w:r>
          </w:p>
        </w:tc>
        <w:tc>
          <w:tcPr>
            <w:tcW w:w="0" w:type="auto"/>
            <w:vAlign w:val="center"/>
          </w:tcPr>
          <w:p w:rsidR="00C938CF" w:rsidRDefault="00236D5F">
            <w:pPr>
              <w:jc w:val="center"/>
            </w:pPr>
            <w:r>
              <w:rPr>
                <w:rFonts w:eastAsiaTheme="minorEastAsia"/>
                <w:szCs w:val="21"/>
              </w:rPr>
              <w:t>法国</w:t>
            </w:r>
          </w:p>
        </w:tc>
        <w:tc>
          <w:tcPr>
            <w:tcW w:w="0" w:type="auto"/>
            <w:vAlign w:val="center"/>
          </w:tcPr>
          <w:p w:rsidR="00C938CF" w:rsidRDefault="00236D5F">
            <w:pPr>
              <w:jc w:val="right"/>
            </w:pPr>
            <w:r>
              <w:rPr>
                <w:rFonts w:eastAsiaTheme="minorEastAsia"/>
                <w:szCs w:val="21"/>
              </w:rPr>
              <w:t>1,309</w:t>
            </w:r>
          </w:p>
        </w:tc>
        <w:tc>
          <w:tcPr>
            <w:tcW w:w="0" w:type="auto"/>
            <w:vAlign w:val="center"/>
          </w:tcPr>
          <w:p w:rsidR="00C938CF" w:rsidRDefault="00236D5F">
            <w:pPr>
              <w:jc w:val="right"/>
            </w:pPr>
            <w:r>
              <w:rPr>
                <w:rFonts w:eastAsiaTheme="minorEastAsia"/>
                <w:szCs w:val="21"/>
              </w:rPr>
              <w:t>1,811,868.46</w:t>
            </w:r>
          </w:p>
        </w:tc>
        <w:tc>
          <w:tcPr>
            <w:tcW w:w="0" w:type="auto"/>
            <w:vAlign w:val="center"/>
          </w:tcPr>
          <w:p w:rsidR="00C938CF" w:rsidRDefault="00236D5F">
            <w:pPr>
              <w:jc w:val="right"/>
            </w:pPr>
            <w:r>
              <w:rPr>
                <w:rFonts w:eastAsiaTheme="minorEastAsia"/>
                <w:szCs w:val="21"/>
              </w:rPr>
              <w:t>2.23</w:t>
            </w:r>
          </w:p>
        </w:tc>
      </w:tr>
      <w:tr w:rsidR="00C938CF">
        <w:tc>
          <w:tcPr>
            <w:tcW w:w="0" w:type="auto"/>
            <w:vAlign w:val="center"/>
          </w:tcPr>
          <w:p w:rsidR="00C938CF" w:rsidRDefault="00236D5F">
            <w:pPr>
              <w:jc w:val="center"/>
            </w:pPr>
            <w:r>
              <w:rPr>
                <w:rFonts w:eastAsiaTheme="minorEastAsia"/>
                <w:szCs w:val="21"/>
              </w:rPr>
              <w:t>6</w:t>
            </w:r>
          </w:p>
        </w:tc>
        <w:tc>
          <w:tcPr>
            <w:tcW w:w="0" w:type="auto"/>
            <w:vAlign w:val="center"/>
          </w:tcPr>
          <w:p w:rsidR="00C938CF" w:rsidRDefault="00236D5F">
            <w:pPr>
              <w:jc w:val="center"/>
            </w:pPr>
            <w:r>
              <w:rPr>
                <w:rFonts w:eastAsiaTheme="minorEastAsia"/>
                <w:szCs w:val="21"/>
              </w:rPr>
              <w:t>UNICREDIT SPA</w:t>
            </w:r>
          </w:p>
        </w:tc>
        <w:tc>
          <w:tcPr>
            <w:tcW w:w="0" w:type="auto"/>
            <w:vAlign w:val="center"/>
          </w:tcPr>
          <w:p w:rsidR="00C938CF" w:rsidRDefault="00236D5F">
            <w:pPr>
              <w:jc w:val="center"/>
            </w:pPr>
            <w:r>
              <w:rPr>
                <w:rFonts w:eastAsiaTheme="minorEastAsia"/>
                <w:szCs w:val="21"/>
              </w:rPr>
              <w:t>裕信银行公共有限公司</w:t>
            </w:r>
          </w:p>
        </w:tc>
        <w:tc>
          <w:tcPr>
            <w:tcW w:w="0" w:type="auto"/>
            <w:vAlign w:val="center"/>
          </w:tcPr>
          <w:p w:rsidR="00C938CF" w:rsidRDefault="00236D5F">
            <w:pPr>
              <w:jc w:val="center"/>
            </w:pPr>
            <w:r>
              <w:rPr>
                <w:rFonts w:eastAsiaTheme="minorEastAsia"/>
                <w:szCs w:val="21"/>
              </w:rPr>
              <w:t>UCG</w:t>
            </w:r>
          </w:p>
        </w:tc>
        <w:tc>
          <w:tcPr>
            <w:tcW w:w="0" w:type="auto"/>
            <w:vAlign w:val="center"/>
          </w:tcPr>
          <w:p w:rsidR="00C938CF" w:rsidRDefault="00236D5F">
            <w:pPr>
              <w:jc w:val="center"/>
            </w:pPr>
            <w:r>
              <w:rPr>
                <w:rFonts w:eastAsiaTheme="minorEastAsia"/>
                <w:szCs w:val="21"/>
              </w:rPr>
              <w:t>意大利证券交易所</w:t>
            </w:r>
          </w:p>
        </w:tc>
        <w:tc>
          <w:tcPr>
            <w:tcW w:w="0" w:type="auto"/>
            <w:vAlign w:val="center"/>
          </w:tcPr>
          <w:p w:rsidR="00C938CF" w:rsidRDefault="00236D5F">
            <w:pPr>
              <w:jc w:val="center"/>
            </w:pPr>
            <w:r>
              <w:rPr>
                <w:rFonts w:eastAsiaTheme="minorEastAsia"/>
                <w:szCs w:val="21"/>
              </w:rPr>
              <w:t>意大利</w:t>
            </w:r>
          </w:p>
        </w:tc>
        <w:tc>
          <w:tcPr>
            <w:tcW w:w="0" w:type="auto"/>
            <w:vAlign w:val="center"/>
          </w:tcPr>
          <w:p w:rsidR="00C938CF" w:rsidRDefault="00236D5F">
            <w:pPr>
              <w:jc w:val="right"/>
            </w:pPr>
            <w:r>
              <w:rPr>
                <w:rFonts w:eastAsiaTheme="minorEastAsia"/>
                <w:szCs w:val="21"/>
              </w:rPr>
              <w:t>8,580</w:t>
            </w:r>
          </w:p>
        </w:tc>
        <w:tc>
          <w:tcPr>
            <w:tcW w:w="0" w:type="auto"/>
            <w:vAlign w:val="center"/>
          </w:tcPr>
          <w:p w:rsidR="00C938CF" w:rsidRDefault="00236D5F">
            <w:pPr>
              <w:jc w:val="right"/>
            </w:pPr>
            <w:r>
              <w:rPr>
                <w:rFonts w:eastAsiaTheme="minorEastAsia"/>
                <w:szCs w:val="21"/>
              </w:rPr>
              <w:t>1,656,465.51</w:t>
            </w:r>
          </w:p>
        </w:tc>
        <w:tc>
          <w:tcPr>
            <w:tcW w:w="0" w:type="auto"/>
            <w:vAlign w:val="center"/>
          </w:tcPr>
          <w:p w:rsidR="00C938CF" w:rsidRDefault="00236D5F">
            <w:pPr>
              <w:jc w:val="right"/>
            </w:pPr>
            <w:r>
              <w:rPr>
                <w:rFonts w:eastAsiaTheme="minorEastAsia"/>
                <w:szCs w:val="21"/>
              </w:rPr>
              <w:t>2.04</w:t>
            </w:r>
          </w:p>
        </w:tc>
      </w:tr>
      <w:tr w:rsidR="00C938CF">
        <w:tc>
          <w:tcPr>
            <w:tcW w:w="0" w:type="auto"/>
            <w:vAlign w:val="center"/>
          </w:tcPr>
          <w:p w:rsidR="00C938CF" w:rsidRDefault="00236D5F">
            <w:pPr>
              <w:jc w:val="center"/>
            </w:pPr>
            <w:r>
              <w:rPr>
                <w:rFonts w:eastAsiaTheme="minorEastAsia"/>
                <w:szCs w:val="21"/>
              </w:rPr>
              <w:t>7</w:t>
            </w:r>
          </w:p>
        </w:tc>
        <w:tc>
          <w:tcPr>
            <w:tcW w:w="0" w:type="auto"/>
            <w:vAlign w:val="center"/>
          </w:tcPr>
          <w:p w:rsidR="00C938CF" w:rsidRDefault="00236D5F">
            <w:pPr>
              <w:jc w:val="center"/>
            </w:pPr>
            <w:r>
              <w:rPr>
                <w:rFonts w:eastAsiaTheme="minorEastAsia"/>
                <w:szCs w:val="21"/>
              </w:rPr>
              <w:t>ENGIE SA (FRANCE LISTING)</w:t>
            </w:r>
          </w:p>
        </w:tc>
        <w:tc>
          <w:tcPr>
            <w:tcW w:w="0" w:type="auto"/>
            <w:vAlign w:val="center"/>
          </w:tcPr>
          <w:p w:rsidR="00C938CF" w:rsidRDefault="00236D5F">
            <w:pPr>
              <w:jc w:val="center"/>
            </w:pPr>
            <w:r>
              <w:rPr>
                <w:rFonts w:eastAsiaTheme="minorEastAsia"/>
                <w:szCs w:val="21"/>
              </w:rPr>
              <w:t>Engie</w:t>
            </w:r>
            <w:r>
              <w:rPr>
                <w:rFonts w:eastAsiaTheme="minorEastAsia"/>
                <w:szCs w:val="21"/>
              </w:rPr>
              <w:t>公司</w:t>
            </w:r>
          </w:p>
        </w:tc>
        <w:tc>
          <w:tcPr>
            <w:tcW w:w="0" w:type="auto"/>
            <w:vAlign w:val="center"/>
          </w:tcPr>
          <w:p w:rsidR="00C938CF" w:rsidRDefault="00236D5F">
            <w:pPr>
              <w:jc w:val="center"/>
            </w:pPr>
            <w:r>
              <w:rPr>
                <w:rFonts w:eastAsiaTheme="minorEastAsia"/>
                <w:szCs w:val="21"/>
              </w:rPr>
              <w:t>ENGI</w:t>
            </w:r>
          </w:p>
        </w:tc>
        <w:tc>
          <w:tcPr>
            <w:tcW w:w="0" w:type="auto"/>
            <w:vAlign w:val="center"/>
          </w:tcPr>
          <w:p w:rsidR="00C938CF" w:rsidRDefault="00236D5F">
            <w:pPr>
              <w:jc w:val="center"/>
            </w:pPr>
            <w:r>
              <w:rPr>
                <w:rFonts w:eastAsiaTheme="minorEastAsia"/>
                <w:szCs w:val="21"/>
              </w:rPr>
              <w:t>巴黎证券交易所</w:t>
            </w:r>
          </w:p>
        </w:tc>
        <w:tc>
          <w:tcPr>
            <w:tcW w:w="0" w:type="auto"/>
            <w:vAlign w:val="center"/>
          </w:tcPr>
          <w:p w:rsidR="00C938CF" w:rsidRDefault="00236D5F">
            <w:pPr>
              <w:jc w:val="center"/>
            </w:pPr>
            <w:r>
              <w:rPr>
                <w:rFonts w:eastAsiaTheme="minorEastAsia"/>
                <w:szCs w:val="21"/>
              </w:rPr>
              <w:t>法国</w:t>
            </w:r>
          </w:p>
        </w:tc>
        <w:tc>
          <w:tcPr>
            <w:tcW w:w="0" w:type="auto"/>
            <w:vAlign w:val="center"/>
          </w:tcPr>
          <w:p w:rsidR="00C938CF" w:rsidRDefault="00236D5F">
            <w:pPr>
              <w:jc w:val="right"/>
            </w:pPr>
            <w:r>
              <w:rPr>
                <w:rFonts w:eastAsiaTheme="minorEastAsia"/>
                <w:szCs w:val="21"/>
              </w:rPr>
              <w:t>12,611</w:t>
            </w:r>
          </w:p>
        </w:tc>
        <w:tc>
          <w:tcPr>
            <w:tcW w:w="0" w:type="auto"/>
            <w:vAlign w:val="center"/>
          </w:tcPr>
          <w:p w:rsidR="00C938CF" w:rsidRDefault="00236D5F">
            <w:pPr>
              <w:jc w:val="right"/>
            </w:pPr>
            <w:r>
              <w:rPr>
                <w:rFonts w:eastAsiaTheme="minorEastAsia"/>
                <w:szCs w:val="21"/>
              </w:rPr>
              <w:t>1,577,670.74</w:t>
            </w:r>
          </w:p>
        </w:tc>
        <w:tc>
          <w:tcPr>
            <w:tcW w:w="0" w:type="auto"/>
            <w:vAlign w:val="center"/>
          </w:tcPr>
          <w:p w:rsidR="00C938CF" w:rsidRDefault="00236D5F">
            <w:pPr>
              <w:jc w:val="right"/>
            </w:pPr>
            <w:r>
              <w:rPr>
                <w:rFonts w:eastAsiaTheme="minorEastAsia"/>
                <w:szCs w:val="21"/>
              </w:rPr>
              <w:t>1.94</w:t>
            </w:r>
          </w:p>
        </w:tc>
      </w:tr>
      <w:tr w:rsidR="00C938CF">
        <w:tc>
          <w:tcPr>
            <w:tcW w:w="0" w:type="auto"/>
            <w:vAlign w:val="center"/>
          </w:tcPr>
          <w:p w:rsidR="00C938CF" w:rsidRDefault="00236D5F">
            <w:pPr>
              <w:jc w:val="center"/>
            </w:pPr>
            <w:r>
              <w:rPr>
                <w:rFonts w:eastAsiaTheme="minorEastAsia"/>
                <w:szCs w:val="21"/>
              </w:rPr>
              <w:t>8</w:t>
            </w:r>
          </w:p>
        </w:tc>
        <w:tc>
          <w:tcPr>
            <w:tcW w:w="0" w:type="auto"/>
            <w:vAlign w:val="center"/>
          </w:tcPr>
          <w:p w:rsidR="00C938CF" w:rsidRDefault="00236D5F">
            <w:pPr>
              <w:jc w:val="center"/>
            </w:pPr>
            <w:r>
              <w:rPr>
                <w:rFonts w:eastAsiaTheme="minorEastAsia"/>
                <w:szCs w:val="21"/>
              </w:rPr>
              <w:t>ALLIANZ SE-REG</w:t>
            </w:r>
          </w:p>
        </w:tc>
        <w:tc>
          <w:tcPr>
            <w:tcW w:w="0" w:type="auto"/>
            <w:vAlign w:val="center"/>
          </w:tcPr>
          <w:p w:rsidR="00C938CF" w:rsidRDefault="00236D5F">
            <w:pPr>
              <w:jc w:val="center"/>
            </w:pPr>
            <w:r>
              <w:rPr>
                <w:rFonts w:eastAsiaTheme="minorEastAsia"/>
                <w:szCs w:val="21"/>
              </w:rPr>
              <w:t>安联保险有限公司</w:t>
            </w:r>
          </w:p>
        </w:tc>
        <w:tc>
          <w:tcPr>
            <w:tcW w:w="0" w:type="auto"/>
            <w:vAlign w:val="center"/>
          </w:tcPr>
          <w:p w:rsidR="00C938CF" w:rsidRDefault="00236D5F">
            <w:pPr>
              <w:jc w:val="center"/>
            </w:pPr>
            <w:r>
              <w:rPr>
                <w:rFonts w:eastAsiaTheme="minorEastAsia"/>
                <w:szCs w:val="21"/>
              </w:rPr>
              <w:t>ALV</w:t>
            </w:r>
          </w:p>
        </w:tc>
        <w:tc>
          <w:tcPr>
            <w:tcW w:w="0" w:type="auto"/>
            <w:vAlign w:val="center"/>
          </w:tcPr>
          <w:p w:rsidR="00C938CF" w:rsidRDefault="00236D5F">
            <w:pPr>
              <w:jc w:val="center"/>
            </w:pPr>
            <w:r>
              <w:rPr>
                <w:rFonts w:eastAsiaTheme="minorEastAsia"/>
                <w:szCs w:val="21"/>
              </w:rPr>
              <w:t>法兰克福证券交易所</w:t>
            </w:r>
          </w:p>
        </w:tc>
        <w:tc>
          <w:tcPr>
            <w:tcW w:w="0" w:type="auto"/>
            <w:vAlign w:val="center"/>
          </w:tcPr>
          <w:p w:rsidR="00C938CF" w:rsidRDefault="00236D5F">
            <w:pPr>
              <w:jc w:val="center"/>
            </w:pPr>
            <w:r>
              <w:rPr>
                <w:rFonts w:eastAsiaTheme="minorEastAsia"/>
                <w:szCs w:val="21"/>
              </w:rPr>
              <w:t>德国</w:t>
            </w:r>
          </w:p>
        </w:tc>
        <w:tc>
          <w:tcPr>
            <w:tcW w:w="0" w:type="auto"/>
            <w:vAlign w:val="center"/>
          </w:tcPr>
          <w:p w:rsidR="00C938CF" w:rsidRDefault="00236D5F">
            <w:pPr>
              <w:jc w:val="right"/>
            </w:pPr>
            <w:r>
              <w:rPr>
                <w:rFonts w:eastAsiaTheme="minorEastAsia"/>
                <w:szCs w:val="21"/>
              </w:rPr>
              <w:t>752</w:t>
            </w:r>
          </w:p>
        </w:tc>
        <w:tc>
          <w:tcPr>
            <w:tcW w:w="0" w:type="auto"/>
            <w:vAlign w:val="center"/>
          </w:tcPr>
          <w:p w:rsidR="00C938CF" w:rsidRDefault="00236D5F">
            <w:pPr>
              <w:jc w:val="right"/>
            </w:pPr>
            <w:r>
              <w:rPr>
                <w:rFonts w:eastAsiaTheme="minorEastAsia"/>
                <w:szCs w:val="21"/>
              </w:rPr>
              <w:t>1,429,953.15</w:t>
            </w:r>
          </w:p>
        </w:tc>
        <w:tc>
          <w:tcPr>
            <w:tcW w:w="0" w:type="auto"/>
            <w:vAlign w:val="center"/>
          </w:tcPr>
          <w:p w:rsidR="00C938CF" w:rsidRDefault="00236D5F">
            <w:pPr>
              <w:jc w:val="right"/>
            </w:pPr>
            <w:r>
              <w:rPr>
                <w:rFonts w:eastAsiaTheme="minorEastAsia"/>
                <w:szCs w:val="21"/>
              </w:rPr>
              <w:t>1.76</w:t>
            </w:r>
          </w:p>
        </w:tc>
      </w:tr>
      <w:tr w:rsidR="00C938CF">
        <w:tc>
          <w:tcPr>
            <w:tcW w:w="0" w:type="auto"/>
            <w:vAlign w:val="center"/>
          </w:tcPr>
          <w:p w:rsidR="00C938CF" w:rsidRDefault="00236D5F">
            <w:pPr>
              <w:jc w:val="center"/>
            </w:pPr>
            <w:r>
              <w:rPr>
                <w:rFonts w:eastAsiaTheme="minorEastAsia"/>
                <w:szCs w:val="21"/>
              </w:rPr>
              <w:t>9</w:t>
            </w:r>
          </w:p>
        </w:tc>
        <w:tc>
          <w:tcPr>
            <w:tcW w:w="0" w:type="auto"/>
            <w:vAlign w:val="center"/>
          </w:tcPr>
          <w:p w:rsidR="00C938CF" w:rsidRDefault="00236D5F">
            <w:pPr>
              <w:jc w:val="center"/>
            </w:pPr>
            <w:r>
              <w:rPr>
                <w:rFonts w:eastAsiaTheme="minorEastAsia"/>
                <w:szCs w:val="21"/>
              </w:rPr>
              <w:t>RIO TINTO PLC</w:t>
            </w:r>
          </w:p>
        </w:tc>
        <w:tc>
          <w:tcPr>
            <w:tcW w:w="0" w:type="auto"/>
            <w:vAlign w:val="center"/>
          </w:tcPr>
          <w:p w:rsidR="00C938CF" w:rsidRDefault="00236D5F">
            <w:pPr>
              <w:jc w:val="center"/>
            </w:pPr>
            <w:r>
              <w:rPr>
                <w:rFonts w:eastAsiaTheme="minorEastAsia"/>
                <w:szCs w:val="21"/>
              </w:rPr>
              <w:t>力拓公司</w:t>
            </w:r>
          </w:p>
        </w:tc>
        <w:tc>
          <w:tcPr>
            <w:tcW w:w="0" w:type="auto"/>
            <w:vAlign w:val="center"/>
          </w:tcPr>
          <w:p w:rsidR="00C938CF" w:rsidRDefault="00236D5F">
            <w:pPr>
              <w:jc w:val="center"/>
            </w:pPr>
            <w:r>
              <w:rPr>
                <w:rFonts w:eastAsiaTheme="minorEastAsia"/>
                <w:szCs w:val="21"/>
              </w:rPr>
              <w:t>RIO</w:t>
            </w:r>
          </w:p>
        </w:tc>
        <w:tc>
          <w:tcPr>
            <w:tcW w:w="0" w:type="auto"/>
            <w:vAlign w:val="center"/>
          </w:tcPr>
          <w:p w:rsidR="00C938CF" w:rsidRDefault="00236D5F">
            <w:pPr>
              <w:jc w:val="center"/>
            </w:pPr>
            <w:r>
              <w:rPr>
                <w:rFonts w:eastAsiaTheme="minorEastAsia"/>
                <w:szCs w:val="21"/>
              </w:rPr>
              <w:t>英国伦敦交易所</w:t>
            </w:r>
          </w:p>
        </w:tc>
        <w:tc>
          <w:tcPr>
            <w:tcW w:w="0" w:type="auto"/>
            <w:vAlign w:val="center"/>
          </w:tcPr>
          <w:p w:rsidR="00C938CF" w:rsidRDefault="00236D5F">
            <w:pPr>
              <w:jc w:val="center"/>
            </w:pPr>
            <w:r>
              <w:rPr>
                <w:rFonts w:eastAsiaTheme="minorEastAsia"/>
                <w:szCs w:val="21"/>
              </w:rPr>
              <w:t>英国</w:t>
            </w:r>
          </w:p>
        </w:tc>
        <w:tc>
          <w:tcPr>
            <w:tcW w:w="0" w:type="auto"/>
            <w:vAlign w:val="center"/>
          </w:tcPr>
          <w:p w:rsidR="00C938CF" w:rsidRDefault="00236D5F">
            <w:pPr>
              <w:jc w:val="right"/>
            </w:pPr>
            <w:r>
              <w:rPr>
                <w:rFonts w:eastAsiaTheme="minorEastAsia"/>
                <w:szCs w:val="21"/>
              </w:rPr>
              <w:t>2,658</w:t>
            </w:r>
          </w:p>
        </w:tc>
        <w:tc>
          <w:tcPr>
            <w:tcW w:w="0" w:type="auto"/>
            <w:vAlign w:val="center"/>
          </w:tcPr>
          <w:p w:rsidR="00C938CF" w:rsidRDefault="00236D5F">
            <w:pPr>
              <w:jc w:val="right"/>
            </w:pPr>
            <w:r>
              <w:rPr>
                <w:rFonts w:eastAsiaTheme="minorEastAsia"/>
                <w:szCs w:val="21"/>
              </w:rPr>
              <w:t>1,403,905.26</w:t>
            </w:r>
          </w:p>
        </w:tc>
        <w:tc>
          <w:tcPr>
            <w:tcW w:w="0" w:type="auto"/>
            <w:vAlign w:val="center"/>
          </w:tcPr>
          <w:p w:rsidR="00C938CF" w:rsidRDefault="00236D5F">
            <w:pPr>
              <w:jc w:val="right"/>
            </w:pPr>
            <w:r>
              <w:rPr>
                <w:rFonts w:eastAsiaTheme="minorEastAsia"/>
                <w:szCs w:val="21"/>
              </w:rPr>
              <w:t>1.73</w:t>
            </w:r>
          </w:p>
        </w:tc>
      </w:tr>
      <w:tr w:rsidR="00C938CF">
        <w:tc>
          <w:tcPr>
            <w:tcW w:w="0" w:type="auto"/>
            <w:vAlign w:val="center"/>
          </w:tcPr>
          <w:p w:rsidR="00C938CF" w:rsidRDefault="00236D5F">
            <w:pPr>
              <w:jc w:val="center"/>
            </w:pPr>
            <w:r>
              <w:rPr>
                <w:rFonts w:eastAsiaTheme="minorEastAsia"/>
                <w:szCs w:val="21"/>
              </w:rPr>
              <w:t>10</w:t>
            </w:r>
          </w:p>
        </w:tc>
        <w:tc>
          <w:tcPr>
            <w:tcW w:w="0" w:type="auto"/>
            <w:vAlign w:val="center"/>
          </w:tcPr>
          <w:p w:rsidR="00C938CF" w:rsidRDefault="00236D5F">
            <w:pPr>
              <w:jc w:val="center"/>
            </w:pPr>
            <w:r>
              <w:rPr>
                <w:rFonts w:eastAsiaTheme="minorEastAsia"/>
                <w:szCs w:val="21"/>
              </w:rPr>
              <w:t>RWE AG</w:t>
            </w:r>
          </w:p>
        </w:tc>
        <w:tc>
          <w:tcPr>
            <w:tcW w:w="0" w:type="auto"/>
            <w:vAlign w:val="center"/>
          </w:tcPr>
          <w:p w:rsidR="00C938CF" w:rsidRDefault="00236D5F">
            <w:pPr>
              <w:jc w:val="center"/>
            </w:pPr>
            <w:r>
              <w:rPr>
                <w:rFonts w:eastAsiaTheme="minorEastAsia"/>
                <w:szCs w:val="21"/>
              </w:rPr>
              <w:t>莱茵集团</w:t>
            </w:r>
          </w:p>
        </w:tc>
        <w:tc>
          <w:tcPr>
            <w:tcW w:w="0" w:type="auto"/>
            <w:vAlign w:val="center"/>
          </w:tcPr>
          <w:p w:rsidR="00C938CF" w:rsidRDefault="00236D5F">
            <w:pPr>
              <w:jc w:val="center"/>
            </w:pPr>
            <w:r>
              <w:rPr>
                <w:rFonts w:eastAsiaTheme="minorEastAsia"/>
                <w:szCs w:val="21"/>
              </w:rPr>
              <w:t>RWE</w:t>
            </w:r>
          </w:p>
        </w:tc>
        <w:tc>
          <w:tcPr>
            <w:tcW w:w="0" w:type="auto"/>
            <w:vAlign w:val="center"/>
          </w:tcPr>
          <w:p w:rsidR="00C938CF" w:rsidRDefault="00236D5F">
            <w:pPr>
              <w:jc w:val="center"/>
            </w:pPr>
            <w:r>
              <w:rPr>
                <w:rFonts w:eastAsiaTheme="minorEastAsia"/>
                <w:szCs w:val="21"/>
              </w:rPr>
              <w:t>法兰克福证券交易所</w:t>
            </w:r>
          </w:p>
        </w:tc>
        <w:tc>
          <w:tcPr>
            <w:tcW w:w="0" w:type="auto"/>
            <w:vAlign w:val="center"/>
          </w:tcPr>
          <w:p w:rsidR="00C938CF" w:rsidRDefault="00236D5F">
            <w:pPr>
              <w:jc w:val="center"/>
            </w:pPr>
            <w:r>
              <w:rPr>
                <w:rFonts w:eastAsiaTheme="minorEastAsia"/>
                <w:szCs w:val="21"/>
              </w:rPr>
              <w:t>德国</w:t>
            </w:r>
          </w:p>
        </w:tc>
        <w:tc>
          <w:tcPr>
            <w:tcW w:w="0" w:type="auto"/>
            <w:vAlign w:val="center"/>
          </w:tcPr>
          <w:p w:rsidR="00C938CF" w:rsidRDefault="00236D5F">
            <w:pPr>
              <w:jc w:val="right"/>
            </w:pPr>
            <w:r>
              <w:rPr>
                <w:rFonts w:eastAsiaTheme="minorEastAsia"/>
                <w:szCs w:val="21"/>
              </w:rPr>
              <w:t>4,217</w:t>
            </w:r>
          </w:p>
        </w:tc>
        <w:tc>
          <w:tcPr>
            <w:tcW w:w="0" w:type="auto"/>
            <w:vAlign w:val="center"/>
          </w:tcPr>
          <w:p w:rsidR="00C938CF" w:rsidRDefault="00236D5F">
            <w:pPr>
              <w:jc w:val="right"/>
            </w:pPr>
            <w:r>
              <w:rPr>
                <w:rFonts w:eastAsiaTheme="minorEastAsia"/>
                <w:szCs w:val="21"/>
              </w:rPr>
              <w:t>1,364,797.71</w:t>
            </w:r>
          </w:p>
        </w:tc>
        <w:tc>
          <w:tcPr>
            <w:tcW w:w="0" w:type="auto"/>
            <w:vAlign w:val="center"/>
          </w:tcPr>
          <w:p w:rsidR="00C938CF" w:rsidRDefault="00236D5F">
            <w:pPr>
              <w:jc w:val="right"/>
            </w:pPr>
            <w:r>
              <w:rPr>
                <w:rFonts w:eastAsiaTheme="minorEastAsia"/>
                <w:szCs w:val="21"/>
              </w:rPr>
              <w:t>1.68</w:t>
            </w:r>
          </w:p>
        </w:tc>
      </w:tr>
    </w:tbl>
    <w:p w:rsidR="00A3398F" w:rsidRDefault="00236D5F" w:rsidP="00CD25DA">
      <w:pPr>
        <w:autoSpaceDE w:val="0"/>
        <w:autoSpaceDN w:val="0"/>
        <w:adjustRightInd w:val="0"/>
        <w:spacing w:before="29" w:line="360" w:lineRule="auto"/>
        <w:jc w:val="left"/>
        <w:rPr>
          <w:rFonts w:eastAsiaTheme="minorEastAsia"/>
          <w:szCs w:val="21"/>
        </w:rPr>
      </w:pPr>
      <w:r>
        <w:rPr>
          <w:rFonts w:eastAsiaTheme="minorEastAsia" w:hint="eastAsia"/>
          <w:szCs w:val="21"/>
        </w:rPr>
        <w:t>注：此处所用证券代码的类别是当地市场代码。</w:t>
      </w:r>
    </w:p>
    <w:p w:rsidR="00236D5F" w:rsidRPr="00236D5F" w:rsidRDefault="00236D5F" w:rsidP="00CD25DA">
      <w:pPr>
        <w:autoSpaceDE w:val="0"/>
        <w:autoSpaceDN w:val="0"/>
        <w:adjustRightInd w:val="0"/>
        <w:spacing w:before="29"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5</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报告期末按债券信用等级分类的债券投资组合</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本基金本报告期末未持有债券。</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6</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报告期末按公允价值占基金资产净值比例大小排名的前五名债券投资明细</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本基金本报告期末未持有债券。</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7</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报告期末按公允价值占基金资产净值比例大小排名的前十名资产支持证券投资明细</w:t>
      </w:r>
    </w:p>
    <w:p w:rsidR="00521EDE" w:rsidRPr="00A3398F" w:rsidRDefault="00521EDE"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本基金本报告期末未持有资产支持证券。</w:t>
      </w:r>
    </w:p>
    <w:p w:rsidR="005B6AC7" w:rsidRPr="00A3398F"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5.8</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报告期末按公允价值占基金资产净值比例大小排名的前五名金融衍生品投资明细</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本基金本报告期末未持有金融衍生品。</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22A61"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5.9</w:t>
      </w:r>
      <w:r w:rsidR="0076518F" w:rsidRPr="00A3398F">
        <w:rPr>
          <w:rFonts w:eastAsiaTheme="minorEastAsia"/>
          <w:b/>
          <w:color w:val="000000" w:themeColor="text1"/>
          <w:kern w:val="0"/>
          <w:sz w:val="24"/>
        </w:rPr>
        <w:t>报告期末按公允价值占基金资产净值比例大小排序的前十名基金投资明细</w:t>
      </w:r>
    </w:p>
    <w:p w:rsidR="00521EDE" w:rsidRPr="00A3398F" w:rsidRDefault="00521EDE"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本基金本报告期末未持有基金。</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55EA7"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76518F" w:rsidRPr="00A3398F">
        <w:rPr>
          <w:rFonts w:eastAsiaTheme="minorEastAsia"/>
          <w:b/>
          <w:color w:val="000000" w:themeColor="text1"/>
          <w:kern w:val="0"/>
          <w:sz w:val="24"/>
        </w:rPr>
        <w:t>.</w:t>
      </w:r>
      <w:r w:rsidRPr="00A3398F">
        <w:rPr>
          <w:rFonts w:eastAsiaTheme="minorEastAsia"/>
          <w:b/>
          <w:color w:val="000000" w:themeColor="text1"/>
          <w:kern w:val="0"/>
          <w:sz w:val="24"/>
        </w:rPr>
        <w:t>10</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投资组合报告附注</w:t>
      </w:r>
    </w:p>
    <w:p w:rsidR="00B55EA7" w:rsidRPr="00A3398F" w:rsidRDefault="00B55EA7" w:rsidP="000E3F11">
      <w:pPr>
        <w:widowControl/>
        <w:spacing w:line="360" w:lineRule="auto"/>
        <w:ind w:left="120" w:hangingChars="50" w:hanging="120"/>
        <w:rPr>
          <w:rFonts w:eastAsiaTheme="minorEastAsia"/>
          <w:color w:val="000000" w:themeColor="text1"/>
          <w:sz w:val="24"/>
        </w:rPr>
      </w:pPr>
      <w:r w:rsidRPr="00A3398F">
        <w:rPr>
          <w:rFonts w:eastAsiaTheme="minorEastAsia"/>
          <w:color w:val="000000" w:themeColor="text1"/>
          <w:sz w:val="24"/>
        </w:rPr>
        <w:t>5.10.1</w:t>
      </w:r>
      <w:r w:rsidRPr="00A3398F">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3398F" w:rsidRDefault="00B55EA7" w:rsidP="00B55EA7">
      <w:pPr>
        <w:widowControl/>
        <w:spacing w:line="360" w:lineRule="auto"/>
        <w:rPr>
          <w:rFonts w:eastAsiaTheme="minorEastAsia"/>
          <w:color w:val="000000" w:themeColor="text1"/>
          <w:sz w:val="24"/>
        </w:rPr>
      </w:pPr>
      <w:r w:rsidRPr="00A3398F">
        <w:rPr>
          <w:rFonts w:eastAsiaTheme="minorEastAsia"/>
          <w:color w:val="000000" w:themeColor="text1"/>
          <w:sz w:val="24"/>
        </w:rPr>
        <w:t>5.10.2</w:t>
      </w:r>
      <w:r w:rsidRPr="00A3398F">
        <w:rPr>
          <w:rFonts w:eastAsiaTheme="minorEastAsia"/>
          <w:color w:val="000000" w:themeColor="text1"/>
          <w:sz w:val="24"/>
        </w:rPr>
        <w:t>报告期内本基金投资的前十名股票中没有在基金合同规定备选股票库之外的股票。</w:t>
      </w:r>
    </w:p>
    <w:p w:rsidR="0076518F" w:rsidRPr="00A3398F" w:rsidRDefault="008C71EB"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.3</w:t>
      </w:r>
      <w:r w:rsidR="0076518F" w:rsidRPr="00A3398F">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3398F" w:rsidTr="004C05F3">
        <w:tc>
          <w:tcPr>
            <w:tcW w:w="802"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序号</w:t>
            </w:r>
          </w:p>
        </w:tc>
        <w:tc>
          <w:tcPr>
            <w:tcW w:w="2903"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名称</w:t>
            </w:r>
          </w:p>
        </w:tc>
        <w:tc>
          <w:tcPr>
            <w:tcW w:w="4808"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金额</w:t>
            </w:r>
            <w:r w:rsidRPr="00A3398F">
              <w:rPr>
                <w:rFonts w:eastAsiaTheme="minorEastAsia"/>
                <w:color w:val="000000" w:themeColor="text1"/>
                <w:kern w:val="0"/>
                <w:szCs w:val="21"/>
              </w:rPr>
              <w:t>(</w:t>
            </w:r>
            <w:r w:rsidR="00C42431" w:rsidRPr="00A3398F">
              <w:rPr>
                <w:rFonts w:eastAsiaTheme="minorEastAsia"/>
                <w:color w:val="000000" w:themeColor="text1"/>
                <w:kern w:val="0"/>
                <w:szCs w:val="21"/>
              </w:rPr>
              <w:t>人民币</w:t>
            </w:r>
            <w:r w:rsidRPr="00A3398F">
              <w:rPr>
                <w:rFonts w:eastAsiaTheme="minorEastAsia"/>
                <w:color w:val="000000" w:themeColor="text1"/>
                <w:kern w:val="0"/>
                <w:szCs w:val="21"/>
              </w:rPr>
              <w:t>元</w:t>
            </w: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szCs w:val="21"/>
              </w:rPr>
              <w:t>1</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存出保证金</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2</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应收证券清算款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3</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应收股利</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46,816.28</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4</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应收利息</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5</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应收申购款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2,301,205.74</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6</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其他应收款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7</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szCs w:val="21"/>
              </w:rPr>
            </w:pPr>
            <w:r w:rsidRPr="00A3398F">
              <w:rPr>
                <w:rFonts w:eastAsiaTheme="minorEastAsia"/>
                <w:color w:val="000000" w:themeColor="text1"/>
                <w:szCs w:val="21"/>
              </w:rPr>
              <w:t>待摊费用</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8</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9</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合计</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2,348,022.02</w:t>
            </w:r>
          </w:p>
        </w:tc>
      </w:tr>
    </w:tbl>
    <w:p w:rsidR="00A22D4B" w:rsidRPr="00A3398F"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.4</w:t>
      </w:r>
      <w:r w:rsidR="0076518F" w:rsidRPr="00A3398F">
        <w:rPr>
          <w:rFonts w:eastAsiaTheme="minorEastAsia"/>
          <w:b/>
          <w:color w:val="000000" w:themeColor="text1"/>
          <w:kern w:val="0"/>
          <w:sz w:val="24"/>
        </w:rPr>
        <w:t>报告期末持有的处于转股期的可转换债券明细</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本基金本报告期末未持有处于转股期的可转换债券。</w:t>
      </w:r>
    </w:p>
    <w:p w:rsidR="009E3391" w:rsidRPr="00A3398F" w:rsidRDefault="009E3391" w:rsidP="002236BC">
      <w:pPr>
        <w:autoSpaceDE w:val="0"/>
        <w:autoSpaceDN w:val="0"/>
        <w:adjustRightInd w:val="0"/>
        <w:spacing w:line="360" w:lineRule="auto"/>
        <w:jc w:val="left"/>
        <w:rPr>
          <w:rFonts w:eastAsiaTheme="minorEastAsia"/>
          <w:color w:val="000000" w:themeColor="text1"/>
          <w:szCs w:val="21"/>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 xml:space="preserve">.5 </w:t>
      </w:r>
      <w:r w:rsidR="0076518F" w:rsidRPr="00A3398F">
        <w:rPr>
          <w:rFonts w:eastAsiaTheme="minorEastAsia"/>
          <w:b/>
          <w:color w:val="000000" w:themeColor="text1"/>
          <w:kern w:val="0"/>
          <w:sz w:val="24"/>
        </w:rPr>
        <w:t>报告期末前十名股票中存在流通受限情况的说明</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本基金本报告期末前十名股票中不存在流通受限情况。</w:t>
      </w:r>
    </w:p>
    <w:p w:rsidR="000E3B88" w:rsidRPr="00A3398F" w:rsidRDefault="000E3B88" w:rsidP="002236BC">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.6</w:t>
      </w:r>
      <w:r w:rsidR="001C46E1" w:rsidRPr="00A3398F">
        <w:rPr>
          <w:rFonts w:eastAsiaTheme="minorEastAsia"/>
          <w:b/>
          <w:color w:val="000000" w:themeColor="text1"/>
          <w:kern w:val="0"/>
          <w:sz w:val="24"/>
        </w:rPr>
        <w:t>投资组合报告附注的其他文字描述部分</w:t>
      </w:r>
    </w:p>
    <w:p w:rsidR="000A55BD" w:rsidRPr="00A3398F" w:rsidRDefault="000A55BD" w:rsidP="009E3391">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因四舍五入原因，投资组合报告中分项之和与合计可能存在尾差。</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§6  </w:t>
      </w:r>
      <w:r w:rsidRPr="00A3398F">
        <w:rPr>
          <w:rFonts w:eastAsiaTheme="minorEastAsia"/>
          <w:color w:val="000000" w:themeColor="text1"/>
          <w:kern w:val="0"/>
          <w:sz w:val="24"/>
          <w:szCs w:val="24"/>
        </w:rPr>
        <w:t>开放式基金份额变动</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单位：份</w:t>
      </w:r>
    </w:p>
    <w:tbl>
      <w:tblPr>
        <w:tblW w:w="8634" w:type="dxa"/>
        <w:tblInd w:w="108" w:type="dxa"/>
        <w:tblLayout w:type="fixed"/>
        <w:tblLook w:val="0000" w:firstRow="0" w:lastRow="0" w:firstColumn="0" w:lastColumn="0" w:noHBand="0" w:noVBand="0"/>
      </w:tblPr>
      <w:tblGrid>
        <w:gridCol w:w="3900"/>
        <w:gridCol w:w="2367"/>
        <w:gridCol w:w="2367"/>
      </w:tblGrid>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56,190,886.74</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166,950.58</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13,008,007.39</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3,656,665.24</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11,146,064.57</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744,334.46</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58,052,829.56</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3,079,281.36</w:t>
            </w:r>
          </w:p>
        </w:tc>
      </w:tr>
    </w:tbl>
    <w:p w:rsidR="00BB5F3D" w:rsidRPr="00A3398F" w:rsidRDefault="00BB5F3D" w:rsidP="009E705F">
      <w:pPr>
        <w:pStyle w:val="1"/>
        <w:tabs>
          <w:tab w:val="center" w:pos="4156"/>
          <w:tab w:val="right" w:pos="8312"/>
        </w:tabs>
        <w:spacing w:beforeLines="100" w:before="312" w:afterLines="100" w:after="312" w:line="360" w:lineRule="auto"/>
        <w:jc w:val="center"/>
        <w:rPr>
          <w:color w:val="000000" w:themeColor="text1"/>
          <w:sz w:val="24"/>
          <w:szCs w:val="24"/>
        </w:rPr>
      </w:pPr>
      <w:r w:rsidRPr="00A3398F">
        <w:rPr>
          <w:rFonts w:eastAsiaTheme="minorEastAsia"/>
          <w:color w:val="000000" w:themeColor="text1"/>
          <w:kern w:val="0"/>
          <w:sz w:val="24"/>
          <w:szCs w:val="24"/>
        </w:rPr>
        <w:t xml:space="preserve">§7  </w:t>
      </w:r>
      <w:r w:rsidRPr="00A3398F">
        <w:rPr>
          <w:color w:val="000000" w:themeColor="text1"/>
          <w:sz w:val="24"/>
          <w:szCs w:val="24"/>
        </w:rPr>
        <w:t>基金管理人运用固有资金投资本基金情况</w:t>
      </w:r>
    </w:p>
    <w:p w:rsidR="00BB5F3D" w:rsidRPr="00A3398F" w:rsidRDefault="00BB5F3D" w:rsidP="00BB5F3D">
      <w:pPr>
        <w:spacing w:line="360" w:lineRule="auto"/>
        <w:jc w:val="left"/>
        <w:rPr>
          <w:rFonts w:eastAsiaTheme="minorEastAsia"/>
          <w:b/>
          <w:color w:val="000000" w:themeColor="text1"/>
          <w:sz w:val="24"/>
        </w:rPr>
      </w:pPr>
      <w:r w:rsidRPr="00A3398F">
        <w:rPr>
          <w:rFonts w:eastAsiaTheme="minorEastAsia"/>
          <w:b/>
          <w:color w:val="000000" w:themeColor="text1"/>
          <w:sz w:val="24"/>
        </w:rPr>
        <w:t xml:space="preserve">7.1 </w:t>
      </w:r>
      <w:r w:rsidRPr="00A3398F">
        <w:rPr>
          <w:rFonts w:eastAsiaTheme="minorEastAsia"/>
          <w:b/>
          <w:color w:val="000000" w:themeColor="text1"/>
          <w:sz w:val="24"/>
        </w:rPr>
        <w:t>基金管理人运用固有资金投资本基金交易明细</w:t>
      </w:r>
    </w:p>
    <w:p w:rsidR="005E64DA" w:rsidRPr="00A3398F" w:rsidRDefault="00BB5F3D" w:rsidP="005E64DA">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w:t>
      </w:r>
      <w:r w:rsidR="002711AA" w:rsidRPr="00A3398F">
        <w:rPr>
          <w:rFonts w:eastAsiaTheme="minorEastAsia"/>
          <w:color w:val="000000" w:themeColor="text1"/>
          <w:kern w:val="0"/>
          <w:sz w:val="24"/>
          <w:szCs w:val="24"/>
        </w:rPr>
        <w:t>8</w:t>
      </w:r>
      <w:r w:rsidRPr="00A3398F">
        <w:rPr>
          <w:rFonts w:eastAsiaTheme="minorEastAsia"/>
          <w:color w:val="000000" w:themeColor="text1"/>
          <w:kern w:val="0"/>
          <w:sz w:val="24"/>
          <w:szCs w:val="24"/>
        </w:rPr>
        <w:t xml:space="preserve"> </w:t>
      </w:r>
      <w:r w:rsidRPr="00A3398F">
        <w:rPr>
          <w:rFonts w:eastAsiaTheme="minorEastAsia"/>
          <w:color w:val="000000" w:themeColor="text1"/>
          <w:kern w:val="0"/>
          <w:sz w:val="24"/>
          <w:szCs w:val="24"/>
        </w:rPr>
        <w:t>备查文件目录</w:t>
      </w: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1</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备查文件目录</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基金合同》；</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托管协议》；</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C938CF" w:rsidRDefault="00236D5F">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7</w:t>
      </w:r>
      <w:r w:rsidRPr="00A3398F">
        <w:rPr>
          <w:rFonts w:eastAsiaTheme="minorEastAsia"/>
          <w:color w:val="000000" w:themeColor="text1"/>
          <w:szCs w:val="21"/>
        </w:rPr>
        <w:t>、中国证监会要求的其他文件。</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2</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存放地点</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基金管理人或基金托管人处。</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3</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查阅方式</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投资者可在营业时间免费查阅，也可按工本费购买复印件。</w:t>
      </w:r>
    </w:p>
    <w:p w:rsidR="0076518F" w:rsidRPr="00A3398F" w:rsidRDefault="0076518F" w:rsidP="008B6A4A">
      <w:pPr>
        <w:spacing w:line="360" w:lineRule="auto"/>
        <w:ind w:firstLineChars="200" w:firstLine="480"/>
        <w:rPr>
          <w:rFonts w:eastAsiaTheme="minorEastAsia"/>
          <w:color w:val="000000" w:themeColor="text1"/>
          <w:sz w:val="24"/>
        </w:rPr>
      </w:pPr>
    </w:p>
    <w:p w:rsidR="008A2EC6" w:rsidRPr="00A3398F" w:rsidRDefault="008A2EC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76518F" w:rsidRPr="00A3398F" w:rsidRDefault="0076518F" w:rsidP="008B6A4A">
      <w:pPr>
        <w:spacing w:line="360" w:lineRule="auto"/>
        <w:ind w:firstLineChars="200" w:firstLine="480"/>
        <w:rPr>
          <w:rFonts w:eastAsiaTheme="minorEastAsia"/>
          <w:color w:val="000000" w:themeColor="text1"/>
          <w:sz w:val="24"/>
        </w:rPr>
      </w:pPr>
    </w:p>
    <w:p w:rsidR="008975BC" w:rsidRPr="00A3398F" w:rsidRDefault="008975BC"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t>摩根基金管理（中国）有限公司</w:t>
      </w:r>
    </w:p>
    <w:p w:rsidR="0076518F" w:rsidRPr="00A3398F" w:rsidRDefault="00623556"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t>二〇二四年一月二十二日</w:t>
      </w:r>
    </w:p>
    <w:sectPr w:rsidR="0076518F" w:rsidRPr="00A3398F" w:rsidSect="00DB4450">
      <w:headerReference w:type="even" r:id="rId11"/>
      <w:footerReference w:type="even" r:id="rId12"/>
      <w:footerReference w:type="default" r:id="rId13"/>
      <w:headerReference w:type="first" r:id="rId14"/>
      <w:footerReference w:type="firs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FC" w:rsidRDefault="002F74FC">
      <w:r>
        <w:separator/>
      </w:r>
    </w:p>
  </w:endnote>
  <w:endnote w:type="continuationSeparator" w:id="0">
    <w:p w:rsidR="002F74FC" w:rsidRDefault="002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1D0DB0" w:rsidRDefault="00EF4716" w:rsidP="00B918B8">
    <w:pPr>
      <w:pStyle w:val="a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70DE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70DE6">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F4716" w:rsidRDefault="00EF47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70DE6">
      <w:rPr>
        <w:rStyle w:val="a8"/>
        <w:noProof/>
      </w:rPr>
      <w:t>5</w:t>
    </w:r>
    <w:r>
      <w:rPr>
        <w:rStyle w:val="a8"/>
      </w:rPr>
      <w:fldChar w:fldCharType="end"/>
    </w:r>
  </w:p>
  <w:p w:rsidR="00EF4716" w:rsidRDefault="00EF471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FC" w:rsidRDefault="002F74FC">
      <w:r>
        <w:separator/>
      </w:r>
    </w:p>
  </w:footnote>
  <w:footnote w:type="continuationSeparator" w:id="0">
    <w:p w:rsidR="002F74FC" w:rsidRDefault="002F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6669C9" w:rsidRDefault="00EF4716" w:rsidP="001D1356">
    <w:pPr>
      <w:pStyle w:val="aa"/>
      <w:pBdr>
        <w:bottom w:val="single" w:sz="6" w:space="0" w:color="auto"/>
      </w:pBdr>
      <w:jc w:val="right"/>
    </w:pPr>
    <w:r w:rsidRPr="006669C9">
      <w:t>摩根欧洲动力策略股票型证券投资基金</w:t>
    </w:r>
    <w:r w:rsidRPr="006669C9">
      <w:t>(QDII)2023</w:t>
    </w:r>
    <w:r w:rsidRPr="006669C9">
      <w:t>年第</w:t>
    </w:r>
    <w:r w:rsidRPr="006669C9">
      <w:t>4</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10"/>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0DD6"/>
    <w:rsid w:val="0007171B"/>
    <w:rsid w:val="00081D05"/>
    <w:rsid w:val="000876A0"/>
    <w:rsid w:val="00087CF7"/>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C27"/>
    <w:rsid w:val="00126DDF"/>
    <w:rsid w:val="001270BF"/>
    <w:rsid w:val="00127BAC"/>
    <w:rsid w:val="00142A56"/>
    <w:rsid w:val="00143B45"/>
    <w:rsid w:val="00144DF5"/>
    <w:rsid w:val="00145A97"/>
    <w:rsid w:val="00146485"/>
    <w:rsid w:val="00150AD6"/>
    <w:rsid w:val="001542CC"/>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5051"/>
    <w:rsid w:val="002273CA"/>
    <w:rsid w:val="00233B7F"/>
    <w:rsid w:val="002347A7"/>
    <w:rsid w:val="002359EB"/>
    <w:rsid w:val="002363AB"/>
    <w:rsid w:val="00236D5F"/>
    <w:rsid w:val="0024203E"/>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000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2F74FC"/>
    <w:rsid w:val="00300951"/>
    <w:rsid w:val="00302CA8"/>
    <w:rsid w:val="00302DE9"/>
    <w:rsid w:val="00304106"/>
    <w:rsid w:val="00304E5A"/>
    <w:rsid w:val="00304E97"/>
    <w:rsid w:val="00305084"/>
    <w:rsid w:val="0031104D"/>
    <w:rsid w:val="00311094"/>
    <w:rsid w:val="0031598C"/>
    <w:rsid w:val="00316339"/>
    <w:rsid w:val="003204E9"/>
    <w:rsid w:val="00321E8C"/>
    <w:rsid w:val="00322A5E"/>
    <w:rsid w:val="00322A86"/>
    <w:rsid w:val="00323AE8"/>
    <w:rsid w:val="00324548"/>
    <w:rsid w:val="003251F4"/>
    <w:rsid w:val="003303E3"/>
    <w:rsid w:val="003329EA"/>
    <w:rsid w:val="003371D0"/>
    <w:rsid w:val="003376D5"/>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0FB5"/>
    <w:rsid w:val="003822D3"/>
    <w:rsid w:val="00386630"/>
    <w:rsid w:val="00390B25"/>
    <w:rsid w:val="00395BC9"/>
    <w:rsid w:val="00396E32"/>
    <w:rsid w:val="00397156"/>
    <w:rsid w:val="00397616"/>
    <w:rsid w:val="00397960"/>
    <w:rsid w:val="003A080A"/>
    <w:rsid w:val="003A30B8"/>
    <w:rsid w:val="003A3BC4"/>
    <w:rsid w:val="003A458A"/>
    <w:rsid w:val="003B2F13"/>
    <w:rsid w:val="003B405E"/>
    <w:rsid w:val="003B57D3"/>
    <w:rsid w:val="003C1F58"/>
    <w:rsid w:val="003C6BB7"/>
    <w:rsid w:val="003C792F"/>
    <w:rsid w:val="003D0053"/>
    <w:rsid w:val="003D124B"/>
    <w:rsid w:val="003D18F3"/>
    <w:rsid w:val="003D70D1"/>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1686F"/>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0DE6"/>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453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14E07"/>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601A"/>
    <w:rsid w:val="00656776"/>
    <w:rsid w:val="00661974"/>
    <w:rsid w:val="00662D4B"/>
    <w:rsid w:val="00664551"/>
    <w:rsid w:val="00664F49"/>
    <w:rsid w:val="006658FA"/>
    <w:rsid w:val="00666066"/>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3B"/>
    <w:rsid w:val="00696356"/>
    <w:rsid w:val="006A1DAE"/>
    <w:rsid w:val="006A2C8E"/>
    <w:rsid w:val="006A72C6"/>
    <w:rsid w:val="006B02DA"/>
    <w:rsid w:val="006B077E"/>
    <w:rsid w:val="006B1FD1"/>
    <w:rsid w:val="006B2065"/>
    <w:rsid w:val="006B2F2B"/>
    <w:rsid w:val="006B3940"/>
    <w:rsid w:val="006B47D1"/>
    <w:rsid w:val="006C0411"/>
    <w:rsid w:val="006C124D"/>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7772"/>
    <w:rsid w:val="00721AF1"/>
    <w:rsid w:val="0072280F"/>
    <w:rsid w:val="00722B5E"/>
    <w:rsid w:val="0072708F"/>
    <w:rsid w:val="00730500"/>
    <w:rsid w:val="00732D1D"/>
    <w:rsid w:val="00736034"/>
    <w:rsid w:val="00736479"/>
    <w:rsid w:val="0073681C"/>
    <w:rsid w:val="00741EB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292"/>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37"/>
    <w:rsid w:val="009309DA"/>
    <w:rsid w:val="0093260B"/>
    <w:rsid w:val="00936688"/>
    <w:rsid w:val="00936891"/>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E705F"/>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398F"/>
    <w:rsid w:val="00A35B79"/>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A5FB8"/>
    <w:rsid w:val="00BB1EB3"/>
    <w:rsid w:val="00BB2678"/>
    <w:rsid w:val="00BB531E"/>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07BF8"/>
    <w:rsid w:val="00C104CC"/>
    <w:rsid w:val="00C130C1"/>
    <w:rsid w:val="00C14142"/>
    <w:rsid w:val="00C152FE"/>
    <w:rsid w:val="00C16739"/>
    <w:rsid w:val="00C22CCE"/>
    <w:rsid w:val="00C23BA2"/>
    <w:rsid w:val="00C25D0C"/>
    <w:rsid w:val="00C32AF2"/>
    <w:rsid w:val="00C33204"/>
    <w:rsid w:val="00C338EB"/>
    <w:rsid w:val="00C33E2E"/>
    <w:rsid w:val="00C3465D"/>
    <w:rsid w:val="00C3494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8CF"/>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D25DA"/>
    <w:rsid w:val="00CE3C13"/>
    <w:rsid w:val="00CE4499"/>
    <w:rsid w:val="00CE45E9"/>
    <w:rsid w:val="00CE5277"/>
    <w:rsid w:val="00CE6358"/>
    <w:rsid w:val="00CE7FC6"/>
    <w:rsid w:val="00CF0C6C"/>
    <w:rsid w:val="00CF0DD1"/>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10E8"/>
    <w:rsid w:val="00D33751"/>
    <w:rsid w:val="00D36F6E"/>
    <w:rsid w:val="00D37343"/>
    <w:rsid w:val="00D4205E"/>
    <w:rsid w:val="00D565EC"/>
    <w:rsid w:val="00D61982"/>
    <w:rsid w:val="00D6226F"/>
    <w:rsid w:val="00D6267A"/>
    <w:rsid w:val="00D674CF"/>
    <w:rsid w:val="00D678DF"/>
    <w:rsid w:val="00D678E4"/>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27344"/>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50C2"/>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1749"/>
    <w:rsid w:val="00EE2ACE"/>
    <w:rsid w:val="00EE4874"/>
    <w:rsid w:val="00EE79A6"/>
    <w:rsid w:val="00EE7FB4"/>
    <w:rsid w:val="00EF0D26"/>
    <w:rsid w:val="00EF0D86"/>
    <w:rsid w:val="00EF22FE"/>
    <w:rsid w:val="00EF4716"/>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195"/>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907810778">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10230114">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114</TotalTime>
  <Pages>16</Pages>
  <Words>1414</Words>
  <Characters>8063</Characters>
  <Application>Microsoft Office Word</Application>
  <DocSecurity>0</DocSecurity>
  <Lines>67</Lines>
  <Paragraphs>18</Paragraphs>
  <ScaleCrop>false</ScaleCrop>
  <Company>TRT. Ltd. Co.</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34</cp:revision>
  <cp:lastPrinted>2007-07-19T00:46:00Z</cp:lastPrinted>
  <dcterms:created xsi:type="dcterms:W3CDTF">2014-12-16T02:40:00Z</dcterms:created>
  <dcterms:modified xsi:type="dcterms:W3CDTF">2024-01-19T06:17:00Z</dcterms:modified>
</cp:coreProperties>
</file>