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06692"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61BBF11D"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021DCBF7"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4C2681D2"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7C4F2CE1"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摩根欧洲动力策略股票型证券投资基金</w:t>
      </w:r>
      <w:r w:rsidRPr="00A3398F">
        <w:rPr>
          <w:rFonts w:eastAsiaTheme="minorEastAsia"/>
          <w:b/>
          <w:color w:val="000000" w:themeColor="text1"/>
          <w:sz w:val="36"/>
          <w:szCs w:val="36"/>
        </w:rPr>
        <w:t>(QDII)</w:t>
      </w:r>
    </w:p>
    <w:p w14:paraId="0479B18C"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14:paraId="4B9CFA70"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14:paraId="60406577" w14:textId="77777777" w:rsidR="00397616" w:rsidRPr="00A3398F" w:rsidRDefault="00397616" w:rsidP="00397616">
      <w:pPr>
        <w:spacing w:line="360" w:lineRule="auto"/>
        <w:jc w:val="center"/>
        <w:rPr>
          <w:rFonts w:eastAsiaTheme="minorEastAsia"/>
          <w:b/>
          <w:color w:val="000000" w:themeColor="text1"/>
          <w:sz w:val="24"/>
        </w:rPr>
      </w:pPr>
    </w:p>
    <w:p w14:paraId="21816AB6" w14:textId="77777777" w:rsidR="00397616" w:rsidRPr="00A3398F" w:rsidRDefault="00397616" w:rsidP="00397616">
      <w:pPr>
        <w:spacing w:line="360" w:lineRule="auto"/>
        <w:jc w:val="center"/>
        <w:rPr>
          <w:rFonts w:eastAsiaTheme="minorEastAsia"/>
          <w:b/>
          <w:color w:val="000000" w:themeColor="text1"/>
          <w:sz w:val="24"/>
        </w:rPr>
      </w:pPr>
    </w:p>
    <w:p w14:paraId="7CE791D8" w14:textId="77777777" w:rsidR="00397616" w:rsidRPr="00A3398F" w:rsidRDefault="00397616" w:rsidP="00397616">
      <w:pPr>
        <w:spacing w:line="360" w:lineRule="auto"/>
        <w:jc w:val="center"/>
        <w:rPr>
          <w:rFonts w:eastAsiaTheme="minorEastAsia"/>
          <w:b/>
          <w:color w:val="000000" w:themeColor="text1"/>
          <w:sz w:val="24"/>
        </w:rPr>
      </w:pPr>
    </w:p>
    <w:p w14:paraId="5AD3017B" w14:textId="77777777" w:rsidR="00397616" w:rsidRPr="00A3398F" w:rsidRDefault="00397616" w:rsidP="00397616">
      <w:pPr>
        <w:spacing w:line="360" w:lineRule="auto"/>
        <w:jc w:val="center"/>
        <w:rPr>
          <w:rFonts w:eastAsiaTheme="minorEastAsia"/>
          <w:b/>
          <w:color w:val="000000" w:themeColor="text1"/>
          <w:sz w:val="24"/>
        </w:rPr>
      </w:pPr>
    </w:p>
    <w:p w14:paraId="6BECA8D1" w14:textId="77777777" w:rsidR="00397616" w:rsidRPr="00A3398F" w:rsidRDefault="00397616" w:rsidP="00397616">
      <w:pPr>
        <w:spacing w:line="360" w:lineRule="auto"/>
        <w:jc w:val="center"/>
        <w:rPr>
          <w:rFonts w:eastAsiaTheme="minorEastAsia"/>
          <w:b/>
          <w:color w:val="000000" w:themeColor="text1"/>
          <w:sz w:val="24"/>
        </w:rPr>
      </w:pPr>
    </w:p>
    <w:p w14:paraId="711551A9" w14:textId="77777777" w:rsidR="00397616" w:rsidRPr="00A3398F" w:rsidRDefault="00397616" w:rsidP="00397616">
      <w:pPr>
        <w:spacing w:line="360" w:lineRule="auto"/>
        <w:jc w:val="center"/>
        <w:rPr>
          <w:rFonts w:eastAsiaTheme="minorEastAsia"/>
          <w:b/>
          <w:color w:val="000000" w:themeColor="text1"/>
          <w:sz w:val="24"/>
        </w:rPr>
      </w:pPr>
    </w:p>
    <w:p w14:paraId="59EAA46C" w14:textId="77777777" w:rsidR="00397616" w:rsidRPr="00A3398F" w:rsidRDefault="00397616" w:rsidP="00397616">
      <w:pPr>
        <w:spacing w:line="360" w:lineRule="auto"/>
        <w:jc w:val="center"/>
        <w:rPr>
          <w:rFonts w:eastAsiaTheme="minorEastAsia"/>
          <w:b/>
          <w:color w:val="000000" w:themeColor="text1"/>
          <w:sz w:val="24"/>
        </w:rPr>
      </w:pPr>
    </w:p>
    <w:p w14:paraId="19B2AFF5" w14:textId="77777777" w:rsidR="00397616" w:rsidRPr="00A3398F" w:rsidRDefault="00397616" w:rsidP="00397616">
      <w:pPr>
        <w:spacing w:line="360" w:lineRule="auto"/>
        <w:jc w:val="center"/>
        <w:rPr>
          <w:rFonts w:eastAsiaTheme="minorEastAsia"/>
          <w:b/>
          <w:color w:val="000000" w:themeColor="text1"/>
          <w:sz w:val="24"/>
        </w:rPr>
      </w:pPr>
    </w:p>
    <w:p w14:paraId="771512FB" w14:textId="77777777" w:rsidR="00397616" w:rsidRPr="00A3398F" w:rsidRDefault="00397616" w:rsidP="00397616">
      <w:pPr>
        <w:spacing w:line="360" w:lineRule="auto"/>
        <w:jc w:val="center"/>
        <w:rPr>
          <w:rFonts w:eastAsiaTheme="minorEastAsia"/>
          <w:b/>
          <w:color w:val="000000" w:themeColor="text1"/>
          <w:sz w:val="24"/>
        </w:rPr>
      </w:pPr>
    </w:p>
    <w:p w14:paraId="7E86243C" w14:textId="77777777" w:rsidR="00397616" w:rsidRPr="00A3398F" w:rsidRDefault="00397616" w:rsidP="00397616">
      <w:pPr>
        <w:spacing w:line="360" w:lineRule="auto"/>
        <w:jc w:val="center"/>
        <w:rPr>
          <w:rFonts w:eastAsiaTheme="minorEastAsia"/>
          <w:b/>
          <w:color w:val="000000" w:themeColor="text1"/>
          <w:sz w:val="24"/>
        </w:rPr>
      </w:pPr>
    </w:p>
    <w:p w14:paraId="7B291824" w14:textId="77777777" w:rsidR="00397616" w:rsidRPr="00A3398F" w:rsidRDefault="00397616" w:rsidP="00397616">
      <w:pPr>
        <w:spacing w:line="360" w:lineRule="auto"/>
        <w:jc w:val="center"/>
        <w:rPr>
          <w:rFonts w:eastAsiaTheme="minorEastAsia"/>
          <w:b/>
          <w:color w:val="000000" w:themeColor="text1"/>
          <w:sz w:val="24"/>
        </w:rPr>
      </w:pPr>
    </w:p>
    <w:p w14:paraId="72901124" w14:textId="77777777" w:rsidR="00397616" w:rsidRPr="00A3398F" w:rsidRDefault="00397616" w:rsidP="00397616">
      <w:pPr>
        <w:spacing w:line="360" w:lineRule="auto"/>
        <w:jc w:val="center"/>
        <w:rPr>
          <w:rFonts w:eastAsiaTheme="minorEastAsia"/>
          <w:b/>
          <w:color w:val="000000" w:themeColor="text1"/>
          <w:sz w:val="24"/>
        </w:rPr>
      </w:pPr>
    </w:p>
    <w:p w14:paraId="1BEE79DB" w14:textId="77777777" w:rsidR="00397616" w:rsidRPr="00A3398F" w:rsidRDefault="00397616" w:rsidP="00397616">
      <w:pPr>
        <w:spacing w:line="360" w:lineRule="auto"/>
        <w:jc w:val="center"/>
        <w:rPr>
          <w:rFonts w:eastAsiaTheme="minorEastAsia"/>
          <w:b/>
          <w:color w:val="000000" w:themeColor="text1"/>
          <w:sz w:val="24"/>
        </w:rPr>
      </w:pPr>
    </w:p>
    <w:p w14:paraId="26C59011" w14:textId="77777777" w:rsidR="00397616" w:rsidRPr="00A3398F" w:rsidRDefault="00397616" w:rsidP="00826B12">
      <w:pPr>
        <w:spacing w:line="288" w:lineRule="auto"/>
        <w:ind w:firstLineChars="900" w:firstLine="2168"/>
        <w:rPr>
          <w:rFonts w:eastAsiaTheme="minorEastAsia"/>
          <w:b/>
          <w:color w:val="000000" w:themeColor="text1"/>
          <w:sz w:val="24"/>
        </w:rPr>
      </w:pPr>
    </w:p>
    <w:p w14:paraId="043496EC"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708E9ECB"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基金托管人：招商银行股份有限公司</w:t>
      </w:r>
    </w:p>
    <w:p w14:paraId="2A6EC164"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二〇二五年一月二十二日</w:t>
      </w:r>
    </w:p>
    <w:p w14:paraId="75FDE5AD"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28612193"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151C478"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8EAEEAF"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7D3872A"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68F53D0F"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3344A62"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14:paraId="28165497"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0EC50EF7" w14:textId="77777777" w:rsidTr="003376D5">
        <w:tc>
          <w:tcPr>
            <w:tcW w:w="2980" w:type="dxa"/>
            <w:vAlign w:val="center"/>
          </w:tcPr>
          <w:p w14:paraId="7BB7E72A"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592C2CF1"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摩根欧洲动力策略股票</w:t>
            </w:r>
            <w:r w:rsidRPr="00A3398F">
              <w:rPr>
                <w:rFonts w:eastAsiaTheme="minorEastAsia"/>
                <w:color w:val="000000" w:themeColor="text1"/>
                <w:kern w:val="0"/>
                <w:szCs w:val="21"/>
              </w:rPr>
              <w:t>(QDII)</w:t>
            </w:r>
          </w:p>
        </w:tc>
      </w:tr>
      <w:tr w:rsidR="008277FF" w:rsidRPr="00A3398F" w14:paraId="074B672D" w14:textId="77777777" w:rsidTr="003376D5">
        <w:tc>
          <w:tcPr>
            <w:tcW w:w="2980" w:type="dxa"/>
            <w:vAlign w:val="center"/>
          </w:tcPr>
          <w:p w14:paraId="38DBE56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66FCB22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006282</w:t>
            </w:r>
          </w:p>
        </w:tc>
      </w:tr>
      <w:tr w:rsidR="008277FF" w:rsidRPr="00A3398F" w14:paraId="33984601" w14:textId="77777777" w:rsidTr="003376D5">
        <w:tc>
          <w:tcPr>
            <w:tcW w:w="2980" w:type="dxa"/>
            <w:vAlign w:val="center"/>
          </w:tcPr>
          <w:p w14:paraId="72C1D720"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1166E628"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006282</w:t>
            </w:r>
          </w:p>
        </w:tc>
      </w:tr>
      <w:tr w:rsidR="008277FF" w:rsidRPr="00A3398F" w14:paraId="2BA71BF0" w14:textId="77777777" w:rsidTr="003376D5">
        <w:tc>
          <w:tcPr>
            <w:tcW w:w="2980" w:type="dxa"/>
            <w:vAlign w:val="center"/>
          </w:tcPr>
          <w:p w14:paraId="73C2540D"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011F5FB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3E3E8130" w14:textId="77777777" w:rsidTr="003376D5">
        <w:tc>
          <w:tcPr>
            <w:tcW w:w="2980" w:type="dxa"/>
            <w:vAlign w:val="center"/>
          </w:tcPr>
          <w:p w14:paraId="44E78BB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01E80CC5"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2018</w:t>
            </w:r>
            <w:r w:rsidRPr="00A3398F">
              <w:rPr>
                <w:rFonts w:eastAsiaTheme="minorEastAsia"/>
                <w:color w:val="000000" w:themeColor="text1"/>
                <w:kern w:val="0"/>
                <w:szCs w:val="21"/>
              </w:rPr>
              <w:t>年</w:t>
            </w:r>
            <w:r w:rsidRPr="00A3398F">
              <w:rPr>
                <w:rFonts w:eastAsiaTheme="minorEastAsia"/>
                <w:color w:val="000000" w:themeColor="text1"/>
                <w:kern w:val="0"/>
                <w:szCs w:val="21"/>
              </w:rPr>
              <w:t>10</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tc>
      </w:tr>
      <w:tr w:rsidR="008277FF" w:rsidRPr="00A3398F" w14:paraId="675B2F74" w14:textId="77777777" w:rsidTr="003376D5">
        <w:tc>
          <w:tcPr>
            <w:tcW w:w="2980" w:type="dxa"/>
            <w:vAlign w:val="center"/>
          </w:tcPr>
          <w:p w14:paraId="7EEEDAF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2C522B7D"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152,323,317.05</w:t>
            </w:r>
            <w:r w:rsidRPr="00A3398F">
              <w:rPr>
                <w:rFonts w:eastAsiaTheme="minorEastAsia"/>
                <w:color w:val="000000" w:themeColor="text1"/>
                <w:kern w:val="0"/>
                <w:szCs w:val="21"/>
              </w:rPr>
              <w:t>份</w:t>
            </w:r>
          </w:p>
        </w:tc>
      </w:tr>
      <w:tr w:rsidR="008277FF" w:rsidRPr="00A3398F" w14:paraId="597333DF" w14:textId="77777777" w:rsidTr="003376D5">
        <w:tc>
          <w:tcPr>
            <w:tcW w:w="2980" w:type="dxa"/>
            <w:vAlign w:val="center"/>
          </w:tcPr>
          <w:p w14:paraId="3038553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7C295A1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本基金主要投资于欧洲股票，在严格控制风险的前提下追求超越业绩比较基准的回报。</w:t>
            </w:r>
          </w:p>
        </w:tc>
      </w:tr>
      <w:tr w:rsidR="008277FF" w:rsidRPr="00A3398F" w14:paraId="28E74BF7" w14:textId="77777777" w:rsidTr="003376D5">
        <w:tc>
          <w:tcPr>
            <w:tcW w:w="2980" w:type="dxa"/>
            <w:vAlign w:val="center"/>
          </w:tcPr>
          <w:p w14:paraId="3399DF5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31199A3E" w14:textId="77777777" w:rsidR="00173DA9" w:rsidRDefault="00A74F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3E3F189C" w14:textId="77777777" w:rsidR="00173DA9" w:rsidRDefault="00A74F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本基金将根据欧洲资本市场情况、企业竞争优势等进行综合分析、评估，精选优秀的欧洲企业进行跨市场配置以构建股票投资组合。</w:t>
            </w:r>
          </w:p>
          <w:p w14:paraId="159FFB95" w14:textId="77777777" w:rsidR="00173DA9" w:rsidRDefault="00A74F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、本基金的股票投资策略如下：</w:t>
            </w:r>
          </w:p>
          <w:p w14:paraId="35832D9D" w14:textId="77777777" w:rsidR="00173DA9" w:rsidRDefault="00A74F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1</w:t>
            </w:r>
            <w:r>
              <w:rPr>
                <w:rFonts w:eastAsiaTheme="minorEastAsia"/>
                <w:color w:val="000000" w:themeColor="text1"/>
                <w:kern w:val="0"/>
                <w:szCs w:val="21"/>
              </w:rPr>
              <w:t>）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p>
          <w:p w14:paraId="0479B981" w14:textId="77777777" w:rsidR="00173DA9" w:rsidRDefault="00A74F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p>
          <w:p w14:paraId="4CCE38B1" w14:textId="77777777" w:rsidR="00173DA9" w:rsidRDefault="00A74F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）投资组合构建：根据上述精选出的个股，结合各项定量和定性指标挑选出最具上涨潜力的标的自下而上构建投资组合。</w:t>
            </w:r>
          </w:p>
          <w:p w14:paraId="1E61CC4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3398F" w14:paraId="2CB46E5A" w14:textId="77777777" w:rsidTr="003376D5">
        <w:tc>
          <w:tcPr>
            <w:tcW w:w="2980" w:type="dxa"/>
            <w:vAlign w:val="center"/>
          </w:tcPr>
          <w:p w14:paraId="4C59F9BA"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32CE3AD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w:t>
            </w:r>
            <w:r w:rsidRPr="00A3398F">
              <w:rPr>
                <w:rFonts w:eastAsiaTheme="minorEastAsia"/>
                <w:color w:val="000000" w:themeColor="text1"/>
                <w:kern w:val="0"/>
                <w:szCs w:val="21"/>
              </w:rPr>
              <w:t>90%×MSCI</w:t>
            </w:r>
            <w:r w:rsidRPr="00A3398F">
              <w:rPr>
                <w:rFonts w:eastAsiaTheme="minorEastAsia"/>
                <w:color w:val="000000" w:themeColor="text1"/>
                <w:kern w:val="0"/>
                <w:szCs w:val="21"/>
              </w:rPr>
              <w:t>欧洲净收益指数（</w:t>
            </w:r>
            <w:r w:rsidRPr="00A3398F">
              <w:rPr>
                <w:rFonts w:eastAsiaTheme="minorEastAsia"/>
                <w:color w:val="000000" w:themeColor="text1"/>
                <w:kern w:val="0"/>
                <w:szCs w:val="21"/>
              </w:rPr>
              <w:t>MSCI Europe Index (Total Return Net)</w:t>
            </w:r>
            <w:r w:rsidRPr="00A3398F">
              <w:rPr>
                <w:rFonts w:eastAsiaTheme="minorEastAsia"/>
                <w:color w:val="000000" w:themeColor="text1"/>
                <w:kern w:val="0"/>
                <w:szCs w:val="21"/>
              </w:rPr>
              <w:t>）收益率</w:t>
            </w:r>
            <w:r w:rsidRPr="00A3398F">
              <w:rPr>
                <w:rFonts w:eastAsiaTheme="minorEastAsia"/>
                <w:color w:val="000000" w:themeColor="text1"/>
                <w:kern w:val="0"/>
                <w:szCs w:val="21"/>
              </w:rPr>
              <w:t>+ 10%×</w:t>
            </w:r>
            <w:r w:rsidRPr="00A3398F">
              <w:rPr>
                <w:rFonts w:eastAsiaTheme="minorEastAsia"/>
                <w:color w:val="000000" w:themeColor="text1"/>
                <w:kern w:val="0"/>
                <w:szCs w:val="21"/>
              </w:rPr>
              <w:t>税后银行活期存款收益率</w:t>
            </w:r>
          </w:p>
        </w:tc>
      </w:tr>
      <w:tr w:rsidR="008277FF" w:rsidRPr="00A3398F" w14:paraId="354018AD" w14:textId="77777777" w:rsidTr="003376D5">
        <w:tc>
          <w:tcPr>
            <w:tcW w:w="2980" w:type="dxa"/>
            <w:vAlign w:val="center"/>
          </w:tcPr>
          <w:p w14:paraId="20FA2C2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387D2D5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本基金属于股票型基金产品，预期风险和收益水平高于混合型基金、债券型基金和货币市场基金。</w:t>
            </w:r>
          </w:p>
        </w:tc>
      </w:tr>
      <w:tr w:rsidR="008277FF" w:rsidRPr="00A3398F" w14:paraId="56D68454" w14:textId="77777777" w:rsidTr="003376D5">
        <w:tc>
          <w:tcPr>
            <w:tcW w:w="2980" w:type="dxa"/>
            <w:vAlign w:val="center"/>
          </w:tcPr>
          <w:p w14:paraId="76FF6AA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14:paraId="3FAC7A2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75320632" w14:textId="77777777" w:rsidTr="003376D5">
        <w:tc>
          <w:tcPr>
            <w:tcW w:w="2980" w:type="dxa"/>
            <w:vAlign w:val="center"/>
          </w:tcPr>
          <w:p w14:paraId="7E9F6EC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456956C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招商银行股份有限公司</w:t>
            </w:r>
          </w:p>
        </w:tc>
      </w:tr>
      <w:tr w:rsidR="008277FF" w:rsidRPr="00A3398F" w14:paraId="484B5573" w14:textId="77777777" w:rsidTr="003376D5">
        <w:tc>
          <w:tcPr>
            <w:tcW w:w="2980" w:type="dxa"/>
            <w:vAlign w:val="center"/>
          </w:tcPr>
          <w:p w14:paraId="1B24B56F"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境外投资顾问英文名称</w:t>
            </w:r>
          </w:p>
        </w:tc>
        <w:tc>
          <w:tcPr>
            <w:tcW w:w="5443" w:type="dxa"/>
            <w:gridSpan w:val="2"/>
            <w:vAlign w:val="center"/>
          </w:tcPr>
          <w:p w14:paraId="6A51342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Management(UK) Limited</w:t>
            </w:r>
          </w:p>
        </w:tc>
      </w:tr>
      <w:tr w:rsidR="008277FF" w:rsidRPr="00A3398F" w14:paraId="2B1E2FB6" w14:textId="77777777" w:rsidTr="003376D5">
        <w:tc>
          <w:tcPr>
            <w:tcW w:w="2980" w:type="dxa"/>
            <w:vAlign w:val="center"/>
          </w:tcPr>
          <w:p w14:paraId="0D19F1F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14:paraId="3764A51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摩根资产管理（英国）有限公司</w:t>
            </w:r>
          </w:p>
        </w:tc>
      </w:tr>
      <w:tr w:rsidR="008277FF" w:rsidRPr="00A3398F" w14:paraId="44211914" w14:textId="77777777" w:rsidTr="0031104D">
        <w:tc>
          <w:tcPr>
            <w:tcW w:w="2980" w:type="dxa"/>
            <w:vAlign w:val="center"/>
          </w:tcPr>
          <w:p w14:paraId="4019101D"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14:paraId="1C8C0ED1"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Hong Kong and Shanghai Banking Corporation Limited</w:t>
            </w:r>
          </w:p>
        </w:tc>
      </w:tr>
      <w:tr w:rsidR="008277FF" w:rsidRPr="00A3398F" w14:paraId="0BE28654" w14:textId="77777777" w:rsidTr="0031104D">
        <w:tc>
          <w:tcPr>
            <w:tcW w:w="2980" w:type="dxa"/>
            <w:vAlign w:val="center"/>
          </w:tcPr>
          <w:p w14:paraId="44CBF41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5F604922"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香港上海汇丰银行有限公司</w:t>
            </w:r>
          </w:p>
        </w:tc>
      </w:tr>
      <w:tr w:rsidR="00070DD6" w:rsidRPr="00A3398F" w14:paraId="43B6453D" w14:textId="77777777" w:rsidTr="00845292">
        <w:tblPrEx>
          <w:tblLook w:val="0000" w:firstRow="0" w:lastRow="0" w:firstColumn="0" w:lastColumn="0" w:noHBand="0" w:noVBand="0"/>
        </w:tblPrEx>
        <w:trPr>
          <w:trHeight w:val="866"/>
        </w:trPr>
        <w:tc>
          <w:tcPr>
            <w:tcW w:w="2980" w:type="dxa"/>
          </w:tcPr>
          <w:p w14:paraId="0C480A5A"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42C1DD43"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p>
        </w:tc>
        <w:tc>
          <w:tcPr>
            <w:tcW w:w="2663" w:type="dxa"/>
            <w:vAlign w:val="center"/>
          </w:tcPr>
          <w:p w14:paraId="22522085"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p>
        </w:tc>
      </w:tr>
      <w:tr w:rsidR="00070DD6" w:rsidRPr="00A3398F" w14:paraId="145F658E" w14:textId="77777777" w:rsidTr="00845292">
        <w:tblPrEx>
          <w:tblLook w:val="0000" w:firstRow="0" w:lastRow="0" w:firstColumn="0" w:lastColumn="0" w:noHBand="0" w:noVBand="0"/>
        </w:tblPrEx>
        <w:trPr>
          <w:trHeight w:val="628"/>
        </w:trPr>
        <w:tc>
          <w:tcPr>
            <w:tcW w:w="2980" w:type="dxa"/>
          </w:tcPr>
          <w:p w14:paraId="428B1478"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6C9D1B3B"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006282</w:t>
            </w:r>
          </w:p>
        </w:tc>
        <w:tc>
          <w:tcPr>
            <w:tcW w:w="2663" w:type="dxa"/>
            <w:vAlign w:val="center"/>
          </w:tcPr>
          <w:p w14:paraId="622A85E4"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019450</w:t>
            </w:r>
          </w:p>
        </w:tc>
      </w:tr>
      <w:tr w:rsidR="00322A5E" w:rsidRPr="00A3398F" w14:paraId="2DB36688" w14:textId="77777777" w:rsidTr="0031104D">
        <w:tblPrEx>
          <w:tblLook w:val="0000" w:firstRow="0" w:lastRow="0" w:firstColumn="0" w:lastColumn="0" w:noHBand="0" w:noVBand="0"/>
        </w:tblPrEx>
        <w:trPr>
          <w:trHeight w:val="555"/>
        </w:trPr>
        <w:tc>
          <w:tcPr>
            <w:tcW w:w="2980" w:type="dxa"/>
            <w:vAlign w:val="center"/>
          </w:tcPr>
          <w:p w14:paraId="2AC7B761"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4AD2BFF5"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114,183,149.44</w:t>
            </w:r>
            <w:r w:rsidRPr="00A3398F">
              <w:rPr>
                <w:rFonts w:eastAsiaTheme="minorEastAsia"/>
                <w:color w:val="000000" w:themeColor="text1"/>
                <w:kern w:val="0"/>
                <w:szCs w:val="21"/>
              </w:rPr>
              <w:t>份</w:t>
            </w:r>
          </w:p>
        </w:tc>
        <w:tc>
          <w:tcPr>
            <w:tcW w:w="2663" w:type="dxa"/>
            <w:vAlign w:val="center"/>
          </w:tcPr>
          <w:p w14:paraId="121AEAEE"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38,140,167.61</w:t>
            </w:r>
            <w:r w:rsidRPr="00A3398F">
              <w:rPr>
                <w:rFonts w:eastAsiaTheme="minorEastAsia"/>
                <w:color w:val="000000" w:themeColor="text1"/>
                <w:kern w:val="0"/>
                <w:szCs w:val="21"/>
              </w:rPr>
              <w:t>份</w:t>
            </w:r>
          </w:p>
        </w:tc>
      </w:tr>
    </w:tbl>
    <w:p w14:paraId="5671407A"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51C376B0"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52AD2D21"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29A58D67" w14:textId="77777777" w:rsidTr="00845292">
        <w:tc>
          <w:tcPr>
            <w:tcW w:w="3402" w:type="dxa"/>
            <w:vMerge w:val="restart"/>
            <w:vAlign w:val="center"/>
          </w:tcPr>
          <w:p w14:paraId="58A93A1B"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6F2705F5"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471C7446"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7C324C53" w14:textId="77777777" w:rsidTr="00845292">
        <w:tc>
          <w:tcPr>
            <w:tcW w:w="3402" w:type="dxa"/>
            <w:vMerge/>
            <w:vAlign w:val="center"/>
          </w:tcPr>
          <w:p w14:paraId="4F2E7871"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44CF6097"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p>
        </w:tc>
        <w:tc>
          <w:tcPr>
            <w:tcW w:w="2481" w:type="dxa"/>
            <w:vAlign w:val="center"/>
          </w:tcPr>
          <w:p w14:paraId="62B95D04"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p>
        </w:tc>
      </w:tr>
      <w:tr w:rsidR="00225051" w:rsidRPr="00A3398F" w14:paraId="7CEDBDE4" w14:textId="77777777" w:rsidTr="00845292">
        <w:tc>
          <w:tcPr>
            <w:tcW w:w="3402" w:type="dxa"/>
            <w:vAlign w:val="center"/>
          </w:tcPr>
          <w:p w14:paraId="30A6FF3E"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119AC75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982,761.11</w:t>
            </w:r>
          </w:p>
        </w:tc>
        <w:tc>
          <w:tcPr>
            <w:tcW w:w="2481" w:type="dxa"/>
            <w:vAlign w:val="center"/>
          </w:tcPr>
          <w:p w14:paraId="79DF0C7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246,584.40</w:t>
            </w:r>
          </w:p>
        </w:tc>
      </w:tr>
      <w:tr w:rsidR="00225051" w:rsidRPr="00A3398F" w14:paraId="46CFCA6C" w14:textId="77777777" w:rsidTr="00845292">
        <w:tc>
          <w:tcPr>
            <w:tcW w:w="3402" w:type="dxa"/>
            <w:vAlign w:val="center"/>
          </w:tcPr>
          <w:p w14:paraId="479AC87E"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180A5C92"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-8,644,744.43</w:t>
            </w:r>
          </w:p>
        </w:tc>
        <w:tc>
          <w:tcPr>
            <w:tcW w:w="2481" w:type="dxa"/>
            <w:vAlign w:val="center"/>
          </w:tcPr>
          <w:p w14:paraId="608E1BDD"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-3,496,549.95</w:t>
            </w:r>
          </w:p>
        </w:tc>
      </w:tr>
      <w:tr w:rsidR="00225051" w:rsidRPr="00A3398F" w14:paraId="20B8C410" w14:textId="77777777" w:rsidTr="00845292">
        <w:tc>
          <w:tcPr>
            <w:tcW w:w="3402" w:type="dxa"/>
            <w:vAlign w:val="center"/>
          </w:tcPr>
          <w:p w14:paraId="2C95629C"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79F4B82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-0.0858</w:t>
            </w:r>
          </w:p>
        </w:tc>
        <w:tc>
          <w:tcPr>
            <w:tcW w:w="2481" w:type="dxa"/>
            <w:vAlign w:val="center"/>
          </w:tcPr>
          <w:p w14:paraId="3C4AE826"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-0.0834</w:t>
            </w:r>
          </w:p>
        </w:tc>
      </w:tr>
      <w:tr w:rsidR="00225051" w:rsidRPr="00A3398F" w14:paraId="10D45E88" w14:textId="77777777" w:rsidTr="00845292">
        <w:tc>
          <w:tcPr>
            <w:tcW w:w="3402" w:type="dxa"/>
            <w:vAlign w:val="center"/>
          </w:tcPr>
          <w:p w14:paraId="6B464D83"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0318812C"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155,308,166.47</w:t>
            </w:r>
          </w:p>
        </w:tc>
        <w:tc>
          <w:tcPr>
            <w:tcW w:w="2481" w:type="dxa"/>
            <w:vAlign w:val="center"/>
          </w:tcPr>
          <w:p w14:paraId="5E201BB9"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51,835,369.65</w:t>
            </w:r>
          </w:p>
        </w:tc>
      </w:tr>
      <w:tr w:rsidR="00225051" w:rsidRPr="00A3398F" w14:paraId="75A7D266" w14:textId="77777777" w:rsidTr="00845292">
        <w:trPr>
          <w:trHeight w:val="158"/>
        </w:trPr>
        <w:tc>
          <w:tcPr>
            <w:tcW w:w="3402" w:type="dxa"/>
            <w:vAlign w:val="center"/>
          </w:tcPr>
          <w:p w14:paraId="3E3B351D"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00716BBC"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1.3602</w:t>
            </w:r>
          </w:p>
        </w:tc>
        <w:tc>
          <w:tcPr>
            <w:tcW w:w="2481" w:type="dxa"/>
            <w:vAlign w:val="center"/>
          </w:tcPr>
          <w:p w14:paraId="1A3EC8B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1.3591</w:t>
            </w:r>
          </w:p>
        </w:tc>
      </w:tr>
    </w:tbl>
    <w:p w14:paraId="423F934B" w14:textId="77777777" w:rsidR="00173DA9" w:rsidRDefault="00A74F9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14:paraId="1C028CA0"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8D98A94"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CA608F0"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48B1A95E"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lastRenderedPageBreak/>
          <w:t>3.2.1</w:t>
        </w:r>
      </w:smartTag>
      <w:r w:rsidRPr="00A3398F">
        <w:rPr>
          <w:rFonts w:eastAsiaTheme="minorEastAsia"/>
          <w:b/>
          <w:color w:val="000000" w:themeColor="text1"/>
          <w:kern w:val="0"/>
          <w:sz w:val="24"/>
        </w:rPr>
        <w:t>本报告期基金份额净值增长率及其与同期业绩比较基准收益率的比较</w:t>
      </w:r>
    </w:p>
    <w:p w14:paraId="62BB4E3E"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摩根欧洲动力策略股票</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33DCE5BD" w14:textId="77777777" w:rsidTr="00845292">
        <w:tc>
          <w:tcPr>
            <w:tcW w:w="1290" w:type="dxa"/>
            <w:vAlign w:val="center"/>
          </w:tcPr>
          <w:p w14:paraId="46B58B39"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3DAAD65C"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5DEE5A4B"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1C0AC50B"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6435E9A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0351570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62856E14"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173DA9" w14:paraId="616E42BD" w14:textId="77777777">
        <w:tc>
          <w:tcPr>
            <w:tcW w:w="1290" w:type="dxa"/>
            <w:vAlign w:val="center"/>
          </w:tcPr>
          <w:p w14:paraId="3C66406D" w14:textId="77777777" w:rsidR="00173DA9" w:rsidRDefault="00A74F93">
            <w:pPr>
              <w:jc w:val="left"/>
            </w:pPr>
            <w:r>
              <w:rPr>
                <w:rFonts w:eastAsiaTheme="minorEastAsia"/>
                <w:color w:val="000000" w:themeColor="text1"/>
                <w:szCs w:val="21"/>
              </w:rPr>
              <w:t>过去三个月</w:t>
            </w:r>
          </w:p>
        </w:tc>
        <w:tc>
          <w:tcPr>
            <w:tcW w:w="1291" w:type="dxa"/>
            <w:vAlign w:val="center"/>
          </w:tcPr>
          <w:p w14:paraId="39C27B5A" w14:textId="77777777" w:rsidR="00173DA9" w:rsidRDefault="00A74F93">
            <w:pPr>
              <w:jc w:val="right"/>
            </w:pPr>
            <w:r>
              <w:rPr>
                <w:rFonts w:eastAsiaTheme="minorEastAsia"/>
                <w:color w:val="000000" w:themeColor="text1"/>
                <w:szCs w:val="21"/>
              </w:rPr>
              <w:t>-5.55%</w:t>
            </w:r>
          </w:p>
        </w:tc>
        <w:tc>
          <w:tcPr>
            <w:tcW w:w="1291" w:type="dxa"/>
            <w:vAlign w:val="center"/>
          </w:tcPr>
          <w:p w14:paraId="7502F8CB" w14:textId="77777777" w:rsidR="00173DA9" w:rsidRDefault="00A74F93">
            <w:pPr>
              <w:jc w:val="right"/>
            </w:pPr>
            <w:r>
              <w:rPr>
                <w:rFonts w:eastAsiaTheme="minorEastAsia"/>
                <w:color w:val="000000" w:themeColor="text1"/>
                <w:szCs w:val="21"/>
              </w:rPr>
              <w:t>0.59%</w:t>
            </w:r>
          </w:p>
        </w:tc>
        <w:tc>
          <w:tcPr>
            <w:tcW w:w="1291" w:type="dxa"/>
            <w:vAlign w:val="center"/>
          </w:tcPr>
          <w:p w14:paraId="0E0F806E" w14:textId="77777777" w:rsidR="00173DA9" w:rsidRDefault="00A74F93">
            <w:pPr>
              <w:jc w:val="right"/>
            </w:pPr>
            <w:r>
              <w:rPr>
                <w:rFonts w:eastAsiaTheme="minorEastAsia"/>
                <w:color w:val="000000" w:themeColor="text1"/>
                <w:szCs w:val="21"/>
              </w:rPr>
              <w:t>-6.66%</w:t>
            </w:r>
          </w:p>
        </w:tc>
        <w:tc>
          <w:tcPr>
            <w:tcW w:w="1291" w:type="dxa"/>
            <w:vAlign w:val="center"/>
          </w:tcPr>
          <w:p w14:paraId="03BEB908" w14:textId="77777777" w:rsidR="00173DA9" w:rsidRDefault="00A74F93">
            <w:pPr>
              <w:jc w:val="right"/>
            </w:pPr>
            <w:r>
              <w:rPr>
                <w:rFonts w:eastAsiaTheme="minorEastAsia"/>
                <w:color w:val="000000" w:themeColor="text1"/>
                <w:szCs w:val="21"/>
              </w:rPr>
              <w:t>0.78%</w:t>
            </w:r>
          </w:p>
        </w:tc>
        <w:tc>
          <w:tcPr>
            <w:tcW w:w="1291" w:type="dxa"/>
            <w:vAlign w:val="center"/>
          </w:tcPr>
          <w:p w14:paraId="46CD1CCE" w14:textId="77777777" w:rsidR="00173DA9" w:rsidRDefault="00A74F93">
            <w:pPr>
              <w:jc w:val="right"/>
            </w:pPr>
            <w:r>
              <w:rPr>
                <w:rFonts w:eastAsiaTheme="minorEastAsia"/>
                <w:color w:val="000000" w:themeColor="text1"/>
                <w:szCs w:val="21"/>
              </w:rPr>
              <w:t>1.11%</w:t>
            </w:r>
          </w:p>
        </w:tc>
        <w:tc>
          <w:tcPr>
            <w:tcW w:w="1291" w:type="dxa"/>
            <w:vAlign w:val="center"/>
          </w:tcPr>
          <w:p w14:paraId="45D6EDD1" w14:textId="77777777" w:rsidR="00173DA9" w:rsidRDefault="00A74F93">
            <w:pPr>
              <w:jc w:val="right"/>
            </w:pPr>
            <w:r>
              <w:rPr>
                <w:rFonts w:eastAsiaTheme="minorEastAsia"/>
                <w:color w:val="000000" w:themeColor="text1"/>
                <w:szCs w:val="21"/>
              </w:rPr>
              <w:t>-0.19%</w:t>
            </w:r>
          </w:p>
        </w:tc>
      </w:tr>
      <w:tr w:rsidR="00173DA9" w14:paraId="50C12726" w14:textId="77777777">
        <w:tc>
          <w:tcPr>
            <w:tcW w:w="1290" w:type="dxa"/>
            <w:vAlign w:val="center"/>
          </w:tcPr>
          <w:p w14:paraId="5E03485E" w14:textId="77777777" w:rsidR="00173DA9" w:rsidRDefault="00A74F93">
            <w:pPr>
              <w:jc w:val="left"/>
            </w:pPr>
            <w:r>
              <w:rPr>
                <w:rFonts w:eastAsiaTheme="minorEastAsia"/>
                <w:color w:val="000000" w:themeColor="text1"/>
                <w:szCs w:val="21"/>
              </w:rPr>
              <w:t>过去六个月</w:t>
            </w:r>
          </w:p>
        </w:tc>
        <w:tc>
          <w:tcPr>
            <w:tcW w:w="1291" w:type="dxa"/>
            <w:vAlign w:val="center"/>
          </w:tcPr>
          <w:p w14:paraId="3EFC13B8" w14:textId="77777777" w:rsidR="00173DA9" w:rsidRDefault="00A74F93">
            <w:pPr>
              <w:jc w:val="right"/>
            </w:pPr>
            <w:r>
              <w:rPr>
                <w:rFonts w:eastAsiaTheme="minorEastAsia"/>
                <w:color w:val="000000" w:themeColor="text1"/>
                <w:szCs w:val="21"/>
              </w:rPr>
              <w:t>-2.15%</w:t>
            </w:r>
          </w:p>
        </w:tc>
        <w:tc>
          <w:tcPr>
            <w:tcW w:w="1291" w:type="dxa"/>
            <w:vAlign w:val="center"/>
          </w:tcPr>
          <w:p w14:paraId="678D3DF4" w14:textId="77777777" w:rsidR="00173DA9" w:rsidRDefault="00A74F93">
            <w:pPr>
              <w:jc w:val="right"/>
            </w:pPr>
            <w:r>
              <w:rPr>
                <w:rFonts w:eastAsiaTheme="minorEastAsia"/>
                <w:color w:val="000000" w:themeColor="text1"/>
                <w:szCs w:val="21"/>
              </w:rPr>
              <w:t>0.69%</w:t>
            </w:r>
          </w:p>
        </w:tc>
        <w:tc>
          <w:tcPr>
            <w:tcW w:w="1291" w:type="dxa"/>
            <w:vAlign w:val="center"/>
          </w:tcPr>
          <w:p w14:paraId="308E97C0" w14:textId="77777777" w:rsidR="00173DA9" w:rsidRDefault="00A74F93">
            <w:pPr>
              <w:jc w:val="right"/>
            </w:pPr>
            <w:r>
              <w:rPr>
                <w:rFonts w:eastAsiaTheme="minorEastAsia"/>
                <w:color w:val="000000" w:themeColor="text1"/>
                <w:szCs w:val="21"/>
              </w:rPr>
              <w:t>-2.65%</w:t>
            </w:r>
          </w:p>
        </w:tc>
        <w:tc>
          <w:tcPr>
            <w:tcW w:w="1291" w:type="dxa"/>
            <w:vAlign w:val="center"/>
          </w:tcPr>
          <w:p w14:paraId="69607FFB" w14:textId="77777777" w:rsidR="00173DA9" w:rsidRDefault="00A74F93">
            <w:pPr>
              <w:jc w:val="right"/>
            </w:pPr>
            <w:r>
              <w:rPr>
                <w:rFonts w:eastAsiaTheme="minorEastAsia"/>
                <w:color w:val="000000" w:themeColor="text1"/>
                <w:szCs w:val="21"/>
              </w:rPr>
              <w:t>0.77%</w:t>
            </w:r>
          </w:p>
        </w:tc>
        <w:tc>
          <w:tcPr>
            <w:tcW w:w="1291" w:type="dxa"/>
            <w:vAlign w:val="center"/>
          </w:tcPr>
          <w:p w14:paraId="361ABB37" w14:textId="77777777" w:rsidR="00173DA9" w:rsidRDefault="00A74F93">
            <w:pPr>
              <w:jc w:val="right"/>
            </w:pPr>
            <w:r>
              <w:rPr>
                <w:rFonts w:eastAsiaTheme="minorEastAsia"/>
                <w:color w:val="000000" w:themeColor="text1"/>
                <w:szCs w:val="21"/>
              </w:rPr>
              <w:t>0.50%</w:t>
            </w:r>
          </w:p>
        </w:tc>
        <w:tc>
          <w:tcPr>
            <w:tcW w:w="1291" w:type="dxa"/>
            <w:vAlign w:val="center"/>
          </w:tcPr>
          <w:p w14:paraId="3A8D1090" w14:textId="77777777" w:rsidR="00173DA9" w:rsidRDefault="00A74F93">
            <w:pPr>
              <w:jc w:val="right"/>
            </w:pPr>
            <w:r>
              <w:rPr>
                <w:rFonts w:eastAsiaTheme="minorEastAsia"/>
                <w:color w:val="000000" w:themeColor="text1"/>
                <w:szCs w:val="21"/>
              </w:rPr>
              <w:t>-0.08%</w:t>
            </w:r>
          </w:p>
        </w:tc>
      </w:tr>
      <w:tr w:rsidR="00173DA9" w14:paraId="612B2F04" w14:textId="77777777">
        <w:tc>
          <w:tcPr>
            <w:tcW w:w="1290" w:type="dxa"/>
            <w:vAlign w:val="center"/>
          </w:tcPr>
          <w:p w14:paraId="1D07B78C" w14:textId="77777777" w:rsidR="00173DA9" w:rsidRDefault="00A74F93">
            <w:pPr>
              <w:jc w:val="left"/>
            </w:pPr>
            <w:r>
              <w:rPr>
                <w:rFonts w:eastAsiaTheme="minorEastAsia"/>
                <w:color w:val="000000" w:themeColor="text1"/>
                <w:szCs w:val="21"/>
              </w:rPr>
              <w:t>过去一年</w:t>
            </w:r>
          </w:p>
        </w:tc>
        <w:tc>
          <w:tcPr>
            <w:tcW w:w="1291" w:type="dxa"/>
            <w:vAlign w:val="center"/>
          </w:tcPr>
          <w:p w14:paraId="4C192810" w14:textId="77777777" w:rsidR="00173DA9" w:rsidRDefault="00A74F93">
            <w:pPr>
              <w:jc w:val="right"/>
            </w:pPr>
            <w:r>
              <w:rPr>
                <w:rFonts w:eastAsiaTheme="minorEastAsia"/>
                <w:color w:val="000000" w:themeColor="text1"/>
                <w:szCs w:val="21"/>
              </w:rPr>
              <w:t>2.39%</w:t>
            </w:r>
          </w:p>
        </w:tc>
        <w:tc>
          <w:tcPr>
            <w:tcW w:w="1291" w:type="dxa"/>
            <w:vAlign w:val="center"/>
          </w:tcPr>
          <w:p w14:paraId="7C22BC1C" w14:textId="77777777" w:rsidR="00173DA9" w:rsidRDefault="00A74F93">
            <w:pPr>
              <w:jc w:val="right"/>
            </w:pPr>
            <w:r>
              <w:rPr>
                <w:rFonts w:eastAsiaTheme="minorEastAsia"/>
                <w:color w:val="000000" w:themeColor="text1"/>
                <w:szCs w:val="21"/>
              </w:rPr>
              <w:t>0.66%</w:t>
            </w:r>
          </w:p>
        </w:tc>
        <w:tc>
          <w:tcPr>
            <w:tcW w:w="1291" w:type="dxa"/>
            <w:vAlign w:val="center"/>
          </w:tcPr>
          <w:p w14:paraId="5B977741" w14:textId="77777777" w:rsidR="00173DA9" w:rsidRDefault="00A74F93">
            <w:pPr>
              <w:jc w:val="right"/>
            </w:pPr>
            <w:r>
              <w:rPr>
                <w:rFonts w:eastAsiaTheme="minorEastAsia"/>
                <w:color w:val="000000" w:themeColor="text1"/>
                <w:szCs w:val="21"/>
              </w:rPr>
              <w:t>3.01%</w:t>
            </w:r>
          </w:p>
        </w:tc>
        <w:tc>
          <w:tcPr>
            <w:tcW w:w="1291" w:type="dxa"/>
            <w:vAlign w:val="center"/>
          </w:tcPr>
          <w:p w14:paraId="5CC6E6D5" w14:textId="77777777" w:rsidR="00173DA9" w:rsidRDefault="00A74F93">
            <w:pPr>
              <w:jc w:val="right"/>
            </w:pPr>
            <w:r>
              <w:rPr>
                <w:rFonts w:eastAsiaTheme="minorEastAsia"/>
                <w:color w:val="000000" w:themeColor="text1"/>
                <w:szCs w:val="21"/>
              </w:rPr>
              <w:t>0.73%</w:t>
            </w:r>
          </w:p>
        </w:tc>
        <w:tc>
          <w:tcPr>
            <w:tcW w:w="1291" w:type="dxa"/>
            <w:vAlign w:val="center"/>
          </w:tcPr>
          <w:p w14:paraId="55925AA3" w14:textId="77777777" w:rsidR="00173DA9" w:rsidRDefault="00A74F93">
            <w:pPr>
              <w:jc w:val="right"/>
            </w:pPr>
            <w:r>
              <w:rPr>
                <w:rFonts w:eastAsiaTheme="minorEastAsia"/>
                <w:color w:val="000000" w:themeColor="text1"/>
                <w:szCs w:val="21"/>
              </w:rPr>
              <w:t>-0.62%</w:t>
            </w:r>
          </w:p>
        </w:tc>
        <w:tc>
          <w:tcPr>
            <w:tcW w:w="1291" w:type="dxa"/>
            <w:vAlign w:val="center"/>
          </w:tcPr>
          <w:p w14:paraId="6AABF036" w14:textId="77777777" w:rsidR="00173DA9" w:rsidRDefault="00A74F93">
            <w:pPr>
              <w:jc w:val="right"/>
            </w:pPr>
            <w:r>
              <w:rPr>
                <w:rFonts w:eastAsiaTheme="minorEastAsia"/>
                <w:color w:val="000000" w:themeColor="text1"/>
                <w:szCs w:val="21"/>
              </w:rPr>
              <w:t>-0.07%</w:t>
            </w:r>
          </w:p>
        </w:tc>
      </w:tr>
      <w:tr w:rsidR="00173DA9" w14:paraId="74C10069" w14:textId="77777777">
        <w:tc>
          <w:tcPr>
            <w:tcW w:w="1290" w:type="dxa"/>
            <w:vAlign w:val="center"/>
          </w:tcPr>
          <w:p w14:paraId="50B79FC4" w14:textId="77777777" w:rsidR="00173DA9" w:rsidRDefault="00A74F93">
            <w:pPr>
              <w:jc w:val="left"/>
            </w:pPr>
            <w:r>
              <w:rPr>
                <w:rFonts w:eastAsiaTheme="minorEastAsia"/>
                <w:color w:val="000000" w:themeColor="text1"/>
                <w:szCs w:val="21"/>
              </w:rPr>
              <w:t>过去三年</w:t>
            </w:r>
          </w:p>
        </w:tc>
        <w:tc>
          <w:tcPr>
            <w:tcW w:w="1291" w:type="dxa"/>
            <w:vAlign w:val="center"/>
          </w:tcPr>
          <w:p w14:paraId="2F7910F3" w14:textId="77777777" w:rsidR="00173DA9" w:rsidRDefault="00A74F93">
            <w:pPr>
              <w:jc w:val="right"/>
            </w:pPr>
            <w:r>
              <w:rPr>
                <w:rFonts w:eastAsiaTheme="minorEastAsia"/>
                <w:color w:val="000000" w:themeColor="text1"/>
                <w:szCs w:val="21"/>
              </w:rPr>
              <w:t>6.51%</w:t>
            </w:r>
          </w:p>
        </w:tc>
        <w:tc>
          <w:tcPr>
            <w:tcW w:w="1291" w:type="dxa"/>
            <w:vAlign w:val="center"/>
          </w:tcPr>
          <w:p w14:paraId="528BFF96" w14:textId="77777777" w:rsidR="00173DA9" w:rsidRDefault="00A74F93">
            <w:pPr>
              <w:jc w:val="right"/>
            </w:pPr>
            <w:r>
              <w:rPr>
                <w:rFonts w:eastAsiaTheme="minorEastAsia"/>
                <w:color w:val="000000" w:themeColor="text1"/>
                <w:szCs w:val="21"/>
              </w:rPr>
              <w:t>0.89%</w:t>
            </w:r>
          </w:p>
        </w:tc>
        <w:tc>
          <w:tcPr>
            <w:tcW w:w="1291" w:type="dxa"/>
            <w:vAlign w:val="center"/>
          </w:tcPr>
          <w:p w14:paraId="5FD8F801" w14:textId="77777777" w:rsidR="00173DA9" w:rsidRDefault="00A74F93">
            <w:pPr>
              <w:jc w:val="right"/>
            </w:pPr>
            <w:r>
              <w:rPr>
                <w:rFonts w:eastAsiaTheme="minorEastAsia"/>
                <w:color w:val="000000" w:themeColor="text1"/>
                <w:szCs w:val="21"/>
              </w:rPr>
              <w:t>15.29%</w:t>
            </w:r>
          </w:p>
        </w:tc>
        <w:tc>
          <w:tcPr>
            <w:tcW w:w="1291" w:type="dxa"/>
            <w:vAlign w:val="center"/>
          </w:tcPr>
          <w:p w14:paraId="21AF2864" w14:textId="77777777" w:rsidR="00173DA9" w:rsidRDefault="00A74F93">
            <w:pPr>
              <w:jc w:val="right"/>
            </w:pPr>
            <w:r>
              <w:rPr>
                <w:rFonts w:eastAsiaTheme="minorEastAsia"/>
                <w:color w:val="000000" w:themeColor="text1"/>
                <w:szCs w:val="21"/>
              </w:rPr>
              <w:t>1.05%</w:t>
            </w:r>
          </w:p>
        </w:tc>
        <w:tc>
          <w:tcPr>
            <w:tcW w:w="1291" w:type="dxa"/>
            <w:vAlign w:val="center"/>
          </w:tcPr>
          <w:p w14:paraId="57AD38A1" w14:textId="77777777" w:rsidR="00173DA9" w:rsidRDefault="00A74F93">
            <w:pPr>
              <w:jc w:val="right"/>
            </w:pPr>
            <w:r>
              <w:rPr>
                <w:rFonts w:eastAsiaTheme="minorEastAsia"/>
                <w:color w:val="000000" w:themeColor="text1"/>
                <w:szCs w:val="21"/>
              </w:rPr>
              <w:t>-8.78%</w:t>
            </w:r>
          </w:p>
        </w:tc>
        <w:tc>
          <w:tcPr>
            <w:tcW w:w="1291" w:type="dxa"/>
            <w:vAlign w:val="center"/>
          </w:tcPr>
          <w:p w14:paraId="2B624A16" w14:textId="77777777" w:rsidR="00173DA9" w:rsidRDefault="00A74F93">
            <w:pPr>
              <w:jc w:val="right"/>
            </w:pPr>
            <w:r>
              <w:rPr>
                <w:rFonts w:eastAsiaTheme="minorEastAsia"/>
                <w:color w:val="000000" w:themeColor="text1"/>
                <w:szCs w:val="21"/>
              </w:rPr>
              <w:t>-0.16%</w:t>
            </w:r>
          </w:p>
        </w:tc>
      </w:tr>
      <w:tr w:rsidR="00173DA9" w14:paraId="4D414B8D" w14:textId="77777777">
        <w:tc>
          <w:tcPr>
            <w:tcW w:w="1290" w:type="dxa"/>
            <w:vAlign w:val="center"/>
          </w:tcPr>
          <w:p w14:paraId="2B39B4DB" w14:textId="77777777" w:rsidR="00173DA9" w:rsidRDefault="00A74F93">
            <w:pPr>
              <w:jc w:val="left"/>
            </w:pPr>
            <w:r>
              <w:rPr>
                <w:rFonts w:eastAsiaTheme="minorEastAsia"/>
                <w:color w:val="000000" w:themeColor="text1"/>
                <w:szCs w:val="21"/>
              </w:rPr>
              <w:t>过去五年</w:t>
            </w:r>
          </w:p>
        </w:tc>
        <w:tc>
          <w:tcPr>
            <w:tcW w:w="1291" w:type="dxa"/>
            <w:vAlign w:val="center"/>
          </w:tcPr>
          <w:p w14:paraId="5FDC0103" w14:textId="77777777" w:rsidR="00173DA9" w:rsidRDefault="00A74F93">
            <w:pPr>
              <w:jc w:val="right"/>
            </w:pPr>
            <w:r>
              <w:rPr>
                <w:rFonts w:eastAsiaTheme="minorEastAsia"/>
                <w:color w:val="000000" w:themeColor="text1"/>
                <w:szCs w:val="21"/>
              </w:rPr>
              <w:t>19.07%</w:t>
            </w:r>
          </w:p>
        </w:tc>
        <w:tc>
          <w:tcPr>
            <w:tcW w:w="1291" w:type="dxa"/>
            <w:vAlign w:val="center"/>
          </w:tcPr>
          <w:p w14:paraId="161FA68F" w14:textId="77777777" w:rsidR="00173DA9" w:rsidRDefault="00A74F93">
            <w:pPr>
              <w:jc w:val="right"/>
            </w:pPr>
            <w:r>
              <w:rPr>
                <w:rFonts w:eastAsiaTheme="minorEastAsia"/>
                <w:color w:val="000000" w:themeColor="text1"/>
                <w:szCs w:val="21"/>
              </w:rPr>
              <w:t>1.04%</w:t>
            </w:r>
          </w:p>
        </w:tc>
        <w:tc>
          <w:tcPr>
            <w:tcW w:w="1291" w:type="dxa"/>
            <w:vAlign w:val="center"/>
          </w:tcPr>
          <w:p w14:paraId="574586F4" w14:textId="77777777" w:rsidR="00173DA9" w:rsidRDefault="00A74F93">
            <w:pPr>
              <w:jc w:val="right"/>
            </w:pPr>
            <w:r>
              <w:rPr>
                <w:rFonts w:eastAsiaTheme="minorEastAsia"/>
                <w:color w:val="000000" w:themeColor="text1"/>
                <w:szCs w:val="21"/>
              </w:rPr>
              <w:t>27.99%</w:t>
            </w:r>
          </w:p>
        </w:tc>
        <w:tc>
          <w:tcPr>
            <w:tcW w:w="1291" w:type="dxa"/>
            <w:vAlign w:val="center"/>
          </w:tcPr>
          <w:p w14:paraId="215711AA" w14:textId="77777777" w:rsidR="00173DA9" w:rsidRDefault="00A74F93">
            <w:pPr>
              <w:jc w:val="right"/>
            </w:pPr>
            <w:r>
              <w:rPr>
                <w:rFonts w:eastAsiaTheme="minorEastAsia"/>
                <w:color w:val="000000" w:themeColor="text1"/>
                <w:szCs w:val="21"/>
              </w:rPr>
              <w:t>1.18%</w:t>
            </w:r>
          </w:p>
        </w:tc>
        <w:tc>
          <w:tcPr>
            <w:tcW w:w="1291" w:type="dxa"/>
            <w:vAlign w:val="center"/>
          </w:tcPr>
          <w:p w14:paraId="244D6420" w14:textId="77777777" w:rsidR="00173DA9" w:rsidRDefault="00A74F93">
            <w:pPr>
              <w:jc w:val="right"/>
            </w:pPr>
            <w:r>
              <w:rPr>
                <w:rFonts w:eastAsiaTheme="minorEastAsia"/>
                <w:color w:val="000000" w:themeColor="text1"/>
                <w:szCs w:val="21"/>
              </w:rPr>
              <w:t>-8.92%</w:t>
            </w:r>
          </w:p>
        </w:tc>
        <w:tc>
          <w:tcPr>
            <w:tcW w:w="1291" w:type="dxa"/>
            <w:vAlign w:val="center"/>
          </w:tcPr>
          <w:p w14:paraId="4806F066" w14:textId="77777777" w:rsidR="00173DA9" w:rsidRDefault="00A74F93">
            <w:pPr>
              <w:jc w:val="right"/>
            </w:pPr>
            <w:r>
              <w:rPr>
                <w:rFonts w:eastAsiaTheme="minorEastAsia"/>
                <w:color w:val="000000" w:themeColor="text1"/>
                <w:szCs w:val="21"/>
              </w:rPr>
              <w:t>-0.14%</w:t>
            </w:r>
          </w:p>
        </w:tc>
      </w:tr>
      <w:tr w:rsidR="00173DA9" w14:paraId="5B1E2641" w14:textId="77777777">
        <w:tc>
          <w:tcPr>
            <w:tcW w:w="1290" w:type="dxa"/>
            <w:vAlign w:val="center"/>
          </w:tcPr>
          <w:p w14:paraId="5CFC3989" w14:textId="77777777" w:rsidR="00173DA9" w:rsidRDefault="00A74F93">
            <w:pPr>
              <w:jc w:val="left"/>
            </w:pPr>
            <w:r>
              <w:rPr>
                <w:rFonts w:eastAsiaTheme="minorEastAsia"/>
                <w:color w:val="000000" w:themeColor="text1"/>
                <w:szCs w:val="21"/>
              </w:rPr>
              <w:t>自基金合同生效起至今</w:t>
            </w:r>
          </w:p>
        </w:tc>
        <w:tc>
          <w:tcPr>
            <w:tcW w:w="1291" w:type="dxa"/>
            <w:vAlign w:val="center"/>
          </w:tcPr>
          <w:p w14:paraId="53382A64" w14:textId="77777777" w:rsidR="00173DA9" w:rsidRDefault="00A74F93">
            <w:pPr>
              <w:jc w:val="right"/>
            </w:pPr>
            <w:r>
              <w:rPr>
                <w:rFonts w:eastAsiaTheme="minorEastAsia"/>
                <w:color w:val="000000" w:themeColor="text1"/>
                <w:szCs w:val="21"/>
              </w:rPr>
              <w:t>36.02%</w:t>
            </w:r>
          </w:p>
        </w:tc>
        <w:tc>
          <w:tcPr>
            <w:tcW w:w="1291" w:type="dxa"/>
            <w:vAlign w:val="center"/>
          </w:tcPr>
          <w:p w14:paraId="2CBF0E34" w14:textId="77777777" w:rsidR="00173DA9" w:rsidRDefault="00A74F93">
            <w:pPr>
              <w:jc w:val="right"/>
            </w:pPr>
            <w:r>
              <w:rPr>
                <w:rFonts w:eastAsiaTheme="minorEastAsia"/>
                <w:color w:val="000000" w:themeColor="text1"/>
                <w:szCs w:val="21"/>
              </w:rPr>
              <w:t>0.97%</w:t>
            </w:r>
          </w:p>
        </w:tc>
        <w:tc>
          <w:tcPr>
            <w:tcW w:w="1291" w:type="dxa"/>
            <w:vAlign w:val="center"/>
          </w:tcPr>
          <w:p w14:paraId="3890AC7E" w14:textId="77777777" w:rsidR="00173DA9" w:rsidRDefault="00A74F93">
            <w:pPr>
              <w:jc w:val="right"/>
            </w:pPr>
            <w:r>
              <w:rPr>
                <w:rFonts w:eastAsiaTheme="minorEastAsia"/>
                <w:color w:val="000000" w:themeColor="text1"/>
                <w:szCs w:val="21"/>
              </w:rPr>
              <w:t>50.36%</w:t>
            </w:r>
          </w:p>
        </w:tc>
        <w:tc>
          <w:tcPr>
            <w:tcW w:w="1291" w:type="dxa"/>
            <w:vAlign w:val="center"/>
          </w:tcPr>
          <w:p w14:paraId="2136422E" w14:textId="77777777" w:rsidR="00173DA9" w:rsidRDefault="00A74F93">
            <w:pPr>
              <w:jc w:val="right"/>
            </w:pPr>
            <w:r>
              <w:rPr>
                <w:rFonts w:eastAsiaTheme="minorEastAsia"/>
                <w:color w:val="000000" w:themeColor="text1"/>
                <w:szCs w:val="21"/>
              </w:rPr>
              <w:t>1.11%</w:t>
            </w:r>
          </w:p>
        </w:tc>
        <w:tc>
          <w:tcPr>
            <w:tcW w:w="1291" w:type="dxa"/>
            <w:vAlign w:val="center"/>
          </w:tcPr>
          <w:p w14:paraId="3995A179" w14:textId="77777777" w:rsidR="00173DA9" w:rsidRDefault="00A74F93">
            <w:pPr>
              <w:jc w:val="right"/>
            </w:pPr>
            <w:r>
              <w:rPr>
                <w:rFonts w:eastAsiaTheme="minorEastAsia"/>
                <w:color w:val="000000" w:themeColor="text1"/>
                <w:szCs w:val="21"/>
              </w:rPr>
              <w:t>-14.34%</w:t>
            </w:r>
          </w:p>
        </w:tc>
        <w:tc>
          <w:tcPr>
            <w:tcW w:w="1291" w:type="dxa"/>
            <w:vAlign w:val="center"/>
          </w:tcPr>
          <w:p w14:paraId="3C6072BA" w14:textId="77777777" w:rsidR="00173DA9" w:rsidRDefault="00A74F93">
            <w:pPr>
              <w:jc w:val="right"/>
            </w:pPr>
            <w:r>
              <w:rPr>
                <w:rFonts w:eastAsiaTheme="minorEastAsia"/>
                <w:color w:val="000000" w:themeColor="text1"/>
                <w:szCs w:val="21"/>
              </w:rPr>
              <w:t>-0.14%</w:t>
            </w:r>
          </w:p>
        </w:tc>
      </w:tr>
    </w:tbl>
    <w:p w14:paraId="2EAE7FE7"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摩根欧洲动力策略股票</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698BD6D2" w14:textId="77777777" w:rsidTr="00845292">
        <w:tc>
          <w:tcPr>
            <w:tcW w:w="1290" w:type="dxa"/>
            <w:vAlign w:val="center"/>
          </w:tcPr>
          <w:p w14:paraId="776D972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424CDC5B"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19AE6E98"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53D58766"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41B82726"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50C2C78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5B6C6C8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173DA9" w14:paraId="28F80DE5" w14:textId="77777777">
        <w:tc>
          <w:tcPr>
            <w:tcW w:w="1290" w:type="dxa"/>
            <w:vAlign w:val="center"/>
          </w:tcPr>
          <w:p w14:paraId="34BD3272" w14:textId="77777777" w:rsidR="00173DA9" w:rsidRDefault="00A74F93">
            <w:pPr>
              <w:jc w:val="left"/>
            </w:pPr>
            <w:r>
              <w:rPr>
                <w:rFonts w:eastAsiaTheme="minorEastAsia"/>
                <w:color w:val="000000" w:themeColor="text1"/>
                <w:szCs w:val="21"/>
              </w:rPr>
              <w:t>过去三个月</w:t>
            </w:r>
          </w:p>
        </w:tc>
        <w:tc>
          <w:tcPr>
            <w:tcW w:w="1291" w:type="dxa"/>
            <w:vAlign w:val="center"/>
          </w:tcPr>
          <w:p w14:paraId="5945186D" w14:textId="77777777" w:rsidR="00173DA9" w:rsidRDefault="00A74F93">
            <w:pPr>
              <w:jc w:val="right"/>
            </w:pPr>
            <w:r>
              <w:rPr>
                <w:rFonts w:eastAsiaTheme="minorEastAsia"/>
                <w:color w:val="000000" w:themeColor="text1"/>
                <w:szCs w:val="21"/>
              </w:rPr>
              <w:t>-5.64%</w:t>
            </w:r>
          </w:p>
        </w:tc>
        <w:tc>
          <w:tcPr>
            <w:tcW w:w="1291" w:type="dxa"/>
            <w:vAlign w:val="center"/>
          </w:tcPr>
          <w:p w14:paraId="4AC705B5" w14:textId="77777777" w:rsidR="00173DA9" w:rsidRDefault="00A74F93">
            <w:pPr>
              <w:jc w:val="right"/>
            </w:pPr>
            <w:r>
              <w:rPr>
                <w:rFonts w:eastAsiaTheme="minorEastAsia"/>
                <w:color w:val="000000" w:themeColor="text1"/>
                <w:szCs w:val="21"/>
              </w:rPr>
              <w:t>0.59%</w:t>
            </w:r>
          </w:p>
        </w:tc>
        <w:tc>
          <w:tcPr>
            <w:tcW w:w="1291" w:type="dxa"/>
            <w:vAlign w:val="center"/>
          </w:tcPr>
          <w:p w14:paraId="5032D11C" w14:textId="77777777" w:rsidR="00173DA9" w:rsidRDefault="00A74F93">
            <w:pPr>
              <w:jc w:val="right"/>
            </w:pPr>
            <w:r>
              <w:rPr>
                <w:rFonts w:eastAsiaTheme="minorEastAsia"/>
                <w:color w:val="000000" w:themeColor="text1"/>
                <w:szCs w:val="21"/>
              </w:rPr>
              <w:t>-6.66%</w:t>
            </w:r>
          </w:p>
        </w:tc>
        <w:tc>
          <w:tcPr>
            <w:tcW w:w="1291" w:type="dxa"/>
            <w:vAlign w:val="center"/>
          </w:tcPr>
          <w:p w14:paraId="488D0FA4" w14:textId="77777777" w:rsidR="00173DA9" w:rsidRDefault="00A74F93">
            <w:pPr>
              <w:jc w:val="right"/>
            </w:pPr>
            <w:r>
              <w:rPr>
                <w:rFonts w:eastAsiaTheme="minorEastAsia"/>
                <w:color w:val="000000" w:themeColor="text1"/>
                <w:szCs w:val="21"/>
              </w:rPr>
              <w:t>0.78%</w:t>
            </w:r>
          </w:p>
        </w:tc>
        <w:tc>
          <w:tcPr>
            <w:tcW w:w="1291" w:type="dxa"/>
            <w:vAlign w:val="center"/>
          </w:tcPr>
          <w:p w14:paraId="669DD2B4" w14:textId="77777777" w:rsidR="00173DA9" w:rsidRDefault="00A74F93">
            <w:pPr>
              <w:jc w:val="right"/>
            </w:pPr>
            <w:r>
              <w:rPr>
                <w:rFonts w:eastAsiaTheme="minorEastAsia"/>
                <w:color w:val="000000" w:themeColor="text1"/>
                <w:szCs w:val="21"/>
              </w:rPr>
              <w:t>1.02%</w:t>
            </w:r>
          </w:p>
        </w:tc>
        <w:tc>
          <w:tcPr>
            <w:tcW w:w="1291" w:type="dxa"/>
            <w:vAlign w:val="center"/>
          </w:tcPr>
          <w:p w14:paraId="4FA93235" w14:textId="77777777" w:rsidR="00173DA9" w:rsidRDefault="00A74F93">
            <w:pPr>
              <w:jc w:val="right"/>
            </w:pPr>
            <w:r>
              <w:rPr>
                <w:rFonts w:eastAsiaTheme="minorEastAsia"/>
                <w:color w:val="000000" w:themeColor="text1"/>
                <w:szCs w:val="21"/>
              </w:rPr>
              <w:t>-0.19%</w:t>
            </w:r>
          </w:p>
        </w:tc>
      </w:tr>
      <w:tr w:rsidR="00173DA9" w14:paraId="0CDE1EF9" w14:textId="77777777">
        <w:tc>
          <w:tcPr>
            <w:tcW w:w="1290" w:type="dxa"/>
            <w:vAlign w:val="center"/>
          </w:tcPr>
          <w:p w14:paraId="4F39E095" w14:textId="77777777" w:rsidR="00173DA9" w:rsidRDefault="00A74F93">
            <w:pPr>
              <w:jc w:val="left"/>
            </w:pPr>
            <w:r>
              <w:rPr>
                <w:rFonts w:eastAsiaTheme="minorEastAsia"/>
                <w:color w:val="000000" w:themeColor="text1"/>
                <w:szCs w:val="21"/>
              </w:rPr>
              <w:t>过去六个月</w:t>
            </w:r>
          </w:p>
        </w:tc>
        <w:tc>
          <w:tcPr>
            <w:tcW w:w="1291" w:type="dxa"/>
            <w:vAlign w:val="center"/>
          </w:tcPr>
          <w:p w14:paraId="7A699E86" w14:textId="77777777" w:rsidR="00173DA9" w:rsidRDefault="00A74F93">
            <w:pPr>
              <w:jc w:val="right"/>
            </w:pPr>
            <w:r>
              <w:rPr>
                <w:rFonts w:eastAsiaTheme="minorEastAsia"/>
                <w:color w:val="000000" w:themeColor="text1"/>
                <w:szCs w:val="21"/>
              </w:rPr>
              <w:t>-2.35%</w:t>
            </w:r>
          </w:p>
        </w:tc>
        <w:tc>
          <w:tcPr>
            <w:tcW w:w="1291" w:type="dxa"/>
            <w:vAlign w:val="center"/>
          </w:tcPr>
          <w:p w14:paraId="40F3782F" w14:textId="77777777" w:rsidR="00173DA9" w:rsidRDefault="00A74F93">
            <w:pPr>
              <w:jc w:val="right"/>
            </w:pPr>
            <w:r>
              <w:rPr>
                <w:rFonts w:eastAsiaTheme="minorEastAsia"/>
                <w:color w:val="000000" w:themeColor="text1"/>
                <w:szCs w:val="21"/>
              </w:rPr>
              <w:t>0.69%</w:t>
            </w:r>
          </w:p>
        </w:tc>
        <w:tc>
          <w:tcPr>
            <w:tcW w:w="1291" w:type="dxa"/>
            <w:vAlign w:val="center"/>
          </w:tcPr>
          <w:p w14:paraId="57568681" w14:textId="77777777" w:rsidR="00173DA9" w:rsidRDefault="00A74F93">
            <w:pPr>
              <w:jc w:val="right"/>
            </w:pPr>
            <w:r>
              <w:rPr>
                <w:rFonts w:eastAsiaTheme="minorEastAsia"/>
                <w:color w:val="000000" w:themeColor="text1"/>
                <w:szCs w:val="21"/>
              </w:rPr>
              <w:t>-2.65%</w:t>
            </w:r>
          </w:p>
        </w:tc>
        <w:tc>
          <w:tcPr>
            <w:tcW w:w="1291" w:type="dxa"/>
            <w:vAlign w:val="center"/>
          </w:tcPr>
          <w:p w14:paraId="2D72DE21" w14:textId="77777777" w:rsidR="00173DA9" w:rsidRDefault="00A74F93">
            <w:pPr>
              <w:jc w:val="right"/>
            </w:pPr>
            <w:r>
              <w:rPr>
                <w:rFonts w:eastAsiaTheme="minorEastAsia"/>
                <w:color w:val="000000" w:themeColor="text1"/>
                <w:szCs w:val="21"/>
              </w:rPr>
              <w:t>0.77%</w:t>
            </w:r>
          </w:p>
        </w:tc>
        <w:tc>
          <w:tcPr>
            <w:tcW w:w="1291" w:type="dxa"/>
            <w:vAlign w:val="center"/>
          </w:tcPr>
          <w:p w14:paraId="2AC0549B" w14:textId="77777777" w:rsidR="00173DA9" w:rsidRDefault="00A74F93">
            <w:pPr>
              <w:jc w:val="right"/>
            </w:pPr>
            <w:r>
              <w:rPr>
                <w:rFonts w:eastAsiaTheme="minorEastAsia"/>
                <w:color w:val="000000" w:themeColor="text1"/>
                <w:szCs w:val="21"/>
              </w:rPr>
              <w:t>0.30%</w:t>
            </w:r>
          </w:p>
        </w:tc>
        <w:tc>
          <w:tcPr>
            <w:tcW w:w="1291" w:type="dxa"/>
            <w:vAlign w:val="center"/>
          </w:tcPr>
          <w:p w14:paraId="2F7A9620" w14:textId="77777777" w:rsidR="00173DA9" w:rsidRDefault="00A74F93">
            <w:pPr>
              <w:jc w:val="right"/>
            </w:pPr>
            <w:r>
              <w:rPr>
                <w:rFonts w:eastAsiaTheme="minorEastAsia"/>
                <w:color w:val="000000" w:themeColor="text1"/>
                <w:szCs w:val="21"/>
              </w:rPr>
              <w:t>-0.08%</w:t>
            </w:r>
          </w:p>
        </w:tc>
      </w:tr>
      <w:tr w:rsidR="00173DA9" w14:paraId="7B449E64" w14:textId="77777777">
        <w:tc>
          <w:tcPr>
            <w:tcW w:w="1290" w:type="dxa"/>
            <w:vAlign w:val="center"/>
          </w:tcPr>
          <w:p w14:paraId="4056E5AA" w14:textId="77777777" w:rsidR="00173DA9" w:rsidRDefault="00A74F93">
            <w:pPr>
              <w:jc w:val="left"/>
            </w:pPr>
            <w:r>
              <w:rPr>
                <w:rFonts w:eastAsiaTheme="minorEastAsia"/>
                <w:color w:val="000000" w:themeColor="text1"/>
                <w:szCs w:val="21"/>
              </w:rPr>
              <w:t>过去一年</w:t>
            </w:r>
          </w:p>
        </w:tc>
        <w:tc>
          <w:tcPr>
            <w:tcW w:w="1291" w:type="dxa"/>
            <w:vAlign w:val="center"/>
          </w:tcPr>
          <w:p w14:paraId="60B56EDE" w14:textId="77777777" w:rsidR="00173DA9" w:rsidRDefault="00A74F93">
            <w:pPr>
              <w:jc w:val="right"/>
            </w:pPr>
            <w:r>
              <w:rPr>
                <w:rFonts w:eastAsiaTheme="minorEastAsia"/>
                <w:color w:val="000000" w:themeColor="text1"/>
                <w:szCs w:val="21"/>
              </w:rPr>
              <w:t>2.04%</w:t>
            </w:r>
          </w:p>
        </w:tc>
        <w:tc>
          <w:tcPr>
            <w:tcW w:w="1291" w:type="dxa"/>
            <w:vAlign w:val="center"/>
          </w:tcPr>
          <w:p w14:paraId="2B6B18C3" w14:textId="77777777" w:rsidR="00173DA9" w:rsidRDefault="00A74F93">
            <w:pPr>
              <w:jc w:val="right"/>
            </w:pPr>
            <w:r>
              <w:rPr>
                <w:rFonts w:eastAsiaTheme="minorEastAsia"/>
                <w:color w:val="000000" w:themeColor="text1"/>
                <w:szCs w:val="21"/>
              </w:rPr>
              <w:t>0.66%</w:t>
            </w:r>
          </w:p>
        </w:tc>
        <w:tc>
          <w:tcPr>
            <w:tcW w:w="1291" w:type="dxa"/>
            <w:vAlign w:val="center"/>
          </w:tcPr>
          <w:p w14:paraId="46A1A9B6" w14:textId="77777777" w:rsidR="00173DA9" w:rsidRDefault="00A74F93">
            <w:pPr>
              <w:jc w:val="right"/>
            </w:pPr>
            <w:r>
              <w:rPr>
                <w:rFonts w:eastAsiaTheme="minorEastAsia"/>
                <w:color w:val="000000" w:themeColor="text1"/>
                <w:szCs w:val="21"/>
              </w:rPr>
              <w:t>3.01%</w:t>
            </w:r>
          </w:p>
        </w:tc>
        <w:tc>
          <w:tcPr>
            <w:tcW w:w="1291" w:type="dxa"/>
            <w:vAlign w:val="center"/>
          </w:tcPr>
          <w:p w14:paraId="42F87FC9" w14:textId="77777777" w:rsidR="00173DA9" w:rsidRDefault="00A74F93">
            <w:pPr>
              <w:jc w:val="right"/>
            </w:pPr>
            <w:r>
              <w:rPr>
                <w:rFonts w:eastAsiaTheme="minorEastAsia"/>
                <w:color w:val="000000" w:themeColor="text1"/>
                <w:szCs w:val="21"/>
              </w:rPr>
              <w:t>0.73%</w:t>
            </w:r>
          </w:p>
        </w:tc>
        <w:tc>
          <w:tcPr>
            <w:tcW w:w="1291" w:type="dxa"/>
            <w:vAlign w:val="center"/>
          </w:tcPr>
          <w:p w14:paraId="524B2599" w14:textId="77777777" w:rsidR="00173DA9" w:rsidRDefault="00A74F93">
            <w:pPr>
              <w:jc w:val="right"/>
            </w:pPr>
            <w:r>
              <w:rPr>
                <w:rFonts w:eastAsiaTheme="minorEastAsia"/>
                <w:color w:val="000000" w:themeColor="text1"/>
                <w:szCs w:val="21"/>
              </w:rPr>
              <w:t>-0.97%</w:t>
            </w:r>
          </w:p>
        </w:tc>
        <w:tc>
          <w:tcPr>
            <w:tcW w:w="1291" w:type="dxa"/>
            <w:vAlign w:val="center"/>
          </w:tcPr>
          <w:p w14:paraId="27EE47C8" w14:textId="77777777" w:rsidR="00173DA9" w:rsidRDefault="00A74F93">
            <w:pPr>
              <w:jc w:val="right"/>
            </w:pPr>
            <w:r>
              <w:rPr>
                <w:rFonts w:eastAsiaTheme="minorEastAsia"/>
                <w:color w:val="000000" w:themeColor="text1"/>
                <w:szCs w:val="21"/>
              </w:rPr>
              <w:t>-0.07%</w:t>
            </w:r>
          </w:p>
        </w:tc>
      </w:tr>
      <w:tr w:rsidR="00173DA9" w14:paraId="2301EDEB" w14:textId="77777777">
        <w:tc>
          <w:tcPr>
            <w:tcW w:w="1290" w:type="dxa"/>
            <w:vAlign w:val="center"/>
          </w:tcPr>
          <w:p w14:paraId="127D6143" w14:textId="77777777" w:rsidR="00173DA9" w:rsidRDefault="00A74F93">
            <w:pPr>
              <w:jc w:val="left"/>
            </w:pPr>
            <w:r>
              <w:rPr>
                <w:rFonts w:eastAsiaTheme="minorEastAsia"/>
                <w:color w:val="000000" w:themeColor="text1"/>
                <w:szCs w:val="21"/>
              </w:rPr>
              <w:t>过去三年</w:t>
            </w:r>
          </w:p>
        </w:tc>
        <w:tc>
          <w:tcPr>
            <w:tcW w:w="1291" w:type="dxa"/>
            <w:vAlign w:val="center"/>
          </w:tcPr>
          <w:p w14:paraId="6F08EF6D" w14:textId="77777777" w:rsidR="00173DA9" w:rsidRDefault="00A74F93">
            <w:pPr>
              <w:jc w:val="right"/>
            </w:pPr>
            <w:r>
              <w:rPr>
                <w:rFonts w:eastAsiaTheme="minorEastAsia"/>
                <w:color w:val="000000" w:themeColor="text1"/>
                <w:szCs w:val="21"/>
              </w:rPr>
              <w:t>-</w:t>
            </w:r>
          </w:p>
        </w:tc>
        <w:tc>
          <w:tcPr>
            <w:tcW w:w="1291" w:type="dxa"/>
            <w:vAlign w:val="center"/>
          </w:tcPr>
          <w:p w14:paraId="44D60941" w14:textId="77777777" w:rsidR="00173DA9" w:rsidRDefault="00A74F93">
            <w:pPr>
              <w:jc w:val="right"/>
            </w:pPr>
            <w:r>
              <w:rPr>
                <w:rFonts w:eastAsiaTheme="minorEastAsia"/>
                <w:color w:val="000000" w:themeColor="text1"/>
                <w:szCs w:val="21"/>
              </w:rPr>
              <w:t>-</w:t>
            </w:r>
          </w:p>
        </w:tc>
        <w:tc>
          <w:tcPr>
            <w:tcW w:w="1291" w:type="dxa"/>
            <w:vAlign w:val="center"/>
          </w:tcPr>
          <w:p w14:paraId="622DE8BD" w14:textId="77777777" w:rsidR="00173DA9" w:rsidRDefault="00A74F93">
            <w:pPr>
              <w:jc w:val="right"/>
            </w:pPr>
            <w:r>
              <w:rPr>
                <w:rFonts w:eastAsiaTheme="minorEastAsia"/>
                <w:color w:val="000000" w:themeColor="text1"/>
                <w:szCs w:val="21"/>
              </w:rPr>
              <w:t>-</w:t>
            </w:r>
          </w:p>
        </w:tc>
        <w:tc>
          <w:tcPr>
            <w:tcW w:w="1291" w:type="dxa"/>
            <w:vAlign w:val="center"/>
          </w:tcPr>
          <w:p w14:paraId="16468A9B" w14:textId="77777777" w:rsidR="00173DA9" w:rsidRDefault="00A74F93">
            <w:pPr>
              <w:jc w:val="right"/>
            </w:pPr>
            <w:r>
              <w:rPr>
                <w:rFonts w:eastAsiaTheme="minorEastAsia"/>
                <w:color w:val="000000" w:themeColor="text1"/>
                <w:szCs w:val="21"/>
              </w:rPr>
              <w:t>-</w:t>
            </w:r>
          </w:p>
        </w:tc>
        <w:tc>
          <w:tcPr>
            <w:tcW w:w="1291" w:type="dxa"/>
            <w:vAlign w:val="center"/>
          </w:tcPr>
          <w:p w14:paraId="2B401E06" w14:textId="77777777" w:rsidR="00173DA9" w:rsidRDefault="00A74F93">
            <w:pPr>
              <w:jc w:val="right"/>
            </w:pPr>
            <w:r>
              <w:rPr>
                <w:rFonts w:eastAsiaTheme="minorEastAsia"/>
                <w:color w:val="000000" w:themeColor="text1"/>
                <w:szCs w:val="21"/>
              </w:rPr>
              <w:t>-</w:t>
            </w:r>
          </w:p>
        </w:tc>
        <w:tc>
          <w:tcPr>
            <w:tcW w:w="1291" w:type="dxa"/>
            <w:vAlign w:val="center"/>
          </w:tcPr>
          <w:p w14:paraId="55CC8B1E" w14:textId="77777777" w:rsidR="00173DA9" w:rsidRDefault="00A74F93">
            <w:pPr>
              <w:jc w:val="right"/>
            </w:pPr>
            <w:r>
              <w:rPr>
                <w:rFonts w:eastAsiaTheme="minorEastAsia"/>
                <w:color w:val="000000" w:themeColor="text1"/>
                <w:szCs w:val="21"/>
              </w:rPr>
              <w:t>-</w:t>
            </w:r>
          </w:p>
        </w:tc>
      </w:tr>
      <w:tr w:rsidR="00173DA9" w14:paraId="12ABAE64" w14:textId="77777777">
        <w:tc>
          <w:tcPr>
            <w:tcW w:w="1290" w:type="dxa"/>
            <w:vAlign w:val="center"/>
          </w:tcPr>
          <w:p w14:paraId="1C11190E" w14:textId="77777777" w:rsidR="00173DA9" w:rsidRDefault="00A74F93">
            <w:pPr>
              <w:jc w:val="left"/>
            </w:pPr>
            <w:r>
              <w:rPr>
                <w:rFonts w:eastAsiaTheme="minorEastAsia"/>
                <w:color w:val="000000" w:themeColor="text1"/>
                <w:szCs w:val="21"/>
              </w:rPr>
              <w:t>过去五年</w:t>
            </w:r>
          </w:p>
        </w:tc>
        <w:tc>
          <w:tcPr>
            <w:tcW w:w="1291" w:type="dxa"/>
            <w:vAlign w:val="center"/>
          </w:tcPr>
          <w:p w14:paraId="56FAE8E7" w14:textId="77777777" w:rsidR="00173DA9" w:rsidRDefault="00A74F93">
            <w:pPr>
              <w:jc w:val="right"/>
            </w:pPr>
            <w:r>
              <w:rPr>
                <w:rFonts w:eastAsiaTheme="minorEastAsia"/>
                <w:color w:val="000000" w:themeColor="text1"/>
                <w:szCs w:val="21"/>
              </w:rPr>
              <w:t>-</w:t>
            </w:r>
          </w:p>
        </w:tc>
        <w:tc>
          <w:tcPr>
            <w:tcW w:w="1291" w:type="dxa"/>
            <w:vAlign w:val="center"/>
          </w:tcPr>
          <w:p w14:paraId="72C5D64F" w14:textId="77777777" w:rsidR="00173DA9" w:rsidRDefault="00A74F93">
            <w:pPr>
              <w:jc w:val="right"/>
            </w:pPr>
            <w:r>
              <w:rPr>
                <w:rFonts w:eastAsiaTheme="minorEastAsia"/>
                <w:color w:val="000000" w:themeColor="text1"/>
                <w:szCs w:val="21"/>
              </w:rPr>
              <w:t>-</w:t>
            </w:r>
          </w:p>
        </w:tc>
        <w:tc>
          <w:tcPr>
            <w:tcW w:w="1291" w:type="dxa"/>
            <w:vAlign w:val="center"/>
          </w:tcPr>
          <w:p w14:paraId="2ABB8039" w14:textId="77777777" w:rsidR="00173DA9" w:rsidRDefault="00A74F93">
            <w:pPr>
              <w:jc w:val="right"/>
            </w:pPr>
            <w:r>
              <w:rPr>
                <w:rFonts w:eastAsiaTheme="minorEastAsia"/>
                <w:color w:val="000000" w:themeColor="text1"/>
                <w:szCs w:val="21"/>
              </w:rPr>
              <w:t>-</w:t>
            </w:r>
          </w:p>
        </w:tc>
        <w:tc>
          <w:tcPr>
            <w:tcW w:w="1291" w:type="dxa"/>
            <w:vAlign w:val="center"/>
          </w:tcPr>
          <w:p w14:paraId="7632D75B" w14:textId="77777777" w:rsidR="00173DA9" w:rsidRDefault="00A74F93">
            <w:pPr>
              <w:jc w:val="right"/>
            </w:pPr>
            <w:r>
              <w:rPr>
                <w:rFonts w:eastAsiaTheme="minorEastAsia"/>
                <w:color w:val="000000" w:themeColor="text1"/>
                <w:szCs w:val="21"/>
              </w:rPr>
              <w:t>-</w:t>
            </w:r>
          </w:p>
        </w:tc>
        <w:tc>
          <w:tcPr>
            <w:tcW w:w="1291" w:type="dxa"/>
            <w:vAlign w:val="center"/>
          </w:tcPr>
          <w:p w14:paraId="177CB74C" w14:textId="77777777" w:rsidR="00173DA9" w:rsidRDefault="00A74F93">
            <w:pPr>
              <w:jc w:val="right"/>
            </w:pPr>
            <w:r>
              <w:rPr>
                <w:rFonts w:eastAsiaTheme="minorEastAsia"/>
                <w:color w:val="000000" w:themeColor="text1"/>
                <w:szCs w:val="21"/>
              </w:rPr>
              <w:t>-</w:t>
            </w:r>
          </w:p>
        </w:tc>
        <w:tc>
          <w:tcPr>
            <w:tcW w:w="1291" w:type="dxa"/>
            <w:vAlign w:val="center"/>
          </w:tcPr>
          <w:p w14:paraId="26908E31" w14:textId="77777777" w:rsidR="00173DA9" w:rsidRDefault="00A74F93">
            <w:pPr>
              <w:jc w:val="right"/>
            </w:pPr>
            <w:r>
              <w:rPr>
                <w:rFonts w:eastAsiaTheme="minorEastAsia"/>
                <w:color w:val="000000" w:themeColor="text1"/>
                <w:szCs w:val="21"/>
              </w:rPr>
              <w:t>-</w:t>
            </w:r>
          </w:p>
        </w:tc>
      </w:tr>
      <w:tr w:rsidR="00173DA9" w14:paraId="4E3F30C5" w14:textId="77777777">
        <w:tc>
          <w:tcPr>
            <w:tcW w:w="1290" w:type="dxa"/>
            <w:vAlign w:val="center"/>
          </w:tcPr>
          <w:p w14:paraId="5F4DFBD5" w14:textId="77777777" w:rsidR="00173DA9" w:rsidRDefault="00A74F93">
            <w:pPr>
              <w:jc w:val="left"/>
            </w:pPr>
            <w:r>
              <w:rPr>
                <w:rFonts w:eastAsiaTheme="minorEastAsia"/>
                <w:color w:val="000000" w:themeColor="text1"/>
                <w:szCs w:val="21"/>
              </w:rPr>
              <w:t>自基金合同生效起至今</w:t>
            </w:r>
          </w:p>
        </w:tc>
        <w:tc>
          <w:tcPr>
            <w:tcW w:w="1291" w:type="dxa"/>
            <w:vAlign w:val="center"/>
          </w:tcPr>
          <w:p w14:paraId="4DC2FB7C" w14:textId="77777777" w:rsidR="00173DA9" w:rsidRDefault="00A74F93">
            <w:pPr>
              <w:jc w:val="right"/>
            </w:pPr>
            <w:r>
              <w:rPr>
                <w:rFonts w:eastAsiaTheme="minorEastAsia"/>
                <w:color w:val="000000" w:themeColor="text1"/>
                <w:szCs w:val="21"/>
              </w:rPr>
              <w:t>7.49%</w:t>
            </w:r>
          </w:p>
        </w:tc>
        <w:tc>
          <w:tcPr>
            <w:tcW w:w="1291" w:type="dxa"/>
            <w:vAlign w:val="center"/>
          </w:tcPr>
          <w:p w14:paraId="4C36AD78" w14:textId="77777777" w:rsidR="00173DA9" w:rsidRDefault="00A74F93">
            <w:pPr>
              <w:jc w:val="right"/>
            </w:pPr>
            <w:r>
              <w:rPr>
                <w:rFonts w:eastAsiaTheme="minorEastAsia"/>
                <w:color w:val="000000" w:themeColor="text1"/>
                <w:szCs w:val="21"/>
              </w:rPr>
              <w:t>0.66%</w:t>
            </w:r>
          </w:p>
        </w:tc>
        <w:tc>
          <w:tcPr>
            <w:tcW w:w="1291" w:type="dxa"/>
            <w:vAlign w:val="center"/>
          </w:tcPr>
          <w:p w14:paraId="68A9C43C" w14:textId="77777777" w:rsidR="00173DA9" w:rsidRDefault="00A74F93">
            <w:pPr>
              <w:jc w:val="right"/>
            </w:pPr>
            <w:r>
              <w:rPr>
                <w:rFonts w:eastAsiaTheme="minorEastAsia"/>
                <w:color w:val="000000" w:themeColor="text1"/>
                <w:szCs w:val="21"/>
              </w:rPr>
              <w:t>9.31%</w:t>
            </w:r>
          </w:p>
        </w:tc>
        <w:tc>
          <w:tcPr>
            <w:tcW w:w="1291" w:type="dxa"/>
            <w:vAlign w:val="center"/>
          </w:tcPr>
          <w:p w14:paraId="53DA245D" w14:textId="77777777" w:rsidR="00173DA9" w:rsidRDefault="00A74F93">
            <w:pPr>
              <w:jc w:val="right"/>
            </w:pPr>
            <w:r>
              <w:rPr>
                <w:rFonts w:eastAsiaTheme="minorEastAsia"/>
                <w:color w:val="000000" w:themeColor="text1"/>
                <w:szCs w:val="21"/>
              </w:rPr>
              <w:t>0.76%</w:t>
            </w:r>
          </w:p>
        </w:tc>
        <w:tc>
          <w:tcPr>
            <w:tcW w:w="1291" w:type="dxa"/>
            <w:vAlign w:val="center"/>
          </w:tcPr>
          <w:p w14:paraId="72B1D335" w14:textId="77777777" w:rsidR="00173DA9" w:rsidRDefault="00A74F93">
            <w:pPr>
              <w:jc w:val="right"/>
            </w:pPr>
            <w:r>
              <w:rPr>
                <w:rFonts w:eastAsiaTheme="minorEastAsia"/>
                <w:color w:val="000000" w:themeColor="text1"/>
                <w:szCs w:val="21"/>
              </w:rPr>
              <w:t>-1.82%</w:t>
            </w:r>
          </w:p>
        </w:tc>
        <w:tc>
          <w:tcPr>
            <w:tcW w:w="1291" w:type="dxa"/>
            <w:vAlign w:val="center"/>
          </w:tcPr>
          <w:p w14:paraId="2B0086C6" w14:textId="77777777" w:rsidR="00173DA9" w:rsidRDefault="00A74F93">
            <w:pPr>
              <w:jc w:val="right"/>
            </w:pPr>
            <w:r>
              <w:rPr>
                <w:rFonts w:eastAsiaTheme="minorEastAsia"/>
                <w:color w:val="000000" w:themeColor="text1"/>
                <w:szCs w:val="21"/>
              </w:rPr>
              <w:t>-0.10%</w:t>
            </w:r>
          </w:p>
        </w:tc>
      </w:tr>
    </w:tbl>
    <w:p w14:paraId="693EE369"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CA717ED"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214D9E57"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摩根欧洲动力策略股票型证券投资基金</w:t>
      </w:r>
      <w:r w:rsidRPr="00A3398F">
        <w:rPr>
          <w:rFonts w:eastAsiaTheme="minorEastAsia"/>
          <w:color w:val="000000" w:themeColor="text1"/>
          <w:szCs w:val="21"/>
        </w:rPr>
        <w:t>(QDII)</w:t>
      </w:r>
    </w:p>
    <w:p w14:paraId="39C02EC5"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1CCF1A21"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2018</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10</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31</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14:paraId="502A204E"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r w:rsidRPr="00A3398F">
        <w:rPr>
          <w:rFonts w:eastAsiaTheme="minorEastAsia"/>
          <w:color w:val="000000" w:themeColor="text1"/>
          <w:szCs w:val="21"/>
        </w:rPr>
        <w:t>：</w:t>
      </w:r>
    </w:p>
    <w:p w14:paraId="7B2632A3"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20ADC140" wp14:editId="44DB67E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371A369"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r w:rsidRPr="00A3398F">
        <w:rPr>
          <w:rFonts w:eastAsiaTheme="minorEastAsia"/>
          <w:color w:val="000000" w:themeColor="text1"/>
          <w:szCs w:val="21"/>
        </w:rPr>
        <w:t>：</w:t>
      </w:r>
    </w:p>
    <w:p w14:paraId="3996A0ED"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302CDBFC" wp14:editId="440023B2">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62A87D43"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14:paraId="74DA5305"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76AFE54B"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54FC5F76" w14:textId="77777777" w:rsidR="00845292" w:rsidRPr="00A3398F" w:rsidRDefault="00845292" w:rsidP="0065601A">
      <w:pPr>
        <w:spacing w:line="360" w:lineRule="auto"/>
        <w:ind w:firstLineChars="200" w:firstLine="420"/>
        <w:rPr>
          <w:rFonts w:eastAsiaTheme="minorEastAsia"/>
          <w:color w:val="000000" w:themeColor="text1"/>
          <w:szCs w:val="21"/>
        </w:rPr>
      </w:pPr>
    </w:p>
    <w:p w14:paraId="70E71D63"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6D5F51E7"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0E2E157E" w14:textId="77777777" w:rsidTr="00797DD2">
        <w:trPr>
          <w:cantSplit/>
          <w:trHeight w:val="292"/>
        </w:trPr>
        <w:tc>
          <w:tcPr>
            <w:tcW w:w="851" w:type="dxa"/>
            <w:vMerge w:val="restart"/>
            <w:vAlign w:val="center"/>
          </w:tcPr>
          <w:p w14:paraId="7CD5FD55"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38648DCE"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04A0EF48"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2D084FA9"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32E4CA35"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3CED3BB1" w14:textId="77777777" w:rsidTr="00797DD2">
        <w:trPr>
          <w:cantSplit/>
        </w:trPr>
        <w:tc>
          <w:tcPr>
            <w:tcW w:w="851" w:type="dxa"/>
            <w:vMerge/>
            <w:vAlign w:val="center"/>
          </w:tcPr>
          <w:p w14:paraId="18FB4C22"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7BA46128"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6C302D32"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0F42C623"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0FB7E0A5"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1C31C8B3"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173DA9" w14:paraId="15A69DD2" w14:textId="77777777">
        <w:tc>
          <w:tcPr>
            <w:tcW w:w="851" w:type="dxa"/>
            <w:vAlign w:val="center"/>
          </w:tcPr>
          <w:p w14:paraId="7417C5C5" w14:textId="77777777" w:rsidR="00173DA9" w:rsidRDefault="00A74F93">
            <w:pPr>
              <w:jc w:val="center"/>
            </w:pPr>
            <w:r>
              <w:rPr>
                <w:rFonts w:eastAsiaTheme="minorEastAsia"/>
                <w:color w:val="000000" w:themeColor="text1"/>
                <w:szCs w:val="21"/>
              </w:rPr>
              <w:t>张军</w:t>
            </w:r>
          </w:p>
        </w:tc>
        <w:tc>
          <w:tcPr>
            <w:tcW w:w="850" w:type="dxa"/>
            <w:vAlign w:val="center"/>
          </w:tcPr>
          <w:p w14:paraId="4F0B19EA" w14:textId="77777777" w:rsidR="00173DA9" w:rsidRDefault="00A74F93">
            <w:pPr>
              <w:jc w:val="center"/>
            </w:pPr>
            <w:r>
              <w:rPr>
                <w:rFonts w:eastAsiaTheme="minorEastAsia"/>
                <w:color w:val="000000" w:themeColor="text1"/>
                <w:szCs w:val="21"/>
              </w:rPr>
              <w:t>本基金基金经理</w:t>
            </w:r>
          </w:p>
        </w:tc>
        <w:tc>
          <w:tcPr>
            <w:tcW w:w="1560" w:type="dxa"/>
            <w:vAlign w:val="center"/>
          </w:tcPr>
          <w:p w14:paraId="77EE0FE1" w14:textId="77777777" w:rsidR="00173DA9" w:rsidRDefault="00A74F93">
            <w:pPr>
              <w:jc w:val="center"/>
            </w:pPr>
            <w:r>
              <w:rPr>
                <w:rFonts w:eastAsiaTheme="minorEastAsia"/>
                <w:color w:val="000000" w:themeColor="text1"/>
                <w:szCs w:val="21"/>
              </w:rPr>
              <w:t>2018-10-31</w:t>
            </w:r>
          </w:p>
        </w:tc>
        <w:tc>
          <w:tcPr>
            <w:tcW w:w="1559" w:type="dxa"/>
            <w:vAlign w:val="center"/>
          </w:tcPr>
          <w:p w14:paraId="02E41DD5" w14:textId="77777777" w:rsidR="00173DA9" w:rsidRDefault="00A74F93">
            <w:pPr>
              <w:jc w:val="center"/>
            </w:pPr>
            <w:r>
              <w:rPr>
                <w:rFonts w:eastAsiaTheme="minorEastAsia"/>
                <w:color w:val="000000" w:themeColor="text1"/>
                <w:szCs w:val="21"/>
              </w:rPr>
              <w:t>-</w:t>
            </w:r>
          </w:p>
        </w:tc>
        <w:tc>
          <w:tcPr>
            <w:tcW w:w="1417" w:type="dxa"/>
            <w:vAlign w:val="center"/>
          </w:tcPr>
          <w:p w14:paraId="045927DC" w14:textId="77777777" w:rsidR="00173DA9" w:rsidRDefault="00A74F93">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2694" w:type="dxa"/>
            <w:vAlign w:val="center"/>
          </w:tcPr>
          <w:p w14:paraId="6B5ACE3B" w14:textId="77777777" w:rsidR="00173DA9" w:rsidRDefault="00A74F93">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34013750" w14:textId="77777777" w:rsidR="00173DA9" w:rsidRDefault="00A74F9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2DB3D07B" w14:textId="77777777" w:rsidR="00173DA9" w:rsidRDefault="00A74F9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14:paraId="6651BF0C"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14:paraId="691B0A52" w14:textId="77777777"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14:paraId="08A6A08C" w14:textId="77777777" w:rsidTr="00EE1749">
        <w:tc>
          <w:tcPr>
            <w:tcW w:w="959" w:type="dxa"/>
            <w:tcBorders>
              <w:top w:val="single" w:sz="4" w:space="0" w:color="auto"/>
              <w:left w:val="single" w:sz="4" w:space="0" w:color="auto"/>
              <w:bottom w:val="single" w:sz="4" w:space="0" w:color="auto"/>
              <w:right w:val="single" w:sz="4" w:space="0" w:color="auto"/>
            </w:tcBorders>
            <w:vAlign w:val="center"/>
            <w:hideMark/>
          </w:tcPr>
          <w:p w14:paraId="4D67D94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06A14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65F4A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66F4D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7CCD8D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14:paraId="0818A027" w14:textId="77777777" w:rsidTr="00EE1749">
        <w:tc>
          <w:tcPr>
            <w:tcW w:w="959" w:type="dxa"/>
            <w:vMerge w:val="restart"/>
            <w:tcBorders>
              <w:top w:val="single" w:sz="4" w:space="0" w:color="auto"/>
              <w:left w:val="single" w:sz="4" w:space="0" w:color="auto"/>
              <w:bottom w:val="single" w:sz="4" w:space="0" w:color="auto"/>
              <w:right w:val="single" w:sz="4" w:space="0" w:color="auto"/>
            </w:tcBorders>
            <w:hideMark/>
          </w:tcPr>
          <w:p w14:paraId="7B69CD6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24FB0C7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4E1A15D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59C5709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9,550,950,927.28</w:t>
            </w:r>
          </w:p>
        </w:tc>
        <w:tc>
          <w:tcPr>
            <w:tcW w:w="1381" w:type="dxa"/>
            <w:tcBorders>
              <w:top w:val="single" w:sz="4" w:space="0" w:color="auto"/>
              <w:left w:val="single" w:sz="4" w:space="0" w:color="auto"/>
              <w:bottom w:val="single" w:sz="4" w:space="0" w:color="auto"/>
              <w:right w:val="single" w:sz="4" w:space="0" w:color="auto"/>
            </w:tcBorders>
            <w:hideMark/>
          </w:tcPr>
          <w:p w14:paraId="067D184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14:paraId="3C517100"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33C4BB88"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D5B0F33"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4962D33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6F4EE8C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31,225,466.11</w:t>
            </w:r>
          </w:p>
        </w:tc>
        <w:tc>
          <w:tcPr>
            <w:tcW w:w="1381" w:type="dxa"/>
            <w:tcBorders>
              <w:top w:val="single" w:sz="4" w:space="0" w:color="auto"/>
              <w:left w:val="single" w:sz="4" w:space="0" w:color="auto"/>
              <w:bottom w:val="single" w:sz="4" w:space="0" w:color="auto"/>
              <w:right w:val="single" w:sz="4" w:space="0" w:color="auto"/>
            </w:tcBorders>
            <w:hideMark/>
          </w:tcPr>
          <w:p w14:paraId="41462DA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14:paraId="4235A89D"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1B68DBFA"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0CBCA8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45258C89"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4C8D486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631F48B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14:paraId="4257666C"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1F926CD9"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4F668431"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2AEA30F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7564E2B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9,582,176,393.39</w:t>
            </w:r>
          </w:p>
        </w:tc>
        <w:tc>
          <w:tcPr>
            <w:tcW w:w="1381" w:type="dxa"/>
            <w:tcBorders>
              <w:top w:val="single" w:sz="4" w:space="0" w:color="auto"/>
              <w:left w:val="single" w:sz="4" w:space="0" w:color="auto"/>
              <w:bottom w:val="single" w:sz="4" w:space="0" w:color="auto"/>
              <w:right w:val="single" w:sz="4" w:space="0" w:color="auto"/>
            </w:tcBorders>
          </w:tcPr>
          <w:p w14:paraId="3A5AA421" w14:textId="77777777" w:rsidR="00EE1749" w:rsidRPr="00A3398F" w:rsidRDefault="00EE1749">
            <w:pPr>
              <w:spacing w:line="288" w:lineRule="auto"/>
              <w:jc w:val="left"/>
              <w:rPr>
                <w:rFonts w:eastAsiaTheme="minorEastAsia"/>
                <w:color w:val="000000"/>
                <w:szCs w:val="21"/>
              </w:rPr>
            </w:pPr>
          </w:p>
        </w:tc>
      </w:tr>
      <w:bookmarkEnd w:id="2"/>
    </w:tbl>
    <w:p w14:paraId="2E010E4F"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98EB4B4"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273"/>
        <w:gridCol w:w="2101"/>
        <w:gridCol w:w="738"/>
        <w:gridCol w:w="4401"/>
      </w:tblGrid>
      <w:tr w:rsidR="008277FF" w:rsidRPr="00A3398F" w14:paraId="5B5A30CA" w14:textId="77777777" w:rsidTr="00797DD2">
        <w:tc>
          <w:tcPr>
            <w:tcW w:w="2129" w:type="dxa"/>
            <w:vAlign w:val="center"/>
          </w:tcPr>
          <w:p w14:paraId="72B74C95"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14:paraId="7D01DF3F"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14:paraId="4BDE5C1D"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14:paraId="2C80917D"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173DA9" w14:paraId="1AFF7C0F" w14:textId="77777777">
        <w:tc>
          <w:tcPr>
            <w:tcW w:w="0" w:type="auto"/>
            <w:vAlign w:val="center"/>
          </w:tcPr>
          <w:p w14:paraId="2E0EA10E" w14:textId="77777777" w:rsidR="00173DA9" w:rsidRDefault="00A74F93">
            <w:pPr>
              <w:jc w:val="center"/>
            </w:pPr>
            <w:r>
              <w:rPr>
                <w:rFonts w:eastAsiaTheme="minorEastAsia"/>
                <w:color w:val="000000" w:themeColor="text1"/>
                <w:szCs w:val="21"/>
              </w:rPr>
              <w:t>Blake Crawford</w:t>
            </w:r>
          </w:p>
        </w:tc>
        <w:tc>
          <w:tcPr>
            <w:tcW w:w="0" w:type="auto"/>
            <w:vAlign w:val="center"/>
          </w:tcPr>
          <w:p w14:paraId="0245709A" w14:textId="77777777" w:rsidR="00173DA9" w:rsidRDefault="00A74F93">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w:t>
            </w:r>
            <w:r>
              <w:rPr>
                <w:rFonts w:eastAsiaTheme="minorEastAsia"/>
                <w:color w:val="000000" w:themeColor="text1"/>
                <w:szCs w:val="21"/>
              </w:rPr>
              <w:lastRenderedPageBreak/>
              <w:t>子团队的投资经理</w:t>
            </w:r>
          </w:p>
        </w:tc>
        <w:tc>
          <w:tcPr>
            <w:tcW w:w="0" w:type="auto"/>
            <w:vAlign w:val="center"/>
          </w:tcPr>
          <w:p w14:paraId="3CFD879B" w14:textId="77777777" w:rsidR="00173DA9" w:rsidRDefault="00A74F93">
            <w:pPr>
              <w:jc w:val="center"/>
            </w:pPr>
            <w:r>
              <w:rPr>
                <w:rFonts w:eastAsiaTheme="minorEastAsia"/>
                <w:color w:val="000000" w:themeColor="text1"/>
                <w:szCs w:val="21"/>
              </w:rPr>
              <w:lastRenderedPageBreak/>
              <w:t>16</w:t>
            </w:r>
            <w:r>
              <w:rPr>
                <w:rFonts w:eastAsiaTheme="minorEastAsia"/>
                <w:color w:val="000000" w:themeColor="text1"/>
                <w:szCs w:val="21"/>
              </w:rPr>
              <w:t>年</w:t>
            </w:r>
          </w:p>
        </w:tc>
        <w:tc>
          <w:tcPr>
            <w:tcW w:w="0" w:type="auto"/>
            <w:vAlign w:val="center"/>
          </w:tcPr>
          <w:p w14:paraId="65481FF9" w14:textId="77777777" w:rsidR="00173DA9" w:rsidRDefault="00A74F93">
            <w:pPr>
              <w:jc w:val="left"/>
            </w:pPr>
            <w:r>
              <w:rPr>
                <w:rFonts w:eastAsiaTheme="minorEastAsia"/>
                <w:color w:val="000000" w:themeColor="text1"/>
                <w:szCs w:val="21"/>
              </w:rPr>
              <w:t>Blake Crawford</w:t>
            </w:r>
            <w:r>
              <w:rPr>
                <w:rFonts w:eastAsiaTheme="minorEastAsia"/>
                <w:color w:val="000000" w:themeColor="text1"/>
                <w:szCs w:val="21"/>
              </w:rPr>
              <w:t>，执行董事，是摩根资产管理国际股票团队的投资经理。在</w:t>
            </w:r>
            <w:r>
              <w:rPr>
                <w:rFonts w:eastAsiaTheme="minorEastAsia"/>
                <w:color w:val="000000" w:themeColor="text1"/>
                <w:szCs w:val="21"/>
              </w:rPr>
              <w:t>2008</w:t>
            </w:r>
            <w:r>
              <w:rPr>
                <w:rFonts w:eastAsiaTheme="minorEastAsia"/>
                <w:color w:val="000000" w:themeColor="text1"/>
                <w:szCs w:val="21"/>
              </w:rPr>
              <w:t>年作为管理培训生加入公司。</w:t>
            </w:r>
            <w:r>
              <w:rPr>
                <w:rFonts w:eastAsiaTheme="minorEastAsia"/>
                <w:color w:val="000000" w:themeColor="text1"/>
                <w:szCs w:val="21"/>
              </w:rPr>
              <w:t>Blake</w:t>
            </w:r>
            <w:r>
              <w:rPr>
                <w:rFonts w:eastAsiaTheme="minorEastAsia"/>
                <w:color w:val="000000" w:themeColor="text1"/>
                <w:szCs w:val="21"/>
              </w:rPr>
              <w:t>拥有巴斯大学的经济学学士学位，同时也是特许金融分析师。</w:t>
            </w:r>
          </w:p>
        </w:tc>
      </w:tr>
      <w:tr w:rsidR="00173DA9" w14:paraId="3C7450CE" w14:textId="77777777">
        <w:tc>
          <w:tcPr>
            <w:tcW w:w="0" w:type="auto"/>
            <w:vAlign w:val="center"/>
          </w:tcPr>
          <w:p w14:paraId="564714CE" w14:textId="77777777" w:rsidR="00173DA9" w:rsidRDefault="00A74F93">
            <w:pPr>
              <w:jc w:val="center"/>
            </w:pPr>
            <w:r>
              <w:rPr>
                <w:rFonts w:eastAsiaTheme="minorEastAsia"/>
                <w:color w:val="000000" w:themeColor="text1"/>
                <w:szCs w:val="21"/>
              </w:rPr>
              <w:t>Alexander Whyte</w:t>
            </w:r>
          </w:p>
        </w:tc>
        <w:tc>
          <w:tcPr>
            <w:tcW w:w="0" w:type="auto"/>
            <w:vAlign w:val="center"/>
          </w:tcPr>
          <w:p w14:paraId="7FF5F601" w14:textId="77777777" w:rsidR="00173DA9" w:rsidRDefault="00A74F93">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0" w:type="auto"/>
            <w:vAlign w:val="center"/>
          </w:tcPr>
          <w:p w14:paraId="19EB7608" w14:textId="77777777" w:rsidR="00173DA9" w:rsidRDefault="00A74F93">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14:paraId="791BD982" w14:textId="77777777" w:rsidR="00173DA9" w:rsidRDefault="00A74F93">
            <w:pPr>
              <w:jc w:val="left"/>
            </w:pPr>
            <w:r>
              <w:rPr>
                <w:rFonts w:eastAsiaTheme="minorEastAsia"/>
                <w:color w:val="000000" w:themeColor="text1"/>
                <w:szCs w:val="21"/>
              </w:rPr>
              <w:t>Alexander Whyte</w:t>
            </w:r>
            <w:r>
              <w:rPr>
                <w:rFonts w:eastAsiaTheme="minorEastAsia"/>
                <w:color w:val="000000" w:themeColor="text1"/>
                <w:szCs w:val="21"/>
              </w:rPr>
              <w:t>，执行董事，是摩根资产管理国际股票团队的投资经理。</w:t>
            </w:r>
            <w:r>
              <w:rPr>
                <w:rFonts w:eastAsiaTheme="minorEastAsia"/>
                <w:color w:val="000000" w:themeColor="text1"/>
                <w:szCs w:val="21"/>
              </w:rPr>
              <w:t>Alex</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Alex</w:t>
            </w:r>
            <w:r>
              <w:rPr>
                <w:rFonts w:eastAsiaTheme="minorEastAsia"/>
                <w:color w:val="000000" w:themeColor="text1"/>
                <w:szCs w:val="21"/>
              </w:rPr>
              <w:t>拥有剑桥大学的机械工程学士学位和硕士学位，并且是特许金融分析师。</w:t>
            </w:r>
          </w:p>
        </w:tc>
      </w:tr>
      <w:tr w:rsidR="00173DA9" w14:paraId="42E1613E" w14:textId="77777777">
        <w:tc>
          <w:tcPr>
            <w:tcW w:w="0" w:type="auto"/>
            <w:vAlign w:val="center"/>
          </w:tcPr>
          <w:p w14:paraId="554CBCFC" w14:textId="77777777" w:rsidR="00173DA9" w:rsidRDefault="00A74F93">
            <w:pPr>
              <w:jc w:val="center"/>
            </w:pPr>
            <w:r>
              <w:rPr>
                <w:rFonts w:eastAsiaTheme="minorEastAsia"/>
                <w:color w:val="000000" w:themeColor="text1"/>
                <w:szCs w:val="21"/>
              </w:rPr>
              <w:t>Victoria Helvert</w:t>
            </w:r>
          </w:p>
        </w:tc>
        <w:tc>
          <w:tcPr>
            <w:tcW w:w="0" w:type="auto"/>
            <w:vAlign w:val="center"/>
          </w:tcPr>
          <w:p w14:paraId="7BFAFAB1" w14:textId="77777777" w:rsidR="00173DA9" w:rsidRDefault="00A74F93">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副总裁，摩根资产管理国际股票团队投资经理</w:t>
            </w:r>
          </w:p>
        </w:tc>
        <w:tc>
          <w:tcPr>
            <w:tcW w:w="0" w:type="auto"/>
            <w:vAlign w:val="center"/>
          </w:tcPr>
          <w:p w14:paraId="66704EC3" w14:textId="77777777" w:rsidR="00173DA9" w:rsidRDefault="00A74F93">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14:paraId="7D8A6F6B" w14:textId="77777777" w:rsidR="00173DA9" w:rsidRDefault="00A74F93">
            <w:pPr>
              <w:jc w:val="left"/>
            </w:pPr>
            <w:r>
              <w:rPr>
                <w:rFonts w:eastAsiaTheme="minorEastAsia"/>
                <w:color w:val="000000" w:themeColor="text1"/>
                <w:szCs w:val="21"/>
              </w:rPr>
              <w:t>Victoria Helvert</w:t>
            </w:r>
            <w:r>
              <w:rPr>
                <w:rFonts w:eastAsiaTheme="minorEastAsia"/>
                <w:color w:val="000000" w:themeColor="text1"/>
                <w:szCs w:val="21"/>
              </w:rPr>
              <w:t>，副总裁，是摩根资产管理国际股票团队的投资经理。</w:t>
            </w:r>
            <w:r>
              <w:rPr>
                <w:rFonts w:eastAsiaTheme="minorEastAsia"/>
                <w:color w:val="000000" w:themeColor="text1"/>
                <w:szCs w:val="21"/>
              </w:rPr>
              <w:t>Victoria</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Victoria</w:t>
            </w:r>
            <w:r>
              <w:rPr>
                <w:rFonts w:eastAsiaTheme="minorEastAsia"/>
                <w:color w:val="000000" w:themeColor="text1"/>
                <w:szCs w:val="21"/>
              </w:rPr>
              <w:t>拥有杜伦大学的经济学学士学位，并且是英格兰及威尔士特许会计师</w:t>
            </w:r>
            <w:r>
              <w:rPr>
                <w:rFonts w:eastAsiaTheme="minorEastAsia"/>
                <w:color w:val="000000" w:themeColor="text1"/>
                <w:szCs w:val="21"/>
              </w:rPr>
              <w:t>(ACA)</w:t>
            </w:r>
            <w:r>
              <w:rPr>
                <w:rFonts w:eastAsiaTheme="minorEastAsia"/>
                <w:color w:val="000000" w:themeColor="text1"/>
                <w:szCs w:val="21"/>
              </w:rPr>
              <w:t>。</w:t>
            </w:r>
          </w:p>
        </w:tc>
      </w:tr>
    </w:tbl>
    <w:p w14:paraId="5B5C6DA6"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03E76940"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14:paraId="5FBD7DF6"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3962BAD"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33162F24"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751B40C1"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14:paraId="319033A9"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41AA481"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D258EA1"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4DD7EF1"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705BD630"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w:t>
      </w:r>
      <w:r>
        <w:rPr>
          <w:rFonts w:eastAsiaTheme="minorEastAsia"/>
          <w:color w:val="000000" w:themeColor="text1"/>
          <w:szCs w:val="21"/>
        </w:rPr>
        <w:lastRenderedPageBreak/>
        <w:t>交易和利益输送的异常交易行为。</w:t>
      </w:r>
    </w:p>
    <w:p w14:paraId="0E34EC59"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1F5BBE04"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1D957553"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14:paraId="09C2AAC7"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报告期内，欧洲动力基金小幅下跌。基金的投资组合在金融、能源、科技和可选消费等行业上超配，同时低配了原材料、必选消费和公用事业等行业。</w:t>
      </w:r>
    </w:p>
    <w:p w14:paraId="0C1E3B8F"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欧洲央行预计</w:t>
      </w:r>
      <w:r>
        <w:rPr>
          <w:rFonts w:eastAsiaTheme="minorEastAsia"/>
          <w:color w:val="000000" w:themeColor="text1"/>
          <w:szCs w:val="21"/>
        </w:rPr>
        <w:t>2024</w:t>
      </w:r>
      <w:r>
        <w:rPr>
          <w:rFonts w:eastAsiaTheme="minorEastAsia"/>
          <w:color w:val="000000" w:themeColor="text1"/>
          <w:szCs w:val="21"/>
        </w:rPr>
        <w:t>年欧元区总体通胀率为</w:t>
      </w:r>
      <w:r>
        <w:rPr>
          <w:rFonts w:eastAsiaTheme="minorEastAsia"/>
          <w:color w:val="000000" w:themeColor="text1"/>
          <w:szCs w:val="21"/>
        </w:rPr>
        <w:t>2.4%</w:t>
      </w:r>
      <w:r>
        <w:rPr>
          <w:rFonts w:eastAsiaTheme="minorEastAsia"/>
          <w:color w:val="000000" w:themeColor="text1"/>
          <w:szCs w:val="21"/>
        </w:rPr>
        <w:t>，较之前的预测有所下降，这表明通胀压力有所缓解。此外，欧洲央行预计</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GDP</w:t>
      </w:r>
      <w:r>
        <w:rPr>
          <w:rFonts w:eastAsiaTheme="minorEastAsia"/>
          <w:color w:val="000000" w:themeColor="text1"/>
          <w:szCs w:val="21"/>
        </w:rPr>
        <w:t>增长率为</w:t>
      </w:r>
      <w:r>
        <w:rPr>
          <w:rFonts w:eastAsiaTheme="minorEastAsia"/>
          <w:color w:val="000000" w:themeColor="text1"/>
          <w:szCs w:val="21"/>
        </w:rPr>
        <w:t>0.7%</w:t>
      </w:r>
      <w:r>
        <w:rPr>
          <w:rFonts w:eastAsiaTheme="minorEastAsia"/>
          <w:color w:val="000000" w:themeColor="text1"/>
          <w:szCs w:val="21"/>
        </w:rPr>
        <w:t>，显示出对经济增长的谨慎态度。</w:t>
      </w:r>
    </w:p>
    <w:p w14:paraId="7EDF9751"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是欧洲的政治大年，多个国家进行了重要的议会或总统选举。这些政治事件增加了市场的不确定性，尤其是在极右翼势力在欧洲议会选举中获得更多席位的情况下。政治不稳定可能对市场信心和投资流动性产生负面影响。</w:t>
      </w:r>
    </w:p>
    <w:p w14:paraId="62BCEB5F"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在经济数据方面，欧元区的制造业</w:t>
      </w:r>
      <w:r>
        <w:rPr>
          <w:rFonts w:eastAsiaTheme="minorEastAsia"/>
          <w:color w:val="000000" w:themeColor="text1"/>
          <w:szCs w:val="21"/>
        </w:rPr>
        <w:t>PMI</w:t>
      </w:r>
      <w:r>
        <w:rPr>
          <w:rFonts w:eastAsiaTheme="minorEastAsia"/>
          <w:color w:val="000000" w:themeColor="text1"/>
          <w:szCs w:val="21"/>
        </w:rPr>
        <w:t>表现不佳，</w:t>
      </w:r>
      <w:r>
        <w:rPr>
          <w:rFonts w:eastAsiaTheme="minorEastAsia"/>
          <w:color w:val="000000" w:themeColor="text1"/>
          <w:szCs w:val="21"/>
        </w:rPr>
        <w:t>11</w:t>
      </w:r>
      <w:r>
        <w:rPr>
          <w:rFonts w:eastAsiaTheme="minorEastAsia"/>
          <w:color w:val="000000" w:themeColor="text1"/>
          <w:szCs w:val="21"/>
        </w:rPr>
        <w:t>月份为</w:t>
      </w:r>
      <w:r>
        <w:rPr>
          <w:rFonts w:eastAsiaTheme="minorEastAsia"/>
          <w:color w:val="000000" w:themeColor="text1"/>
          <w:szCs w:val="21"/>
        </w:rPr>
        <w:t>47%</w:t>
      </w:r>
      <w:r>
        <w:rPr>
          <w:rFonts w:eastAsiaTheme="minorEastAsia"/>
          <w:color w:val="000000" w:themeColor="text1"/>
          <w:szCs w:val="21"/>
        </w:rPr>
        <w:t>，连续三个月低于</w:t>
      </w:r>
      <w:r>
        <w:rPr>
          <w:rFonts w:eastAsiaTheme="minorEastAsia"/>
          <w:color w:val="000000" w:themeColor="text1"/>
          <w:szCs w:val="21"/>
        </w:rPr>
        <w:t>48%</w:t>
      </w:r>
      <w:r>
        <w:rPr>
          <w:rFonts w:eastAsiaTheme="minorEastAsia"/>
          <w:color w:val="000000" w:themeColor="text1"/>
          <w:szCs w:val="21"/>
        </w:rPr>
        <w:t>，显示出制造业活动的收缩趋势。此外，欧元区第二季度</w:t>
      </w:r>
      <w:r>
        <w:rPr>
          <w:rFonts w:eastAsiaTheme="minorEastAsia"/>
          <w:color w:val="000000" w:themeColor="text1"/>
          <w:szCs w:val="21"/>
        </w:rPr>
        <w:t>GDP</w:t>
      </w:r>
      <w:r>
        <w:rPr>
          <w:rFonts w:eastAsiaTheme="minorEastAsia"/>
          <w:color w:val="000000" w:themeColor="text1"/>
          <w:szCs w:val="21"/>
        </w:rPr>
        <w:t>环比增长</w:t>
      </w:r>
      <w:r>
        <w:rPr>
          <w:rFonts w:eastAsiaTheme="minorEastAsia"/>
          <w:color w:val="000000" w:themeColor="text1"/>
          <w:szCs w:val="21"/>
        </w:rPr>
        <w:t>0.3%</w:t>
      </w:r>
      <w:r>
        <w:rPr>
          <w:rFonts w:eastAsiaTheme="minorEastAsia"/>
          <w:color w:val="000000" w:themeColor="text1"/>
          <w:szCs w:val="21"/>
        </w:rPr>
        <w:t>，超过预期的</w:t>
      </w:r>
      <w:r>
        <w:rPr>
          <w:rFonts w:eastAsiaTheme="minorEastAsia"/>
          <w:color w:val="000000" w:themeColor="text1"/>
          <w:szCs w:val="21"/>
        </w:rPr>
        <w:t>0.2%</w:t>
      </w:r>
      <w:r>
        <w:rPr>
          <w:rFonts w:eastAsiaTheme="minorEastAsia"/>
          <w:color w:val="000000" w:themeColor="text1"/>
          <w:szCs w:val="21"/>
        </w:rPr>
        <w:t>，但整体经济增长仍然疲弱。</w:t>
      </w:r>
    </w:p>
    <w:p w14:paraId="049E798D"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特朗普当选美国总统以及共和党在国会占据多数席位带来了新的不确定性，冲击了全球市场并影响了欧洲投资者的情绪。欧元区面临新的经济压力，制造业和服务业均出现萎缩，反映出人们对增长和稳定的更广泛担忧。</w:t>
      </w:r>
    </w:p>
    <w:p w14:paraId="4EA9C820"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英国央行降息</w:t>
      </w:r>
      <w:r>
        <w:rPr>
          <w:rFonts w:eastAsiaTheme="minorEastAsia"/>
          <w:color w:val="000000" w:themeColor="text1"/>
          <w:szCs w:val="21"/>
        </w:rPr>
        <w:t>25</w:t>
      </w:r>
      <w:r>
        <w:rPr>
          <w:rFonts w:eastAsiaTheme="minorEastAsia"/>
          <w:color w:val="000000" w:themeColor="text1"/>
          <w:szCs w:val="21"/>
        </w:rPr>
        <w:t>个基点至</w:t>
      </w:r>
      <w:r>
        <w:rPr>
          <w:rFonts w:eastAsiaTheme="minorEastAsia"/>
          <w:color w:val="000000" w:themeColor="text1"/>
          <w:szCs w:val="21"/>
        </w:rPr>
        <w:t>4.75%</w:t>
      </w:r>
      <w:r>
        <w:rPr>
          <w:rFonts w:eastAsiaTheme="minorEastAsia"/>
          <w:color w:val="000000" w:themeColor="text1"/>
          <w:szCs w:val="21"/>
        </w:rPr>
        <w:t>，这是</w:t>
      </w:r>
      <w:r>
        <w:rPr>
          <w:rFonts w:eastAsiaTheme="minorEastAsia"/>
          <w:color w:val="000000" w:themeColor="text1"/>
          <w:szCs w:val="21"/>
        </w:rPr>
        <w:t>2020</w:t>
      </w:r>
      <w:r>
        <w:rPr>
          <w:rFonts w:eastAsiaTheme="minorEastAsia"/>
          <w:color w:val="000000" w:themeColor="text1"/>
          <w:szCs w:val="21"/>
        </w:rPr>
        <w:t>年以来英国央行第二次降息。货币政策委员会指出，虽然通货紧缩趋势依然存在，但未来降息可能需要更加渐进。这种谨慎态度是由于人们预期新政府的第一个预算可能导致更高的通胀和经济增长。</w:t>
      </w:r>
    </w:p>
    <w:p w14:paraId="626F4C6A"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受美国大选影响，货币市场上欧元兑美元走弱，这加剧了人们对美国经济</w:t>
      </w:r>
      <w:r>
        <w:rPr>
          <w:rFonts w:eastAsiaTheme="minorEastAsia"/>
          <w:color w:val="000000" w:themeColor="text1"/>
          <w:szCs w:val="21"/>
        </w:rPr>
        <w:t>“</w:t>
      </w:r>
      <w:r>
        <w:rPr>
          <w:rFonts w:eastAsiaTheme="minorEastAsia"/>
          <w:color w:val="000000" w:themeColor="text1"/>
          <w:szCs w:val="21"/>
        </w:rPr>
        <w:t>例外论</w:t>
      </w:r>
      <w:r>
        <w:rPr>
          <w:rFonts w:eastAsiaTheme="minorEastAsia"/>
          <w:color w:val="000000" w:themeColor="text1"/>
          <w:szCs w:val="21"/>
        </w:rPr>
        <w:t>”</w:t>
      </w:r>
      <w:r>
        <w:rPr>
          <w:rFonts w:eastAsiaTheme="minorEastAsia"/>
          <w:color w:val="000000" w:themeColor="text1"/>
          <w:szCs w:val="21"/>
        </w:rPr>
        <w:t>可能在经济和市场上持续存在的猜测。大宗商品市场波动，由于供应担忧，天然气价格飙升超过</w:t>
      </w:r>
      <w:r>
        <w:rPr>
          <w:rFonts w:eastAsiaTheme="minorEastAsia"/>
          <w:color w:val="000000" w:themeColor="text1"/>
          <w:szCs w:val="21"/>
        </w:rPr>
        <w:t>20%</w:t>
      </w:r>
      <w:r>
        <w:rPr>
          <w:rFonts w:eastAsiaTheme="minorEastAsia"/>
          <w:color w:val="000000" w:themeColor="text1"/>
          <w:szCs w:val="21"/>
        </w:rPr>
        <w:t>，而石油价格则保持下降趋势，反映出全球需求疲软和产量增加。在行业方面，金融服务、电信和信息技术（如半导体和硬件）等行业表现较好，而化学品、汽车和医疗保健等行业则有所下降。</w:t>
      </w:r>
    </w:p>
    <w:p w14:paraId="62D361B6"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展望后市，欧洲经济正在进入一个新阶段，欧洲央行（</w:t>
      </w:r>
      <w:r>
        <w:rPr>
          <w:rFonts w:eastAsiaTheme="minorEastAsia"/>
          <w:color w:val="000000" w:themeColor="text1"/>
          <w:szCs w:val="21"/>
        </w:rPr>
        <w:t>ECB</w:t>
      </w:r>
      <w:r>
        <w:rPr>
          <w:rFonts w:eastAsiaTheme="minorEastAsia"/>
          <w:color w:val="000000" w:themeColor="text1"/>
          <w:szCs w:val="21"/>
        </w:rPr>
        <w:t>）在其当前的降息周期中已四次降息。</w:t>
      </w:r>
      <w:r>
        <w:rPr>
          <w:rFonts w:eastAsiaTheme="minorEastAsia"/>
          <w:color w:val="000000" w:themeColor="text1"/>
          <w:szCs w:val="21"/>
        </w:rPr>
        <w:t>9</w:t>
      </w:r>
      <w:r>
        <w:rPr>
          <w:rFonts w:eastAsiaTheme="minorEastAsia"/>
          <w:color w:val="000000" w:themeColor="text1"/>
          <w:szCs w:val="21"/>
        </w:rPr>
        <w:t>月份，欧元区年化通胀率跌破欧洲央行</w:t>
      </w:r>
      <w:r>
        <w:rPr>
          <w:rFonts w:eastAsiaTheme="minorEastAsia"/>
          <w:color w:val="000000" w:themeColor="text1"/>
          <w:szCs w:val="21"/>
        </w:rPr>
        <w:t>2%</w:t>
      </w:r>
      <w:r>
        <w:rPr>
          <w:rFonts w:eastAsiaTheme="minorEastAsia"/>
          <w:color w:val="000000" w:themeColor="text1"/>
          <w:szCs w:val="21"/>
        </w:rPr>
        <w:t>的目标，脱离了前三年高通胀和高利率的环境。</w:t>
      </w:r>
    </w:p>
    <w:p w14:paraId="62586FD6"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随着通胀降温以及各国央行降息，投资者更关注建立多元化投资组合。到</w:t>
      </w:r>
      <w:r>
        <w:rPr>
          <w:rFonts w:eastAsiaTheme="minorEastAsia"/>
          <w:color w:val="000000" w:themeColor="text1"/>
          <w:szCs w:val="21"/>
        </w:rPr>
        <w:t xml:space="preserve"> 2024 </w:t>
      </w:r>
      <w:r>
        <w:rPr>
          <w:rFonts w:eastAsiaTheme="minorEastAsia"/>
          <w:color w:val="000000" w:themeColor="text1"/>
          <w:szCs w:val="21"/>
        </w:rPr>
        <w:t>年底为止，尽管市场波动，但股票仍保持上涨趋势。不断改善的经济状况、良好的基本面和不断增强的经济增长势头可能有助于延续这轮反弹，为投资者带来众多有吸引力的市场机会。</w:t>
      </w:r>
    </w:p>
    <w:p w14:paraId="75C75415"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欧洲股票的估值较美国股票有较大折价。同时，当今的欧洲股票可以提供与美股相当的质量和业绩增长潜力。这种估值优势得到了欧洲企业管理层们的认可，他们回购的股票比以往任何时候都多。此外，欧洲经济体可能提供了更大的上行惊喜空间。</w:t>
      </w:r>
    </w:p>
    <w:p w14:paraId="7AF1A6AE"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总体而言，预计</w:t>
      </w:r>
      <w:r>
        <w:rPr>
          <w:rFonts w:eastAsiaTheme="minorEastAsia"/>
          <w:color w:val="000000" w:themeColor="text1"/>
          <w:szCs w:val="21"/>
        </w:rPr>
        <w:t>2025</w:t>
      </w:r>
      <w:r>
        <w:rPr>
          <w:rFonts w:eastAsiaTheme="minorEastAsia"/>
          <w:color w:val="000000" w:themeColor="text1"/>
          <w:szCs w:val="21"/>
        </w:rPr>
        <w:t>年和</w:t>
      </w:r>
      <w:r>
        <w:rPr>
          <w:rFonts w:eastAsiaTheme="minorEastAsia"/>
          <w:color w:val="000000" w:themeColor="text1"/>
          <w:szCs w:val="21"/>
        </w:rPr>
        <w:t>2026</w:t>
      </w:r>
      <w:r>
        <w:rPr>
          <w:rFonts w:eastAsiaTheme="minorEastAsia"/>
          <w:color w:val="000000" w:themeColor="text1"/>
          <w:szCs w:val="21"/>
        </w:rPr>
        <w:t>年经济增长都将持续。去通胀的趋势可能持续下去，从而减轻各国央行在调整审慎利率立场方面面临的一些压力。</w:t>
      </w:r>
    </w:p>
    <w:p w14:paraId="2394678F" w14:textId="77777777" w:rsidR="00173DA9" w:rsidRDefault="00173DA9">
      <w:pPr>
        <w:spacing w:line="360" w:lineRule="auto"/>
        <w:ind w:firstLineChars="200" w:firstLine="420"/>
        <w:rPr>
          <w:rFonts w:eastAsiaTheme="minorEastAsia"/>
          <w:color w:val="000000" w:themeColor="text1"/>
          <w:szCs w:val="21"/>
        </w:rPr>
      </w:pPr>
    </w:p>
    <w:p w14:paraId="0F55A6A7"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:-5.55%</w:t>
      </w:r>
      <w:r>
        <w:rPr>
          <w:rFonts w:eastAsiaTheme="minorEastAsia"/>
          <w:color w:val="000000" w:themeColor="text1"/>
          <w:szCs w:val="21"/>
        </w:rPr>
        <w:t>，同期业绩比较基准收益率为</w:t>
      </w:r>
      <w:r>
        <w:rPr>
          <w:rFonts w:eastAsiaTheme="minorEastAsia"/>
          <w:color w:val="000000" w:themeColor="text1"/>
          <w:szCs w:val="21"/>
        </w:rPr>
        <w:t>:-6.66%</w:t>
      </w:r>
      <w:r>
        <w:rPr>
          <w:rFonts w:eastAsiaTheme="minorEastAsia"/>
          <w:color w:val="000000" w:themeColor="text1"/>
          <w:szCs w:val="21"/>
        </w:rPr>
        <w:t>。</w:t>
      </w:r>
    </w:p>
    <w:p w14:paraId="63E71601"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:-5.64%</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:-6.66%</w:t>
      </w:r>
      <w:r w:rsidRPr="00A3398F">
        <w:rPr>
          <w:rFonts w:eastAsiaTheme="minorEastAsia"/>
          <w:color w:val="000000" w:themeColor="text1"/>
          <w:szCs w:val="21"/>
        </w:rPr>
        <w:t>。</w:t>
      </w:r>
    </w:p>
    <w:p w14:paraId="33440D30" w14:textId="77777777" w:rsidR="00C736BB" w:rsidRPr="00A3398F" w:rsidRDefault="00C736BB" w:rsidP="00A70E23">
      <w:pPr>
        <w:spacing w:line="360" w:lineRule="auto"/>
        <w:ind w:firstLineChars="200" w:firstLine="480"/>
        <w:rPr>
          <w:rFonts w:eastAsiaTheme="minorEastAsia"/>
          <w:color w:val="000000" w:themeColor="text1"/>
          <w:sz w:val="24"/>
        </w:rPr>
      </w:pPr>
    </w:p>
    <w:p w14:paraId="54BAC8B2"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14:paraId="1CB241D6"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7D947B2A"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444604F3"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46D4EA84" w14:textId="77777777" w:rsidTr="00592EFF">
        <w:tc>
          <w:tcPr>
            <w:tcW w:w="851" w:type="dxa"/>
            <w:shd w:val="clear" w:color="auto" w:fill="auto"/>
            <w:vAlign w:val="center"/>
          </w:tcPr>
          <w:p w14:paraId="4D38C082"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153E1A17"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0A7B9630"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423D5AE5"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5C5BEA76" w14:textId="77777777" w:rsidTr="00877D98">
        <w:tc>
          <w:tcPr>
            <w:tcW w:w="851" w:type="dxa"/>
            <w:shd w:val="clear" w:color="auto" w:fill="auto"/>
            <w:vAlign w:val="center"/>
          </w:tcPr>
          <w:p w14:paraId="7135B64C"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349F747A"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64443154"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185,130,442.93</w:t>
            </w:r>
          </w:p>
        </w:tc>
        <w:tc>
          <w:tcPr>
            <w:tcW w:w="1559" w:type="dxa"/>
            <w:shd w:val="clear" w:color="auto" w:fill="auto"/>
            <w:vAlign w:val="center"/>
          </w:tcPr>
          <w:p w14:paraId="27254885"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87.71</w:t>
            </w:r>
          </w:p>
        </w:tc>
      </w:tr>
      <w:tr w:rsidR="008277FF" w:rsidRPr="00A3398F" w14:paraId="47AACD25" w14:textId="77777777" w:rsidTr="00877D98">
        <w:tc>
          <w:tcPr>
            <w:tcW w:w="851" w:type="dxa"/>
            <w:shd w:val="clear" w:color="auto" w:fill="auto"/>
            <w:vAlign w:val="center"/>
          </w:tcPr>
          <w:p w14:paraId="4D3E8A08"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3423496"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4DE85CF8" w14:textId="25B728CF" w:rsidR="00363E15" w:rsidRPr="00A3398F" w:rsidRDefault="00FC1B73" w:rsidP="00BF1DD5">
            <w:pPr>
              <w:spacing w:before="29" w:line="360" w:lineRule="auto"/>
              <w:ind w:left="17"/>
              <w:jc w:val="right"/>
              <w:rPr>
                <w:rFonts w:eastAsiaTheme="minorEastAsia"/>
                <w:color w:val="000000" w:themeColor="text1"/>
                <w:szCs w:val="21"/>
              </w:rPr>
            </w:pPr>
            <w:r w:rsidRPr="00FC1B73">
              <w:rPr>
                <w:rFonts w:eastAsiaTheme="minorEastAsia"/>
                <w:color w:val="000000" w:themeColor="text1"/>
                <w:szCs w:val="21"/>
              </w:rPr>
              <w:t>178,520,049.13</w:t>
            </w:r>
          </w:p>
        </w:tc>
        <w:tc>
          <w:tcPr>
            <w:tcW w:w="1559" w:type="dxa"/>
            <w:shd w:val="clear" w:color="auto" w:fill="auto"/>
            <w:vAlign w:val="center"/>
          </w:tcPr>
          <w:p w14:paraId="6643874F" w14:textId="273B812A" w:rsidR="00363E15" w:rsidRPr="00A3398F" w:rsidRDefault="00A74F93"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w:t>
            </w:r>
            <w:r>
              <w:rPr>
                <w:rFonts w:eastAsiaTheme="minorEastAsia"/>
                <w:color w:val="000000" w:themeColor="text1"/>
                <w:szCs w:val="21"/>
              </w:rPr>
              <w:t>4</w:t>
            </w:r>
            <w:r w:rsidR="00363E15" w:rsidRPr="00A3398F">
              <w:rPr>
                <w:rFonts w:eastAsiaTheme="minorEastAsia"/>
                <w:color w:val="000000" w:themeColor="text1"/>
                <w:szCs w:val="21"/>
              </w:rPr>
              <w:t>.</w:t>
            </w:r>
            <w:r>
              <w:rPr>
                <w:rFonts w:eastAsiaTheme="minorEastAsia"/>
                <w:color w:val="000000" w:themeColor="text1"/>
                <w:szCs w:val="21"/>
              </w:rPr>
              <w:t>58</w:t>
            </w:r>
          </w:p>
        </w:tc>
      </w:tr>
      <w:tr w:rsidR="008277FF" w:rsidRPr="00A3398F" w14:paraId="0FD336A6" w14:textId="77777777" w:rsidTr="00877D98">
        <w:tc>
          <w:tcPr>
            <w:tcW w:w="851" w:type="dxa"/>
            <w:shd w:val="clear" w:color="auto" w:fill="auto"/>
            <w:vAlign w:val="center"/>
          </w:tcPr>
          <w:p w14:paraId="7E8CF069"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FEFE287"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30D254F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4,767,448.96</w:t>
            </w:r>
          </w:p>
        </w:tc>
        <w:tc>
          <w:tcPr>
            <w:tcW w:w="1559" w:type="dxa"/>
            <w:shd w:val="clear" w:color="auto" w:fill="auto"/>
            <w:vAlign w:val="center"/>
          </w:tcPr>
          <w:p w14:paraId="1011A42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2.26</w:t>
            </w:r>
          </w:p>
        </w:tc>
      </w:tr>
      <w:tr w:rsidR="008277FF" w:rsidRPr="00A3398F" w14:paraId="48D5A909" w14:textId="77777777" w:rsidTr="00877D98">
        <w:tc>
          <w:tcPr>
            <w:tcW w:w="851" w:type="dxa"/>
            <w:shd w:val="clear" w:color="auto" w:fill="auto"/>
            <w:vAlign w:val="center"/>
          </w:tcPr>
          <w:p w14:paraId="34E446E9"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48132DC"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5B88F012"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F6ECDB0"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0D0A167" w14:textId="77777777" w:rsidTr="00877D98">
        <w:tc>
          <w:tcPr>
            <w:tcW w:w="851" w:type="dxa"/>
            <w:shd w:val="clear" w:color="auto" w:fill="auto"/>
            <w:vAlign w:val="center"/>
          </w:tcPr>
          <w:p w14:paraId="47C29EC7"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0521056"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37497721" w14:textId="30D6F2F6" w:rsidR="00CE4499" w:rsidRPr="00A3398F" w:rsidRDefault="00A74F93" w:rsidP="00BF1DD5">
            <w:pPr>
              <w:spacing w:before="29" w:line="360" w:lineRule="auto"/>
              <w:ind w:left="17"/>
              <w:jc w:val="right"/>
              <w:rPr>
                <w:rFonts w:eastAsiaTheme="minorEastAsia"/>
                <w:color w:val="000000" w:themeColor="text1"/>
                <w:szCs w:val="21"/>
              </w:rPr>
            </w:pPr>
            <w:r w:rsidRPr="00A74F93">
              <w:rPr>
                <w:rFonts w:eastAsiaTheme="minorEastAsia"/>
                <w:color w:val="000000" w:themeColor="text1"/>
                <w:szCs w:val="21"/>
              </w:rPr>
              <w:t>1,842,944.84</w:t>
            </w:r>
          </w:p>
        </w:tc>
        <w:tc>
          <w:tcPr>
            <w:tcW w:w="1559" w:type="dxa"/>
            <w:shd w:val="clear" w:color="auto" w:fill="auto"/>
            <w:vAlign w:val="center"/>
          </w:tcPr>
          <w:p w14:paraId="186BF632" w14:textId="4133A4E1" w:rsidR="00CE4499" w:rsidRPr="00A3398F" w:rsidRDefault="00A74F93" w:rsidP="00BF1DD5">
            <w:pPr>
              <w:spacing w:before="29" w:line="360" w:lineRule="auto"/>
              <w:ind w:left="17"/>
              <w:jc w:val="right"/>
              <w:rPr>
                <w:rFonts w:eastAsiaTheme="minorEastAsia"/>
                <w:color w:val="000000" w:themeColor="text1"/>
                <w:szCs w:val="21"/>
              </w:rPr>
            </w:pPr>
            <w:r w:rsidRPr="00A74F93">
              <w:rPr>
                <w:rFonts w:eastAsiaTheme="minorEastAsia"/>
                <w:color w:val="000000" w:themeColor="text1"/>
                <w:szCs w:val="21"/>
              </w:rPr>
              <w:t>0.87</w:t>
            </w:r>
          </w:p>
        </w:tc>
      </w:tr>
      <w:tr w:rsidR="008277FF" w:rsidRPr="00A3398F" w14:paraId="7C269A01" w14:textId="77777777" w:rsidTr="00877D98">
        <w:tc>
          <w:tcPr>
            <w:tcW w:w="851" w:type="dxa"/>
            <w:shd w:val="clear" w:color="auto" w:fill="auto"/>
            <w:vAlign w:val="center"/>
          </w:tcPr>
          <w:p w14:paraId="5ECC9999"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6A2D70BA"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6C4A7552"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F83BE40"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768752A" w14:textId="77777777" w:rsidTr="00877D98">
        <w:tc>
          <w:tcPr>
            <w:tcW w:w="851" w:type="dxa"/>
            <w:shd w:val="clear" w:color="auto" w:fill="auto"/>
            <w:vAlign w:val="center"/>
          </w:tcPr>
          <w:p w14:paraId="6FEF02D5"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3F4CA9ED"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7B1FCF5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E636D6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4DD5C54" w14:textId="77777777" w:rsidTr="00877D98">
        <w:tc>
          <w:tcPr>
            <w:tcW w:w="851" w:type="dxa"/>
            <w:shd w:val="clear" w:color="auto" w:fill="auto"/>
            <w:vAlign w:val="center"/>
          </w:tcPr>
          <w:p w14:paraId="1D638BF3"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EFCABE4"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0E5B0FA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674AB5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69564D7" w14:textId="77777777" w:rsidTr="00877D98">
        <w:tc>
          <w:tcPr>
            <w:tcW w:w="851" w:type="dxa"/>
            <w:shd w:val="clear" w:color="auto" w:fill="auto"/>
            <w:vAlign w:val="center"/>
          </w:tcPr>
          <w:p w14:paraId="4B2BDFCD"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D359AC7"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3C7FC64B"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CE70AC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91B7322" w14:textId="77777777" w:rsidTr="00877D98">
        <w:tc>
          <w:tcPr>
            <w:tcW w:w="851" w:type="dxa"/>
            <w:shd w:val="clear" w:color="auto" w:fill="auto"/>
            <w:vAlign w:val="center"/>
          </w:tcPr>
          <w:p w14:paraId="7C4A38D6"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4</w:t>
            </w:r>
          </w:p>
        </w:tc>
        <w:tc>
          <w:tcPr>
            <w:tcW w:w="4253" w:type="dxa"/>
            <w:shd w:val="clear" w:color="auto" w:fill="auto"/>
            <w:vAlign w:val="center"/>
          </w:tcPr>
          <w:p w14:paraId="46735471"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517B3FB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047AF4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A3D1C92" w14:textId="77777777" w:rsidTr="00877D98">
        <w:tc>
          <w:tcPr>
            <w:tcW w:w="851" w:type="dxa"/>
            <w:shd w:val="clear" w:color="auto" w:fill="auto"/>
            <w:vAlign w:val="center"/>
          </w:tcPr>
          <w:p w14:paraId="0D1CB85F"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1D9CE49"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3BCB7BB8"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8561A56"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12F698F" w14:textId="77777777" w:rsidTr="00877D98">
        <w:tc>
          <w:tcPr>
            <w:tcW w:w="851" w:type="dxa"/>
            <w:shd w:val="clear" w:color="auto" w:fill="auto"/>
            <w:vAlign w:val="center"/>
          </w:tcPr>
          <w:p w14:paraId="457E0A3F"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F5BDA5F"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51D52CE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A2965B2"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EFD602D" w14:textId="77777777" w:rsidTr="00877D98">
        <w:tc>
          <w:tcPr>
            <w:tcW w:w="851" w:type="dxa"/>
            <w:shd w:val="clear" w:color="auto" w:fill="auto"/>
            <w:vAlign w:val="center"/>
          </w:tcPr>
          <w:p w14:paraId="32F14B39"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DDF8CFD"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3430CA76"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ED3D0C8"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F354E7A" w14:textId="77777777" w:rsidTr="00877D98">
        <w:tc>
          <w:tcPr>
            <w:tcW w:w="851" w:type="dxa"/>
            <w:shd w:val="clear" w:color="auto" w:fill="auto"/>
            <w:vAlign w:val="center"/>
          </w:tcPr>
          <w:p w14:paraId="495F57D1"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9B8D2FA"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7282A9CB"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9B8BCF2"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C3F76D0" w14:textId="77777777" w:rsidTr="00877D98">
        <w:tc>
          <w:tcPr>
            <w:tcW w:w="851" w:type="dxa"/>
            <w:shd w:val="clear" w:color="auto" w:fill="auto"/>
            <w:vAlign w:val="center"/>
          </w:tcPr>
          <w:p w14:paraId="1B1091DD"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65B88235"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72680A8F"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C6A11F4"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9E992AA" w14:textId="77777777" w:rsidTr="00877D98">
        <w:tc>
          <w:tcPr>
            <w:tcW w:w="851" w:type="dxa"/>
            <w:shd w:val="clear" w:color="auto" w:fill="auto"/>
            <w:vAlign w:val="center"/>
          </w:tcPr>
          <w:p w14:paraId="19BDD3BF"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270F31F"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622BB09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122AA3C"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A1696C1" w14:textId="77777777" w:rsidTr="00877D98">
        <w:tc>
          <w:tcPr>
            <w:tcW w:w="851" w:type="dxa"/>
            <w:shd w:val="clear" w:color="auto" w:fill="auto"/>
            <w:vAlign w:val="center"/>
          </w:tcPr>
          <w:p w14:paraId="40AC7FEA"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34B40D06"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7A6470EC"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A4D1474"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5235F82" w14:textId="77777777" w:rsidTr="00877D98">
        <w:tc>
          <w:tcPr>
            <w:tcW w:w="851" w:type="dxa"/>
            <w:shd w:val="clear" w:color="auto" w:fill="auto"/>
            <w:vAlign w:val="center"/>
          </w:tcPr>
          <w:p w14:paraId="4FA26A9D"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24E0F6A8"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65635AE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21,881,105.60</w:t>
            </w:r>
          </w:p>
        </w:tc>
        <w:tc>
          <w:tcPr>
            <w:tcW w:w="1559" w:type="dxa"/>
            <w:shd w:val="clear" w:color="auto" w:fill="auto"/>
            <w:vAlign w:val="center"/>
          </w:tcPr>
          <w:p w14:paraId="2FA341E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10.37</w:t>
            </w:r>
          </w:p>
        </w:tc>
      </w:tr>
      <w:tr w:rsidR="008277FF" w:rsidRPr="00A3398F" w14:paraId="7E936DEC" w14:textId="77777777" w:rsidTr="00797DD2">
        <w:tc>
          <w:tcPr>
            <w:tcW w:w="851" w:type="dxa"/>
            <w:shd w:val="clear" w:color="auto" w:fill="auto"/>
            <w:vAlign w:val="center"/>
          </w:tcPr>
          <w:p w14:paraId="5913C0FD"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65DF7DAE"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49E558E6"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4,048,228.67</w:t>
            </w:r>
          </w:p>
        </w:tc>
        <w:tc>
          <w:tcPr>
            <w:tcW w:w="1559" w:type="dxa"/>
            <w:shd w:val="clear" w:color="auto" w:fill="auto"/>
            <w:vAlign w:val="center"/>
          </w:tcPr>
          <w:p w14:paraId="7E903D7A"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1.92</w:t>
            </w:r>
          </w:p>
        </w:tc>
      </w:tr>
      <w:tr w:rsidR="008277FF" w:rsidRPr="00A3398F" w14:paraId="67557C03" w14:textId="77777777" w:rsidTr="00797DD2">
        <w:tc>
          <w:tcPr>
            <w:tcW w:w="851" w:type="dxa"/>
            <w:shd w:val="clear" w:color="auto" w:fill="auto"/>
            <w:vAlign w:val="center"/>
          </w:tcPr>
          <w:p w14:paraId="78ECF9A2"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3631A248"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292B6353"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211,059,777.20</w:t>
            </w:r>
          </w:p>
        </w:tc>
        <w:tc>
          <w:tcPr>
            <w:tcW w:w="1559" w:type="dxa"/>
            <w:shd w:val="clear" w:color="auto" w:fill="auto"/>
            <w:vAlign w:val="center"/>
          </w:tcPr>
          <w:p w14:paraId="008E1F5A"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55836165"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2C3C50FC"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14:paraId="484C514D" w14:textId="77777777" w:rsidTr="002C042C">
        <w:trPr>
          <w:jc w:val="center"/>
        </w:trPr>
        <w:tc>
          <w:tcPr>
            <w:tcW w:w="2410" w:type="dxa"/>
            <w:vAlign w:val="center"/>
          </w:tcPr>
          <w:p w14:paraId="20FB9F9A"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14:paraId="7026986E"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14:paraId="13B2AABA"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173DA9" w14:paraId="58F3810B" w14:textId="77777777">
        <w:trPr>
          <w:jc w:val="center"/>
        </w:trPr>
        <w:tc>
          <w:tcPr>
            <w:tcW w:w="2410" w:type="dxa"/>
            <w:vAlign w:val="center"/>
          </w:tcPr>
          <w:p w14:paraId="32D7C580" w14:textId="77777777" w:rsidR="00173DA9" w:rsidRDefault="00A74F93">
            <w:pPr>
              <w:jc w:val="left"/>
            </w:pPr>
            <w:r>
              <w:rPr>
                <w:rFonts w:eastAsiaTheme="minorEastAsia"/>
                <w:color w:val="000000" w:themeColor="text1"/>
                <w:szCs w:val="21"/>
              </w:rPr>
              <w:t>英国</w:t>
            </w:r>
          </w:p>
        </w:tc>
        <w:tc>
          <w:tcPr>
            <w:tcW w:w="3118" w:type="dxa"/>
            <w:vAlign w:val="center"/>
          </w:tcPr>
          <w:p w14:paraId="1AC080C4" w14:textId="77777777" w:rsidR="00173DA9" w:rsidRDefault="00A74F93">
            <w:pPr>
              <w:jc w:val="right"/>
            </w:pPr>
            <w:r>
              <w:rPr>
                <w:rFonts w:eastAsiaTheme="minorEastAsia"/>
                <w:color w:val="000000" w:themeColor="text1"/>
                <w:szCs w:val="21"/>
              </w:rPr>
              <w:t>55,753,570.14</w:t>
            </w:r>
          </w:p>
        </w:tc>
        <w:tc>
          <w:tcPr>
            <w:tcW w:w="3076" w:type="dxa"/>
            <w:vAlign w:val="center"/>
          </w:tcPr>
          <w:p w14:paraId="66189AB2" w14:textId="77777777" w:rsidR="00173DA9" w:rsidRDefault="00A74F93">
            <w:pPr>
              <w:jc w:val="right"/>
            </w:pPr>
            <w:r>
              <w:rPr>
                <w:rFonts w:eastAsiaTheme="minorEastAsia"/>
                <w:color w:val="000000" w:themeColor="text1"/>
                <w:szCs w:val="21"/>
              </w:rPr>
              <w:t>26.92</w:t>
            </w:r>
          </w:p>
        </w:tc>
      </w:tr>
      <w:tr w:rsidR="00173DA9" w14:paraId="10D57F3C" w14:textId="77777777">
        <w:trPr>
          <w:jc w:val="center"/>
        </w:trPr>
        <w:tc>
          <w:tcPr>
            <w:tcW w:w="2410" w:type="dxa"/>
            <w:vAlign w:val="center"/>
          </w:tcPr>
          <w:p w14:paraId="10AA6FCC" w14:textId="77777777" w:rsidR="00173DA9" w:rsidRDefault="00A74F93">
            <w:pPr>
              <w:jc w:val="left"/>
            </w:pPr>
            <w:r>
              <w:rPr>
                <w:rFonts w:eastAsiaTheme="minorEastAsia"/>
                <w:color w:val="000000" w:themeColor="text1"/>
                <w:szCs w:val="21"/>
              </w:rPr>
              <w:t>德国</w:t>
            </w:r>
          </w:p>
        </w:tc>
        <w:tc>
          <w:tcPr>
            <w:tcW w:w="3118" w:type="dxa"/>
            <w:vAlign w:val="center"/>
          </w:tcPr>
          <w:p w14:paraId="758F8EB1" w14:textId="77777777" w:rsidR="00173DA9" w:rsidRDefault="00A74F93">
            <w:pPr>
              <w:jc w:val="right"/>
            </w:pPr>
            <w:r>
              <w:rPr>
                <w:rFonts w:eastAsiaTheme="minorEastAsia"/>
                <w:color w:val="000000" w:themeColor="text1"/>
                <w:szCs w:val="21"/>
              </w:rPr>
              <w:t>30,877,651.03</w:t>
            </w:r>
          </w:p>
        </w:tc>
        <w:tc>
          <w:tcPr>
            <w:tcW w:w="3076" w:type="dxa"/>
            <w:vAlign w:val="center"/>
          </w:tcPr>
          <w:p w14:paraId="1F62153D" w14:textId="77777777" w:rsidR="00173DA9" w:rsidRDefault="00A74F93">
            <w:pPr>
              <w:jc w:val="right"/>
            </w:pPr>
            <w:r>
              <w:rPr>
                <w:rFonts w:eastAsiaTheme="minorEastAsia"/>
                <w:color w:val="000000" w:themeColor="text1"/>
                <w:szCs w:val="21"/>
              </w:rPr>
              <w:t>14.91</w:t>
            </w:r>
          </w:p>
        </w:tc>
      </w:tr>
      <w:tr w:rsidR="00173DA9" w14:paraId="374F693F" w14:textId="77777777">
        <w:trPr>
          <w:jc w:val="center"/>
        </w:trPr>
        <w:tc>
          <w:tcPr>
            <w:tcW w:w="2410" w:type="dxa"/>
            <w:vAlign w:val="center"/>
          </w:tcPr>
          <w:p w14:paraId="697ECB81" w14:textId="77777777" w:rsidR="00173DA9" w:rsidRDefault="00A74F93">
            <w:pPr>
              <w:jc w:val="left"/>
            </w:pPr>
            <w:r>
              <w:rPr>
                <w:rFonts w:eastAsiaTheme="minorEastAsia"/>
                <w:color w:val="000000" w:themeColor="text1"/>
                <w:szCs w:val="21"/>
              </w:rPr>
              <w:t>法国</w:t>
            </w:r>
          </w:p>
        </w:tc>
        <w:tc>
          <w:tcPr>
            <w:tcW w:w="3118" w:type="dxa"/>
            <w:vAlign w:val="center"/>
          </w:tcPr>
          <w:p w14:paraId="4052023C" w14:textId="77777777" w:rsidR="00173DA9" w:rsidRDefault="00A74F93">
            <w:pPr>
              <w:jc w:val="right"/>
            </w:pPr>
            <w:r>
              <w:rPr>
                <w:rFonts w:eastAsiaTheme="minorEastAsia"/>
                <w:color w:val="000000" w:themeColor="text1"/>
                <w:szCs w:val="21"/>
              </w:rPr>
              <w:t>28,946,920.23</w:t>
            </w:r>
          </w:p>
        </w:tc>
        <w:tc>
          <w:tcPr>
            <w:tcW w:w="3076" w:type="dxa"/>
            <w:vAlign w:val="center"/>
          </w:tcPr>
          <w:p w14:paraId="252C80A1" w14:textId="77777777" w:rsidR="00173DA9" w:rsidRDefault="00A74F93">
            <w:pPr>
              <w:jc w:val="right"/>
            </w:pPr>
            <w:r>
              <w:rPr>
                <w:rFonts w:eastAsiaTheme="minorEastAsia"/>
                <w:color w:val="000000" w:themeColor="text1"/>
                <w:szCs w:val="21"/>
              </w:rPr>
              <w:t>13.97</w:t>
            </w:r>
          </w:p>
        </w:tc>
      </w:tr>
      <w:tr w:rsidR="00173DA9" w14:paraId="2FB20904" w14:textId="77777777">
        <w:trPr>
          <w:jc w:val="center"/>
        </w:trPr>
        <w:tc>
          <w:tcPr>
            <w:tcW w:w="2410" w:type="dxa"/>
            <w:vAlign w:val="center"/>
          </w:tcPr>
          <w:p w14:paraId="7C8557AC" w14:textId="77777777" w:rsidR="00173DA9" w:rsidRDefault="00A74F93">
            <w:pPr>
              <w:jc w:val="left"/>
            </w:pPr>
            <w:r>
              <w:rPr>
                <w:rFonts w:eastAsiaTheme="minorEastAsia"/>
                <w:color w:val="000000" w:themeColor="text1"/>
                <w:szCs w:val="21"/>
              </w:rPr>
              <w:t>瑞士</w:t>
            </w:r>
          </w:p>
        </w:tc>
        <w:tc>
          <w:tcPr>
            <w:tcW w:w="3118" w:type="dxa"/>
            <w:vAlign w:val="center"/>
          </w:tcPr>
          <w:p w14:paraId="22814DC2" w14:textId="77777777" w:rsidR="00173DA9" w:rsidRDefault="00A74F93">
            <w:pPr>
              <w:jc w:val="right"/>
            </w:pPr>
            <w:r>
              <w:rPr>
                <w:rFonts w:eastAsiaTheme="minorEastAsia"/>
                <w:color w:val="000000" w:themeColor="text1"/>
                <w:szCs w:val="21"/>
              </w:rPr>
              <w:t>19,881,424.46</w:t>
            </w:r>
          </w:p>
        </w:tc>
        <w:tc>
          <w:tcPr>
            <w:tcW w:w="3076" w:type="dxa"/>
            <w:vAlign w:val="center"/>
          </w:tcPr>
          <w:p w14:paraId="5590D115" w14:textId="77777777" w:rsidR="00173DA9" w:rsidRDefault="00A74F93">
            <w:pPr>
              <w:jc w:val="right"/>
            </w:pPr>
            <w:r>
              <w:rPr>
                <w:rFonts w:eastAsiaTheme="minorEastAsia"/>
                <w:color w:val="000000" w:themeColor="text1"/>
                <w:szCs w:val="21"/>
              </w:rPr>
              <w:t>9.60</w:t>
            </w:r>
          </w:p>
        </w:tc>
      </w:tr>
      <w:tr w:rsidR="00173DA9" w14:paraId="0F1B2C42" w14:textId="77777777">
        <w:trPr>
          <w:jc w:val="center"/>
        </w:trPr>
        <w:tc>
          <w:tcPr>
            <w:tcW w:w="2410" w:type="dxa"/>
            <w:vAlign w:val="center"/>
          </w:tcPr>
          <w:p w14:paraId="5C10B7FE" w14:textId="77777777" w:rsidR="00173DA9" w:rsidRDefault="00A74F93">
            <w:pPr>
              <w:jc w:val="left"/>
            </w:pPr>
            <w:r>
              <w:rPr>
                <w:rFonts w:eastAsiaTheme="minorEastAsia"/>
                <w:color w:val="000000" w:themeColor="text1"/>
                <w:szCs w:val="21"/>
              </w:rPr>
              <w:t>荷兰</w:t>
            </w:r>
          </w:p>
        </w:tc>
        <w:tc>
          <w:tcPr>
            <w:tcW w:w="3118" w:type="dxa"/>
            <w:vAlign w:val="center"/>
          </w:tcPr>
          <w:p w14:paraId="086F6770" w14:textId="77777777" w:rsidR="00173DA9" w:rsidRDefault="00A74F93">
            <w:pPr>
              <w:jc w:val="right"/>
            </w:pPr>
            <w:r>
              <w:rPr>
                <w:rFonts w:eastAsiaTheme="minorEastAsia"/>
                <w:color w:val="000000" w:themeColor="text1"/>
                <w:szCs w:val="21"/>
              </w:rPr>
              <w:t>14,025,785.42</w:t>
            </w:r>
          </w:p>
        </w:tc>
        <w:tc>
          <w:tcPr>
            <w:tcW w:w="3076" w:type="dxa"/>
            <w:vAlign w:val="center"/>
          </w:tcPr>
          <w:p w14:paraId="34DFF733" w14:textId="77777777" w:rsidR="00173DA9" w:rsidRDefault="00A74F93">
            <w:pPr>
              <w:jc w:val="right"/>
            </w:pPr>
            <w:r>
              <w:rPr>
                <w:rFonts w:eastAsiaTheme="minorEastAsia"/>
                <w:color w:val="000000" w:themeColor="text1"/>
                <w:szCs w:val="21"/>
              </w:rPr>
              <w:t>6.77</w:t>
            </w:r>
          </w:p>
        </w:tc>
      </w:tr>
      <w:tr w:rsidR="00173DA9" w14:paraId="0C6FBCDF" w14:textId="77777777">
        <w:trPr>
          <w:jc w:val="center"/>
        </w:trPr>
        <w:tc>
          <w:tcPr>
            <w:tcW w:w="2410" w:type="dxa"/>
            <w:vAlign w:val="center"/>
          </w:tcPr>
          <w:p w14:paraId="207D9374" w14:textId="77777777" w:rsidR="00173DA9" w:rsidRDefault="00A74F93">
            <w:pPr>
              <w:jc w:val="left"/>
            </w:pPr>
            <w:r>
              <w:rPr>
                <w:rFonts w:eastAsiaTheme="minorEastAsia"/>
                <w:color w:val="000000" w:themeColor="text1"/>
                <w:szCs w:val="21"/>
              </w:rPr>
              <w:t>意大利</w:t>
            </w:r>
          </w:p>
        </w:tc>
        <w:tc>
          <w:tcPr>
            <w:tcW w:w="3118" w:type="dxa"/>
            <w:vAlign w:val="center"/>
          </w:tcPr>
          <w:p w14:paraId="0C8E9AD1" w14:textId="77777777" w:rsidR="00173DA9" w:rsidRDefault="00A74F93">
            <w:pPr>
              <w:jc w:val="right"/>
            </w:pPr>
            <w:r>
              <w:rPr>
                <w:rFonts w:eastAsiaTheme="minorEastAsia"/>
                <w:color w:val="000000" w:themeColor="text1"/>
                <w:szCs w:val="21"/>
              </w:rPr>
              <w:t>11,557,852.66</w:t>
            </w:r>
          </w:p>
        </w:tc>
        <w:tc>
          <w:tcPr>
            <w:tcW w:w="3076" w:type="dxa"/>
            <w:vAlign w:val="center"/>
          </w:tcPr>
          <w:p w14:paraId="55D5F6F3" w14:textId="77777777" w:rsidR="00173DA9" w:rsidRDefault="00A74F93">
            <w:pPr>
              <w:jc w:val="right"/>
            </w:pPr>
            <w:r>
              <w:rPr>
                <w:rFonts w:eastAsiaTheme="minorEastAsia"/>
                <w:color w:val="000000" w:themeColor="text1"/>
                <w:szCs w:val="21"/>
              </w:rPr>
              <w:t>5.58</w:t>
            </w:r>
          </w:p>
        </w:tc>
      </w:tr>
      <w:tr w:rsidR="00173DA9" w14:paraId="12BE11ED" w14:textId="77777777">
        <w:trPr>
          <w:jc w:val="center"/>
        </w:trPr>
        <w:tc>
          <w:tcPr>
            <w:tcW w:w="2410" w:type="dxa"/>
            <w:vAlign w:val="center"/>
          </w:tcPr>
          <w:p w14:paraId="35AD5C67" w14:textId="77777777" w:rsidR="00173DA9" w:rsidRDefault="00A74F93">
            <w:pPr>
              <w:jc w:val="left"/>
            </w:pPr>
            <w:r>
              <w:rPr>
                <w:rFonts w:eastAsiaTheme="minorEastAsia"/>
                <w:color w:val="000000" w:themeColor="text1"/>
                <w:szCs w:val="21"/>
              </w:rPr>
              <w:t>美国</w:t>
            </w:r>
          </w:p>
        </w:tc>
        <w:tc>
          <w:tcPr>
            <w:tcW w:w="3118" w:type="dxa"/>
            <w:vAlign w:val="center"/>
          </w:tcPr>
          <w:p w14:paraId="56BEA765" w14:textId="77777777" w:rsidR="00173DA9" w:rsidRDefault="00A74F93">
            <w:pPr>
              <w:jc w:val="right"/>
            </w:pPr>
            <w:r>
              <w:rPr>
                <w:rFonts w:eastAsiaTheme="minorEastAsia"/>
                <w:color w:val="000000" w:themeColor="text1"/>
                <w:szCs w:val="21"/>
              </w:rPr>
              <w:t>6,963,940.35</w:t>
            </w:r>
          </w:p>
        </w:tc>
        <w:tc>
          <w:tcPr>
            <w:tcW w:w="3076" w:type="dxa"/>
            <w:vAlign w:val="center"/>
          </w:tcPr>
          <w:p w14:paraId="6B28AE92" w14:textId="77777777" w:rsidR="00173DA9" w:rsidRDefault="00A74F93">
            <w:pPr>
              <w:jc w:val="right"/>
            </w:pPr>
            <w:r>
              <w:rPr>
                <w:rFonts w:eastAsiaTheme="minorEastAsia"/>
                <w:color w:val="000000" w:themeColor="text1"/>
                <w:szCs w:val="21"/>
              </w:rPr>
              <w:t>3.36</w:t>
            </w:r>
          </w:p>
        </w:tc>
      </w:tr>
      <w:tr w:rsidR="00173DA9" w14:paraId="69037F1D" w14:textId="77777777">
        <w:trPr>
          <w:jc w:val="center"/>
        </w:trPr>
        <w:tc>
          <w:tcPr>
            <w:tcW w:w="2410" w:type="dxa"/>
            <w:vAlign w:val="center"/>
          </w:tcPr>
          <w:p w14:paraId="20C26061" w14:textId="77777777" w:rsidR="00173DA9" w:rsidRDefault="00A74F93">
            <w:pPr>
              <w:jc w:val="left"/>
            </w:pPr>
            <w:r>
              <w:rPr>
                <w:rFonts w:eastAsiaTheme="minorEastAsia"/>
                <w:color w:val="000000" w:themeColor="text1"/>
                <w:szCs w:val="21"/>
              </w:rPr>
              <w:t>西班牙</w:t>
            </w:r>
          </w:p>
        </w:tc>
        <w:tc>
          <w:tcPr>
            <w:tcW w:w="3118" w:type="dxa"/>
            <w:vAlign w:val="center"/>
          </w:tcPr>
          <w:p w14:paraId="5BF83451" w14:textId="77777777" w:rsidR="00173DA9" w:rsidRDefault="00A74F93">
            <w:pPr>
              <w:jc w:val="right"/>
            </w:pPr>
            <w:r>
              <w:rPr>
                <w:rFonts w:eastAsiaTheme="minorEastAsia"/>
                <w:color w:val="000000" w:themeColor="text1"/>
                <w:szCs w:val="21"/>
              </w:rPr>
              <w:t>6,711,976.02</w:t>
            </w:r>
          </w:p>
        </w:tc>
        <w:tc>
          <w:tcPr>
            <w:tcW w:w="3076" w:type="dxa"/>
            <w:vAlign w:val="center"/>
          </w:tcPr>
          <w:p w14:paraId="5BFBE16A" w14:textId="77777777" w:rsidR="00173DA9" w:rsidRDefault="00A74F93">
            <w:pPr>
              <w:jc w:val="right"/>
            </w:pPr>
            <w:r>
              <w:rPr>
                <w:rFonts w:eastAsiaTheme="minorEastAsia"/>
                <w:color w:val="000000" w:themeColor="text1"/>
                <w:szCs w:val="21"/>
              </w:rPr>
              <w:t>3.24</w:t>
            </w:r>
          </w:p>
        </w:tc>
      </w:tr>
      <w:tr w:rsidR="00173DA9" w14:paraId="6FFDF6C5" w14:textId="77777777">
        <w:trPr>
          <w:jc w:val="center"/>
        </w:trPr>
        <w:tc>
          <w:tcPr>
            <w:tcW w:w="2410" w:type="dxa"/>
            <w:vAlign w:val="center"/>
          </w:tcPr>
          <w:p w14:paraId="4630730C" w14:textId="77777777" w:rsidR="00173DA9" w:rsidRDefault="00A74F93">
            <w:pPr>
              <w:jc w:val="left"/>
            </w:pPr>
            <w:r>
              <w:rPr>
                <w:rFonts w:eastAsiaTheme="minorEastAsia"/>
                <w:color w:val="000000" w:themeColor="text1"/>
                <w:szCs w:val="21"/>
              </w:rPr>
              <w:t>爱尔兰</w:t>
            </w:r>
          </w:p>
        </w:tc>
        <w:tc>
          <w:tcPr>
            <w:tcW w:w="3118" w:type="dxa"/>
            <w:vAlign w:val="center"/>
          </w:tcPr>
          <w:p w14:paraId="4BBA6255" w14:textId="77777777" w:rsidR="00173DA9" w:rsidRDefault="00A74F93">
            <w:pPr>
              <w:jc w:val="right"/>
            </w:pPr>
            <w:r>
              <w:rPr>
                <w:rFonts w:eastAsiaTheme="minorEastAsia"/>
                <w:color w:val="000000" w:themeColor="text1"/>
                <w:szCs w:val="21"/>
              </w:rPr>
              <w:t>4,619,751.49</w:t>
            </w:r>
          </w:p>
        </w:tc>
        <w:tc>
          <w:tcPr>
            <w:tcW w:w="3076" w:type="dxa"/>
            <w:vAlign w:val="center"/>
          </w:tcPr>
          <w:p w14:paraId="485B41F4" w14:textId="77777777" w:rsidR="00173DA9" w:rsidRDefault="00A74F93">
            <w:pPr>
              <w:jc w:val="right"/>
            </w:pPr>
            <w:r>
              <w:rPr>
                <w:rFonts w:eastAsiaTheme="minorEastAsia"/>
                <w:color w:val="000000" w:themeColor="text1"/>
                <w:szCs w:val="21"/>
              </w:rPr>
              <w:t>2.23</w:t>
            </w:r>
          </w:p>
        </w:tc>
      </w:tr>
      <w:tr w:rsidR="00173DA9" w14:paraId="20C89598" w14:textId="77777777">
        <w:trPr>
          <w:jc w:val="center"/>
        </w:trPr>
        <w:tc>
          <w:tcPr>
            <w:tcW w:w="2410" w:type="dxa"/>
            <w:vAlign w:val="center"/>
          </w:tcPr>
          <w:p w14:paraId="7CF0C831" w14:textId="77777777" w:rsidR="00173DA9" w:rsidRDefault="00A74F93">
            <w:pPr>
              <w:jc w:val="left"/>
            </w:pPr>
            <w:r>
              <w:rPr>
                <w:rFonts w:eastAsiaTheme="minorEastAsia"/>
                <w:color w:val="000000" w:themeColor="text1"/>
                <w:szCs w:val="21"/>
              </w:rPr>
              <w:t>瑞典</w:t>
            </w:r>
          </w:p>
        </w:tc>
        <w:tc>
          <w:tcPr>
            <w:tcW w:w="3118" w:type="dxa"/>
            <w:vAlign w:val="center"/>
          </w:tcPr>
          <w:p w14:paraId="3C3CFDE8" w14:textId="77777777" w:rsidR="00173DA9" w:rsidRDefault="00A74F93">
            <w:pPr>
              <w:jc w:val="right"/>
            </w:pPr>
            <w:r>
              <w:rPr>
                <w:rFonts w:eastAsiaTheme="minorEastAsia"/>
                <w:color w:val="000000" w:themeColor="text1"/>
                <w:szCs w:val="21"/>
              </w:rPr>
              <w:t>2,804,296.15</w:t>
            </w:r>
          </w:p>
        </w:tc>
        <w:tc>
          <w:tcPr>
            <w:tcW w:w="3076" w:type="dxa"/>
            <w:vAlign w:val="center"/>
          </w:tcPr>
          <w:p w14:paraId="0AE57BBC" w14:textId="77777777" w:rsidR="00173DA9" w:rsidRDefault="00A74F93">
            <w:pPr>
              <w:jc w:val="right"/>
            </w:pPr>
            <w:r>
              <w:rPr>
                <w:rFonts w:eastAsiaTheme="minorEastAsia"/>
                <w:color w:val="000000" w:themeColor="text1"/>
                <w:szCs w:val="21"/>
              </w:rPr>
              <w:t>1.35</w:t>
            </w:r>
          </w:p>
        </w:tc>
      </w:tr>
      <w:tr w:rsidR="00173DA9" w14:paraId="3C6F16ED" w14:textId="77777777">
        <w:trPr>
          <w:jc w:val="center"/>
        </w:trPr>
        <w:tc>
          <w:tcPr>
            <w:tcW w:w="2410" w:type="dxa"/>
            <w:vAlign w:val="center"/>
          </w:tcPr>
          <w:p w14:paraId="4A1FA7D5" w14:textId="77777777" w:rsidR="00173DA9" w:rsidRDefault="00A74F93">
            <w:pPr>
              <w:jc w:val="left"/>
            </w:pPr>
            <w:r>
              <w:rPr>
                <w:rFonts w:eastAsiaTheme="minorEastAsia"/>
                <w:color w:val="000000" w:themeColor="text1"/>
                <w:szCs w:val="21"/>
              </w:rPr>
              <w:t>奥地利</w:t>
            </w:r>
          </w:p>
        </w:tc>
        <w:tc>
          <w:tcPr>
            <w:tcW w:w="3118" w:type="dxa"/>
            <w:vAlign w:val="center"/>
          </w:tcPr>
          <w:p w14:paraId="3B767863" w14:textId="77777777" w:rsidR="00173DA9" w:rsidRDefault="00A74F93">
            <w:pPr>
              <w:jc w:val="right"/>
            </w:pPr>
            <w:r>
              <w:rPr>
                <w:rFonts w:eastAsiaTheme="minorEastAsia"/>
                <w:color w:val="000000" w:themeColor="text1"/>
                <w:szCs w:val="21"/>
              </w:rPr>
              <w:t>1,938,260.74</w:t>
            </w:r>
          </w:p>
        </w:tc>
        <w:tc>
          <w:tcPr>
            <w:tcW w:w="3076" w:type="dxa"/>
            <w:vAlign w:val="center"/>
          </w:tcPr>
          <w:p w14:paraId="4AF537EB" w14:textId="77777777" w:rsidR="00173DA9" w:rsidRDefault="00A74F93">
            <w:pPr>
              <w:jc w:val="right"/>
            </w:pPr>
            <w:r>
              <w:rPr>
                <w:rFonts w:eastAsiaTheme="minorEastAsia"/>
                <w:color w:val="000000" w:themeColor="text1"/>
                <w:szCs w:val="21"/>
              </w:rPr>
              <w:t>0.94</w:t>
            </w:r>
          </w:p>
        </w:tc>
      </w:tr>
      <w:tr w:rsidR="00173DA9" w14:paraId="0A7F4E8E" w14:textId="77777777">
        <w:trPr>
          <w:jc w:val="center"/>
        </w:trPr>
        <w:tc>
          <w:tcPr>
            <w:tcW w:w="2410" w:type="dxa"/>
            <w:vAlign w:val="center"/>
          </w:tcPr>
          <w:p w14:paraId="0CCF52CD" w14:textId="77777777" w:rsidR="00173DA9" w:rsidRDefault="00A74F93">
            <w:pPr>
              <w:jc w:val="left"/>
            </w:pPr>
            <w:r>
              <w:rPr>
                <w:rFonts w:eastAsiaTheme="minorEastAsia"/>
                <w:color w:val="000000" w:themeColor="text1"/>
                <w:szCs w:val="21"/>
              </w:rPr>
              <w:t>挪威</w:t>
            </w:r>
          </w:p>
        </w:tc>
        <w:tc>
          <w:tcPr>
            <w:tcW w:w="3118" w:type="dxa"/>
            <w:vAlign w:val="center"/>
          </w:tcPr>
          <w:p w14:paraId="08A827A4" w14:textId="77777777" w:rsidR="00173DA9" w:rsidRDefault="00A74F93">
            <w:pPr>
              <w:jc w:val="right"/>
            </w:pPr>
            <w:r>
              <w:rPr>
                <w:rFonts w:eastAsiaTheme="minorEastAsia"/>
                <w:color w:val="000000" w:themeColor="text1"/>
                <w:szCs w:val="21"/>
              </w:rPr>
              <w:t>1,049,014.24</w:t>
            </w:r>
          </w:p>
        </w:tc>
        <w:tc>
          <w:tcPr>
            <w:tcW w:w="3076" w:type="dxa"/>
            <w:vAlign w:val="center"/>
          </w:tcPr>
          <w:p w14:paraId="360575A7" w14:textId="77777777" w:rsidR="00173DA9" w:rsidRDefault="00A74F93">
            <w:pPr>
              <w:jc w:val="right"/>
            </w:pPr>
            <w:r>
              <w:rPr>
                <w:rFonts w:eastAsiaTheme="minorEastAsia"/>
                <w:color w:val="000000" w:themeColor="text1"/>
                <w:szCs w:val="21"/>
              </w:rPr>
              <w:t>0.51</w:t>
            </w:r>
          </w:p>
        </w:tc>
      </w:tr>
      <w:tr w:rsidR="008277FF" w:rsidRPr="00A3398F" w14:paraId="06D95F8E" w14:textId="77777777" w:rsidTr="00877D98">
        <w:trPr>
          <w:jc w:val="center"/>
        </w:trPr>
        <w:tc>
          <w:tcPr>
            <w:tcW w:w="2410" w:type="dxa"/>
            <w:vAlign w:val="center"/>
          </w:tcPr>
          <w:p w14:paraId="50F54A9E" w14:textId="77777777"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14:paraId="6D3C6F9B"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185,130,442.93</w:t>
            </w:r>
          </w:p>
        </w:tc>
        <w:tc>
          <w:tcPr>
            <w:tcW w:w="3076" w:type="dxa"/>
            <w:vAlign w:val="center"/>
          </w:tcPr>
          <w:p w14:paraId="42926FD7" w14:textId="75491996"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89.</w:t>
            </w:r>
            <w:r w:rsidR="00A74F93" w:rsidRPr="00A3398F">
              <w:rPr>
                <w:rFonts w:eastAsiaTheme="minorEastAsia"/>
                <w:color w:val="000000" w:themeColor="text1"/>
                <w:szCs w:val="21"/>
              </w:rPr>
              <w:t>3</w:t>
            </w:r>
            <w:r w:rsidR="00A74F93">
              <w:rPr>
                <w:rFonts w:eastAsiaTheme="minorEastAsia"/>
                <w:color w:val="000000" w:themeColor="text1"/>
                <w:szCs w:val="21"/>
              </w:rPr>
              <w:t>7</w:t>
            </w:r>
          </w:p>
        </w:tc>
      </w:tr>
    </w:tbl>
    <w:p w14:paraId="5C3372E5" w14:textId="77777777"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14:paraId="3CCBB0C1"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D48B5BA"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14:paraId="0CC9EAB0" w14:textId="77777777" w:rsidTr="008B2EAD">
        <w:tc>
          <w:tcPr>
            <w:tcW w:w="2787" w:type="dxa"/>
            <w:vAlign w:val="center"/>
          </w:tcPr>
          <w:p w14:paraId="197083B4"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14:paraId="0C794FDC"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14:paraId="24F958A1"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173DA9" w14:paraId="021D21CB" w14:textId="77777777">
        <w:tc>
          <w:tcPr>
            <w:tcW w:w="2787" w:type="dxa"/>
            <w:vAlign w:val="center"/>
          </w:tcPr>
          <w:p w14:paraId="393D1F61" w14:textId="77777777" w:rsidR="00173DA9" w:rsidRDefault="00A74F93">
            <w:pPr>
              <w:jc w:val="left"/>
            </w:pPr>
            <w:r>
              <w:rPr>
                <w:rFonts w:eastAsiaTheme="minorEastAsia"/>
                <w:color w:val="000000" w:themeColor="text1"/>
                <w:szCs w:val="21"/>
              </w:rPr>
              <w:lastRenderedPageBreak/>
              <w:t>金融</w:t>
            </w:r>
          </w:p>
        </w:tc>
        <w:tc>
          <w:tcPr>
            <w:tcW w:w="2551" w:type="dxa"/>
            <w:vAlign w:val="center"/>
          </w:tcPr>
          <w:p w14:paraId="78E9A3FA" w14:textId="77777777" w:rsidR="00173DA9" w:rsidRDefault="00A74F93">
            <w:pPr>
              <w:jc w:val="right"/>
            </w:pPr>
            <w:r>
              <w:rPr>
                <w:rFonts w:eastAsiaTheme="minorEastAsia"/>
                <w:color w:val="000000" w:themeColor="text1"/>
                <w:szCs w:val="21"/>
              </w:rPr>
              <w:t>49,653,277.07</w:t>
            </w:r>
          </w:p>
        </w:tc>
        <w:tc>
          <w:tcPr>
            <w:tcW w:w="3175" w:type="dxa"/>
            <w:vAlign w:val="center"/>
          </w:tcPr>
          <w:p w14:paraId="3644A28F" w14:textId="77777777" w:rsidR="00173DA9" w:rsidRDefault="00A74F93">
            <w:pPr>
              <w:jc w:val="right"/>
            </w:pPr>
            <w:r>
              <w:rPr>
                <w:rFonts w:eastAsiaTheme="minorEastAsia"/>
                <w:color w:val="000000" w:themeColor="text1"/>
                <w:szCs w:val="21"/>
              </w:rPr>
              <w:t>23.97</w:t>
            </w:r>
          </w:p>
        </w:tc>
      </w:tr>
      <w:tr w:rsidR="00173DA9" w14:paraId="2467A2E9" w14:textId="77777777">
        <w:tc>
          <w:tcPr>
            <w:tcW w:w="2787" w:type="dxa"/>
            <w:vAlign w:val="center"/>
          </w:tcPr>
          <w:p w14:paraId="32A6140E" w14:textId="77777777" w:rsidR="00173DA9" w:rsidRDefault="00A74F93">
            <w:pPr>
              <w:jc w:val="left"/>
            </w:pPr>
            <w:r>
              <w:rPr>
                <w:rFonts w:eastAsiaTheme="minorEastAsia"/>
                <w:color w:val="000000" w:themeColor="text1"/>
                <w:szCs w:val="21"/>
              </w:rPr>
              <w:t>工业</w:t>
            </w:r>
          </w:p>
        </w:tc>
        <w:tc>
          <w:tcPr>
            <w:tcW w:w="2551" w:type="dxa"/>
            <w:vAlign w:val="center"/>
          </w:tcPr>
          <w:p w14:paraId="285C367B" w14:textId="77777777" w:rsidR="00173DA9" w:rsidRDefault="00A74F93">
            <w:pPr>
              <w:jc w:val="right"/>
            </w:pPr>
            <w:r>
              <w:rPr>
                <w:rFonts w:eastAsiaTheme="minorEastAsia"/>
                <w:color w:val="000000" w:themeColor="text1"/>
                <w:szCs w:val="21"/>
              </w:rPr>
              <w:t>29,643,972.12</w:t>
            </w:r>
          </w:p>
        </w:tc>
        <w:tc>
          <w:tcPr>
            <w:tcW w:w="3175" w:type="dxa"/>
            <w:vAlign w:val="center"/>
          </w:tcPr>
          <w:p w14:paraId="74A2CB8C" w14:textId="77777777" w:rsidR="00173DA9" w:rsidRDefault="00A74F93">
            <w:pPr>
              <w:jc w:val="right"/>
            </w:pPr>
            <w:r>
              <w:rPr>
                <w:rFonts w:eastAsiaTheme="minorEastAsia"/>
                <w:color w:val="000000" w:themeColor="text1"/>
                <w:szCs w:val="21"/>
              </w:rPr>
              <w:t>14.31</w:t>
            </w:r>
          </w:p>
        </w:tc>
      </w:tr>
      <w:tr w:rsidR="00173DA9" w14:paraId="65545125" w14:textId="77777777">
        <w:tc>
          <w:tcPr>
            <w:tcW w:w="2787" w:type="dxa"/>
            <w:vAlign w:val="center"/>
          </w:tcPr>
          <w:p w14:paraId="36E19199" w14:textId="77777777" w:rsidR="00173DA9" w:rsidRDefault="00A74F93">
            <w:pPr>
              <w:jc w:val="left"/>
            </w:pPr>
            <w:r>
              <w:rPr>
                <w:rFonts w:eastAsiaTheme="minorEastAsia"/>
                <w:color w:val="000000" w:themeColor="text1"/>
                <w:szCs w:val="21"/>
              </w:rPr>
              <w:t>医疗保健</w:t>
            </w:r>
          </w:p>
        </w:tc>
        <w:tc>
          <w:tcPr>
            <w:tcW w:w="2551" w:type="dxa"/>
            <w:vAlign w:val="center"/>
          </w:tcPr>
          <w:p w14:paraId="069B62F7" w14:textId="77777777" w:rsidR="00173DA9" w:rsidRDefault="00A74F93">
            <w:pPr>
              <w:jc w:val="right"/>
            </w:pPr>
            <w:r>
              <w:rPr>
                <w:rFonts w:eastAsiaTheme="minorEastAsia"/>
                <w:color w:val="000000" w:themeColor="text1"/>
                <w:szCs w:val="21"/>
              </w:rPr>
              <w:t>19,098,419.00</w:t>
            </w:r>
          </w:p>
        </w:tc>
        <w:tc>
          <w:tcPr>
            <w:tcW w:w="3175" w:type="dxa"/>
            <w:vAlign w:val="center"/>
          </w:tcPr>
          <w:p w14:paraId="1230630B" w14:textId="77777777" w:rsidR="00173DA9" w:rsidRDefault="00A74F93">
            <w:pPr>
              <w:jc w:val="right"/>
            </w:pPr>
            <w:r>
              <w:rPr>
                <w:rFonts w:eastAsiaTheme="minorEastAsia"/>
                <w:color w:val="000000" w:themeColor="text1"/>
                <w:szCs w:val="21"/>
              </w:rPr>
              <w:t>9.22</w:t>
            </w:r>
          </w:p>
        </w:tc>
      </w:tr>
      <w:tr w:rsidR="00173DA9" w14:paraId="25D8029F" w14:textId="77777777">
        <w:tc>
          <w:tcPr>
            <w:tcW w:w="2787" w:type="dxa"/>
            <w:vAlign w:val="center"/>
          </w:tcPr>
          <w:p w14:paraId="6EB9E276" w14:textId="77777777" w:rsidR="00173DA9" w:rsidRDefault="00A74F93">
            <w:pPr>
              <w:jc w:val="left"/>
            </w:pPr>
            <w:r>
              <w:rPr>
                <w:rFonts w:eastAsiaTheme="minorEastAsia"/>
                <w:color w:val="000000" w:themeColor="text1"/>
                <w:szCs w:val="21"/>
              </w:rPr>
              <w:t>消费者非必需品</w:t>
            </w:r>
          </w:p>
        </w:tc>
        <w:tc>
          <w:tcPr>
            <w:tcW w:w="2551" w:type="dxa"/>
            <w:vAlign w:val="center"/>
          </w:tcPr>
          <w:p w14:paraId="6C31C9E4" w14:textId="77777777" w:rsidR="00173DA9" w:rsidRDefault="00A74F93">
            <w:pPr>
              <w:jc w:val="right"/>
            </w:pPr>
            <w:r>
              <w:rPr>
                <w:rFonts w:eastAsiaTheme="minorEastAsia"/>
                <w:color w:val="000000" w:themeColor="text1"/>
                <w:szCs w:val="21"/>
              </w:rPr>
              <w:t>18,869,639.87</w:t>
            </w:r>
          </w:p>
        </w:tc>
        <w:tc>
          <w:tcPr>
            <w:tcW w:w="3175" w:type="dxa"/>
            <w:vAlign w:val="center"/>
          </w:tcPr>
          <w:p w14:paraId="4D1B27F0" w14:textId="77777777" w:rsidR="00173DA9" w:rsidRDefault="00A74F93">
            <w:pPr>
              <w:jc w:val="right"/>
            </w:pPr>
            <w:r>
              <w:rPr>
                <w:rFonts w:eastAsiaTheme="minorEastAsia"/>
                <w:color w:val="000000" w:themeColor="text1"/>
                <w:szCs w:val="21"/>
              </w:rPr>
              <w:t>9.11</w:t>
            </w:r>
          </w:p>
        </w:tc>
      </w:tr>
      <w:tr w:rsidR="00173DA9" w14:paraId="5FBCC9C1" w14:textId="77777777">
        <w:tc>
          <w:tcPr>
            <w:tcW w:w="2787" w:type="dxa"/>
            <w:vAlign w:val="center"/>
          </w:tcPr>
          <w:p w14:paraId="6AE95ED5" w14:textId="77777777" w:rsidR="00173DA9" w:rsidRDefault="00A74F93">
            <w:pPr>
              <w:jc w:val="left"/>
            </w:pPr>
            <w:r>
              <w:rPr>
                <w:rFonts w:eastAsiaTheme="minorEastAsia"/>
                <w:color w:val="000000" w:themeColor="text1"/>
                <w:szCs w:val="21"/>
              </w:rPr>
              <w:t>消费者常用品</w:t>
            </w:r>
          </w:p>
        </w:tc>
        <w:tc>
          <w:tcPr>
            <w:tcW w:w="2551" w:type="dxa"/>
            <w:vAlign w:val="center"/>
          </w:tcPr>
          <w:p w14:paraId="15E7FFC0" w14:textId="77777777" w:rsidR="00173DA9" w:rsidRDefault="00A74F93">
            <w:pPr>
              <w:jc w:val="right"/>
            </w:pPr>
            <w:r>
              <w:rPr>
                <w:rFonts w:eastAsiaTheme="minorEastAsia"/>
                <w:color w:val="000000" w:themeColor="text1"/>
                <w:szCs w:val="21"/>
              </w:rPr>
              <w:t>16,032,816.38</w:t>
            </w:r>
          </w:p>
        </w:tc>
        <w:tc>
          <w:tcPr>
            <w:tcW w:w="3175" w:type="dxa"/>
            <w:vAlign w:val="center"/>
          </w:tcPr>
          <w:p w14:paraId="004B31A9" w14:textId="77777777" w:rsidR="00173DA9" w:rsidRDefault="00A74F93">
            <w:pPr>
              <w:jc w:val="right"/>
            </w:pPr>
            <w:r>
              <w:rPr>
                <w:rFonts w:eastAsiaTheme="minorEastAsia"/>
                <w:color w:val="000000" w:themeColor="text1"/>
                <w:szCs w:val="21"/>
              </w:rPr>
              <w:t>7.74</w:t>
            </w:r>
          </w:p>
        </w:tc>
      </w:tr>
      <w:tr w:rsidR="00173DA9" w14:paraId="4C19D8F3" w14:textId="77777777">
        <w:tc>
          <w:tcPr>
            <w:tcW w:w="2787" w:type="dxa"/>
            <w:vAlign w:val="center"/>
          </w:tcPr>
          <w:p w14:paraId="6894D524" w14:textId="77777777" w:rsidR="00173DA9" w:rsidRDefault="00A74F93">
            <w:pPr>
              <w:jc w:val="left"/>
            </w:pPr>
            <w:r>
              <w:rPr>
                <w:rFonts w:eastAsiaTheme="minorEastAsia"/>
                <w:color w:val="000000" w:themeColor="text1"/>
                <w:szCs w:val="21"/>
              </w:rPr>
              <w:t>电信服务</w:t>
            </w:r>
          </w:p>
        </w:tc>
        <w:tc>
          <w:tcPr>
            <w:tcW w:w="2551" w:type="dxa"/>
            <w:vAlign w:val="center"/>
          </w:tcPr>
          <w:p w14:paraId="30C1C11D" w14:textId="77777777" w:rsidR="00173DA9" w:rsidRDefault="00A74F93">
            <w:pPr>
              <w:jc w:val="right"/>
            </w:pPr>
            <w:r>
              <w:rPr>
                <w:rFonts w:eastAsiaTheme="minorEastAsia"/>
                <w:color w:val="000000" w:themeColor="text1"/>
                <w:szCs w:val="21"/>
              </w:rPr>
              <w:t>12,179,237.04</w:t>
            </w:r>
          </w:p>
        </w:tc>
        <w:tc>
          <w:tcPr>
            <w:tcW w:w="3175" w:type="dxa"/>
            <w:vAlign w:val="center"/>
          </w:tcPr>
          <w:p w14:paraId="141A32C1" w14:textId="77777777" w:rsidR="00173DA9" w:rsidRDefault="00A74F93">
            <w:pPr>
              <w:jc w:val="right"/>
            </w:pPr>
            <w:r>
              <w:rPr>
                <w:rFonts w:eastAsiaTheme="minorEastAsia"/>
                <w:color w:val="000000" w:themeColor="text1"/>
                <w:szCs w:val="21"/>
              </w:rPr>
              <w:t>5.88</w:t>
            </w:r>
          </w:p>
        </w:tc>
      </w:tr>
      <w:tr w:rsidR="00173DA9" w14:paraId="16AA1A9F" w14:textId="77777777">
        <w:tc>
          <w:tcPr>
            <w:tcW w:w="2787" w:type="dxa"/>
            <w:vAlign w:val="center"/>
          </w:tcPr>
          <w:p w14:paraId="16A4BD05" w14:textId="77777777" w:rsidR="00173DA9" w:rsidRDefault="00A74F93">
            <w:pPr>
              <w:jc w:val="left"/>
            </w:pPr>
            <w:r>
              <w:rPr>
                <w:rFonts w:eastAsiaTheme="minorEastAsia"/>
                <w:color w:val="000000" w:themeColor="text1"/>
                <w:szCs w:val="21"/>
              </w:rPr>
              <w:t>能源</w:t>
            </w:r>
          </w:p>
        </w:tc>
        <w:tc>
          <w:tcPr>
            <w:tcW w:w="2551" w:type="dxa"/>
            <w:vAlign w:val="center"/>
          </w:tcPr>
          <w:p w14:paraId="48F41B05" w14:textId="77777777" w:rsidR="00173DA9" w:rsidRDefault="00A74F93">
            <w:pPr>
              <w:jc w:val="right"/>
            </w:pPr>
            <w:r>
              <w:rPr>
                <w:rFonts w:eastAsiaTheme="minorEastAsia"/>
                <w:color w:val="000000" w:themeColor="text1"/>
                <w:szCs w:val="21"/>
              </w:rPr>
              <w:t>11,300,804.98</w:t>
            </w:r>
          </w:p>
        </w:tc>
        <w:tc>
          <w:tcPr>
            <w:tcW w:w="3175" w:type="dxa"/>
            <w:vAlign w:val="center"/>
          </w:tcPr>
          <w:p w14:paraId="57BD5D1E" w14:textId="77777777" w:rsidR="00173DA9" w:rsidRDefault="00A74F93">
            <w:pPr>
              <w:jc w:val="right"/>
            </w:pPr>
            <w:r>
              <w:rPr>
                <w:rFonts w:eastAsiaTheme="minorEastAsia"/>
                <w:color w:val="000000" w:themeColor="text1"/>
                <w:szCs w:val="21"/>
              </w:rPr>
              <w:t>5.46</w:t>
            </w:r>
          </w:p>
        </w:tc>
      </w:tr>
      <w:tr w:rsidR="00173DA9" w14:paraId="6D3CF8F1" w14:textId="77777777">
        <w:tc>
          <w:tcPr>
            <w:tcW w:w="2787" w:type="dxa"/>
            <w:vAlign w:val="center"/>
          </w:tcPr>
          <w:p w14:paraId="16CC0D9F" w14:textId="77777777" w:rsidR="00173DA9" w:rsidRDefault="00A74F93">
            <w:pPr>
              <w:jc w:val="left"/>
            </w:pPr>
            <w:r>
              <w:rPr>
                <w:rFonts w:eastAsiaTheme="minorEastAsia"/>
                <w:color w:val="000000" w:themeColor="text1"/>
                <w:szCs w:val="21"/>
              </w:rPr>
              <w:t>基础材料</w:t>
            </w:r>
          </w:p>
        </w:tc>
        <w:tc>
          <w:tcPr>
            <w:tcW w:w="2551" w:type="dxa"/>
            <w:vAlign w:val="center"/>
          </w:tcPr>
          <w:p w14:paraId="2D3347A8" w14:textId="77777777" w:rsidR="00173DA9" w:rsidRDefault="00A74F93">
            <w:pPr>
              <w:jc w:val="right"/>
            </w:pPr>
            <w:r>
              <w:rPr>
                <w:rFonts w:eastAsiaTheme="minorEastAsia"/>
                <w:color w:val="000000" w:themeColor="text1"/>
                <w:szCs w:val="21"/>
              </w:rPr>
              <w:t>9,338,371.48</w:t>
            </w:r>
          </w:p>
        </w:tc>
        <w:tc>
          <w:tcPr>
            <w:tcW w:w="3175" w:type="dxa"/>
            <w:vAlign w:val="center"/>
          </w:tcPr>
          <w:p w14:paraId="2350C908" w14:textId="77777777" w:rsidR="00173DA9" w:rsidRDefault="00A74F93">
            <w:pPr>
              <w:jc w:val="right"/>
            </w:pPr>
            <w:r>
              <w:rPr>
                <w:rFonts w:eastAsiaTheme="minorEastAsia"/>
                <w:color w:val="000000" w:themeColor="text1"/>
                <w:szCs w:val="21"/>
              </w:rPr>
              <w:t>4.51</w:t>
            </w:r>
          </w:p>
        </w:tc>
      </w:tr>
      <w:tr w:rsidR="00173DA9" w14:paraId="3D039763" w14:textId="77777777">
        <w:tc>
          <w:tcPr>
            <w:tcW w:w="2787" w:type="dxa"/>
            <w:vAlign w:val="center"/>
          </w:tcPr>
          <w:p w14:paraId="572728DD" w14:textId="77777777" w:rsidR="00173DA9" w:rsidRDefault="00A74F93">
            <w:pPr>
              <w:jc w:val="left"/>
            </w:pPr>
            <w:r>
              <w:rPr>
                <w:rFonts w:eastAsiaTheme="minorEastAsia"/>
                <w:color w:val="000000" w:themeColor="text1"/>
                <w:szCs w:val="21"/>
              </w:rPr>
              <w:t>信息技术</w:t>
            </w:r>
          </w:p>
        </w:tc>
        <w:tc>
          <w:tcPr>
            <w:tcW w:w="2551" w:type="dxa"/>
            <w:vAlign w:val="center"/>
          </w:tcPr>
          <w:p w14:paraId="1457951B" w14:textId="77777777" w:rsidR="00173DA9" w:rsidRDefault="00A74F93">
            <w:pPr>
              <w:jc w:val="right"/>
            </w:pPr>
            <w:r>
              <w:rPr>
                <w:rFonts w:eastAsiaTheme="minorEastAsia"/>
                <w:color w:val="000000" w:themeColor="text1"/>
                <w:szCs w:val="21"/>
              </w:rPr>
              <w:t>9,063,410.25</w:t>
            </w:r>
          </w:p>
        </w:tc>
        <w:tc>
          <w:tcPr>
            <w:tcW w:w="3175" w:type="dxa"/>
            <w:vAlign w:val="center"/>
          </w:tcPr>
          <w:p w14:paraId="7EFFF915" w14:textId="77777777" w:rsidR="00173DA9" w:rsidRDefault="00A74F93">
            <w:pPr>
              <w:jc w:val="right"/>
            </w:pPr>
            <w:r>
              <w:rPr>
                <w:rFonts w:eastAsiaTheme="minorEastAsia"/>
                <w:color w:val="000000" w:themeColor="text1"/>
                <w:szCs w:val="21"/>
              </w:rPr>
              <w:t>4.38</w:t>
            </w:r>
          </w:p>
        </w:tc>
      </w:tr>
      <w:tr w:rsidR="00173DA9" w14:paraId="731706D2" w14:textId="77777777">
        <w:tc>
          <w:tcPr>
            <w:tcW w:w="2787" w:type="dxa"/>
            <w:vAlign w:val="center"/>
          </w:tcPr>
          <w:p w14:paraId="4DD37513" w14:textId="77777777" w:rsidR="00173DA9" w:rsidRDefault="00A74F93">
            <w:pPr>
              <w:jc w:val="left"/>
            </w:pPr>
            <w:r>
              <w:rPr>
                <w:rFonts w:eastAsiaTheme="minorEastAsia"/>
                <w:color w:val="000000" w:themeColor="text1"/>
                <w:szCs w:val="21"/>
              </w:rPr>
              <w:t>公用事业</w:t>
            </w:r>
          </w:p>
        </w:tc>
        <w:tc>
          <w:tcPr>
            <w:tcW w:w="2551" w:type="dxa"/>
            <w:vAlign w:val="center"/>
          </w:tcPr>
          <w:p w14:paraId="443F3803" w14:textId="77777777" w:rsidR="00173DA9" w:rsidRDefault="00A74F93">
            <w:pPr>
              <w:jc w:val="right"/>
            </w:pPr>
            <w:r>
              <w:rPr>
                <w:rFonts w:eastAsiaTheme="minorEastAsia"/>
                <w:color w:val="000000" w:themeColor="text1"/>
                <w:szCs w:val="21"/>
              </w:rPr>
              <w:t>6,311,650.87</w:t>
            </w:r>
          </w:p>
        </w:tc>
        <w:tc>
          <w:tcPr>
            <w:tcW w:w="3175" w:type="dxa"/>
            <w:vAlign w:val="center"/>
          </w:tcPr>
          <w:p w14:paraId="4854AA53" w14:textId="77777777" w:rsidR="00173DA9" w:rsidRDefault="00A74F93">
            <w:pPr>
              <w:jc w:val="right"/>
            </w:pPr>
            <w:r>
              <w:rPr>
                <w:rFonts w:eastAsiaTheme="minorEastAsia"/>
                <w:color w:val="000000" w:themeColor="text1"/>
                <w:szCs w:val="21"/>
              </w:rPr>
              <w:t>3.05</w:t>
            </w:r>
          </w:p>
        </w:tc>
      </w:tr>
      <w:tr w:rsidR="00173DA9" w14:paraId="4FA4A87F" w14:textId="77777777">
        <w:tc>
          <w:tcPr>
            <w:tcW w:w="2787" w:type="dxa"/>
            <w:vAlign w:val="center"/>
          </w:tcPr>
          <w:p w14:paraId="556D89DE" w14:textId="77777777" w:rsidR="00173DA9" w:rsidRDefault="00A74F93">
            <w:pPr>
              <w:jc w:val="left"/>
            </w:pPr>
            <w:r>
              <w:rPr>
                <w:rFonts w:eastAsiaTheme="minorEastAsia"/>
                <w:color w:val="000000" w:themeColor="text1"/>
                <w:szCs w:val="21"/>
              </w:rPr>
              <w:t>房地产</w:t>
            </w:r>
          </w:p>
        </w:tc>
        <w:tc>
          <w:tcPr>
            <w:tcW w:w="2551" w:type="dxa"/>
            <w:vAlign w:val="center"/>
          </w:tcPr>
          <w:p w14:paraId="664EF2EC" w14:textId="77777777" w:rsidR="00173DA9" w:rsidRDefault="00A74F93">
            <w:pPr>
              <w:jc w:val="right"/>
            </w:pPr>
            <w:r>
              <w:rPr>
                <w:rFonts w:eastAsiaTheme="minorEastAsia"/>
                <w:color w:val="000000" w:themeColor="text1"/>
                <w:szCs w:val="21"/>
              </w:rPr>
              <w:t>3,638,843.87</w:t>
            </w:r>
          </w:p>
        </w:tc>
        <w:tc>
          <w:tcPr>
            <w:tcW w:w="3175" w:type="dxa"/>
            <w:vAlign w:val="center"/>
          </w:tcPr>
          <w:p w14:paraId="7DCA2970" w14:textId="77777777" w:rsidR="00173DA9" w:rsidRDefault="00A74F93">
            <w:pPr>
              <w:jc w:val="right"/>
            </w:pPr>
            <w:r>
              <w:rPr>
                <w:rFonts w:eastAsiaTheme="minorEastAsia"/>
                <w:color w:val="000000" w:themeColor="text1"/>
                <w:szCs w:val="21"/>
              </w:rPr>
              <w:t>1.76</w:t>
            </w:r>
          </w:p>
        </w:tc>
      </w:tr>
      <w:tr w:rsidR="008277FF" w:rsidRPr="00A3398F" w14:paraId="1C527F38" w14:textId="77777777" w:rsidTr="00877D98">
        <w:tc>
          <w:tcPr>
            <w:tcW w:w="2787" w:type="dxa"/>
            <w:vAlign w:val="center"/>
          </w:tcPr>
          <w:p w14:paraId="7AE0DEE2" w14:textId="77777777"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14:paraId="1FD380A2"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185,130,442.93</w:t>
            </w:r>
          </w:p>
        </w:tc>
        <w:tc>
          <w:tcPr>
            <w:tcW w:w="3175" w:type="dxa"/>
            <w:vAlign w:val="center"/>
          </w:tcPr>
          <w:p w14:paraId="0FFA9C7F"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89.37</w:t>
            </w:r>
          </w:p>
        </w:tc>
      </w:tr>
    </w:tbl>
    <w:p w14:paraId="23E73AF9"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14:paraId="78CE1BB3"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1609998A"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64"/>
        <w:gridCol w:w="2161"/>
        <w:gridCol w:w="744"/>
        <w:gridCol w:w="812"/>
        <w:gridCol w:w="548"/>
        <w:gridCol w:w="671"/>
        <w:gridCol w:w="915"/>
        <w:gridCol w:w="1319"/>
        <w:gridCol w:w="879"/>
      </w:tblGrid>
      <w:tr w:rsidR="00A3398F" w:rsidRPr="00A3398F" w14:paraId="55851CC2" w14:textId="77777777" w:rsidTr="001C7D5D">
        <w:tc>
          <w:tcPr>
            <w:tcW w:w="794" w:type="dxa"/>
            <w:vAlign w:val="center"/>
          </w:tcPr>
          <w:p w14:paraId="09541230"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14:paraId="794A60C0" w14:textId="77777777"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14:paraId="356E9120"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14:paraId="6DC23756"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14:paraId="4ED1DFB8"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14:paraId="64806AE3"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14:paraId="2D916686"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14:paraId="3E16F746"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14:paraId="1219150B"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14:paraId="67490DF3"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14:paraId="78A92400"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14:paraId="0BD71674"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173DA9" w14:paraId="2E1A3BE6" w14:textId="77777777">
        <w:tc>
          <w:tcPr>
            <w:tcW w:w="0" w:type="auto"/>
            <w:vAlign w:val="center"/>
          </w:tcPr>
          <w:p w14:paraId="6EAD164A" w14:textId="77777777" w:rsidR="00173DA9" w:rsidRDefault="00A74F93">
            <w:pPr>
              <w:jc w:val="center"/>
            </w:pPr>
            <w:r>
              <w:rPr>
                <w:rFonts w:eastAsiaTheme="minorEastAsia"/>
                <w:szCs w:val="21"/>
              </w:rPr>
              <w:t>1</w:t>
            </w:r>
          </w:p>
        </w:tc>
        <w:tc>
          <w:tcPr>
            <w:tcW w:w="0" w:type="auto"/>
            <w:vAlign w:val="center"/>
          </w:tcPr>
          <w:p w14:paraId="013D1098" w14:textId="77777777" w:rsidR="00173DA9" w:rsidRDefault="00A74F93">
            <w:pPr>
              <w:jc w:val="center"/>
            </w:pPr>
            <w:r>
              <w:rPr>
                <w:rFonts w:eastAsiaTheme="minorEastAsia"/>
                <w:szCs w:val="21"/>
              </w:rPr>
              <w:t>SAP SE</w:t>
            </w:r>
          </w:p>
        </w:tc>
        <w:tc>
          <w:tcPr>
            <w:tcW w:w="0" w:type="auto"/>
            <w:vAlign w:val="center"/>
          </w:tcPr>
          <w:p w14:paraId="1EB24680" w14:textId="77777777" w:rsidR="00173DA9" w:rsidRDefault="00A74F93">
            <w:pPr>
              <w:jc w:val="center"/>
            </w:pPr>
            <w:r>
              <w:rPr>
                <w:rFonts w:eastAsiaTheme="minorEastAsia"/>
                <w:szCs w:val="21"/>
              </w:rPr>
              <w:t>SAP</w:t>
            </w:r>
            <w:r>
              <w:rPr>
                <w:rFonts w:eastAsiaTheme="minorEastAsia"/>
                <w:szCs w:val="21"/>
              </w:rPr>
              <w:t>公司</w:t>
            </w:r>
          </w:p>
        </w:tc>
        <w:tc>
          <w:tcPr>
            <w:tcW w:w="0" w:type="auto"/>
            <w:vAlign w:val="center"/>
          </w:tcPr>
          <w:p w14:paraId="38476795" w14:textId="77777777" w:rsidR="00173DA9" w:rsidRDefault="00A74F93">
            <w:pPr>
              <w:jc w:val="center"/>
            </w:pPr>
            <w:r>
              <w:rPr>
                <w:rFonts w:eastAsiaTheme="minorEastAsia"/>
                <w:szCs w:val="21"/>
              </w:rPr>
              <w:t>SAP</w:t>
            </w:r>
          </w:p>
        </w:tc>
        <w:tc>
          <w:tcPr>
            <w:tcW w:w="0" w:type="auto"/>
            <w:vAlign w:val="center"/>
          </w:tcPr>
          <w:p w14:paraId="265D7E42" w14:textId="77777777" w:rsidR="00173DA9" w:rsidRDefault="00A74F93">
            <w:pPr>
              <w:jc w:val="center"/>
            </w:pPr>
            <w:r>
              <w:rPr>
                <w:rFonts w:eastAsiaTheme="minorEastAsia"/>
                <w:szCs w:val="21"/>
              </w:rPr>
              <w:t>法兰克福证券交易所</w:t>
            </w:r>
          </w:p>
        </w:tc>
        <w:tc>
          <w:tcPr>
            <w:tcW w:w="0" w:type="auto"/>
            <w:vAlign w:val="center"/>
          </w:tcPr>
          <w:p w14:paraId="6BC171E8" w14:textId="77777777" w:rsidR="00173DA9" w:rsidRDefault="00A74F93">
            <w:pPr>
              <w:jc w:val="center"/>
            </w:pPr>
            <w:r>
              <w:rPr>
                <w:rFonts w:eastAsiaTheme="minorEastAsia"/>
                <w:szCs w:val="21"/>
              </w:rPr>
              <w:t>德国</w:t>
            </w:r>
          </w:p>
        </w:tc>
        <w:tc>
          <w:tcPr>
            <w:tcW w:w="0" w:type="auto"/>
            <w:vAlign w:val="center"/>
          </w:tcPr>
          <w:p w14:paraId="773BB981" w14:textId="77777777" w:rsidR="00173DA9" w:rsidRDefault="00A74F93">
            <w:pPr>
              <w:jc w:val="right"/>
            </w:pPr>
            <w:r>
              <w:rPr>
                <w:rFonts w:eastAsiaTheme="minorEastAsia"/>
                <w:szCs w:val="21"/>
              </w:rPr>
              <w:t>3,746</w:t>
            </w:r>
          </w:p>
        </w:tc>
        <w:tc>
          <w:tcPr>
            <w:tcW w:w="0" w:type="auto"/>
            <w:vAlign w:val="center"/>
          </w:tcPr>
          <w:p w14:paraId="49487D2D" w14:textId="77777777" w:rsidR="00173DA9" w:rsidRDefault="00A74F93">
            <w:pPr>
              <w:jc w:val="right"/>
            </w:pPr>
            <w:r>
              <w:rPr>
                <w:rFonts w:eastAsiaTheme="minorEastAsia"/>
                <w:szCs w:val="21"/>
              </w:rPr>
              <w:t>6,661,597.62</w:t>
            </w:r>
          </w:p>
        </w:tc>
        <w:tc>
          <w:tcPr>
            <w:tcW w:w="0" w:type="auto"/>
            <w:vAlign w:val="center"/>
          </w:tcPr>
          <w:p w14:paraId="7CF7162A" w14:textId="77777777" w:rsidR="00173DA9" w:rsidRDefault="00A74F93">
            <w:pPr>
              <w:jc w:val="right"/>
            </w:pPr>
            <w:r>
              <w:rPr>
                <w:rFonts w:eastAsiaTheme="minorEastAsia"/>
                <w:szCs w:val="21"/>
              </w:rPr>
              <w:t>3.22</w:t>
            </w:r>
          </w:p>
        </w:tc>
      </w:tr>
      <w:tr w:rsidR="00173DA9" w14:paraId="41A01913" w14:textId="77777777">
        <w:tc>
          <w:tcPr>
            <w:tcW w:w="0" w:type="auto"/>
            <w:vAlign w:val="center"/>
          </w:tcPr>
          <w:p w14:paraId="3F78BD19" w14:textId="77777777" w:rsidR="00173DA9" w:rsidRDefault="00A74F93">
            <w:pPr>
              <w:jc w:val="center"/>
            </w:pPr>
            <w:r>
              <w:rPr>
                <w:rFonts w:eastAsiaTheme="minorEastAsia"/>
                <w:szCs w:val="21"/>
              </w:rPr>
              <w:t>2</w:t>
            </w:r>
          </w:p>
        </w:tc>
        <w:tc>
          <w:tcPr>
            <w:tcW w:w="0" w:type="auto"/>
            <w:vAlign w:val="center"/>
          </w:tcPr>
          <w:p w14:paraId="15FB3A0E" w14:textId="77777777" w:rsidR="00173DA9" w:rsidRDefault="00A74F93">
            <w:pPr>
              <w:jc w:val="center"/>
            </w:pPr>
            <w:r>
              <w:rPr>
                <w:rFonts w:eastAsiaTheme="minorEastAsia"/>
                <w:szCs w:val="21"/>
              </w:rPr>
              <w:t>SHELL PLC (UK)</w:t>
            </w:r>
          </w:p>
        </w:tc>
        <w:tc>
          <w:tcPr>
            <w:tcW w:w="0" w:type="auto"/>
            <w:vAlign w:val="center"/>
          </w:tcPr>
          <w:p w14:paraId="61EEF9FC" w14:textId="77777777" w:rsidR="00173DA9" w:rsidRDefault="00A74F93">
            <w:pPr>
              <w:jc w:val="center"/>
            </w:pPr>
            <w:r>
              <w:rPr>
                <w:rFonts w:eastAsiaTheme="minorEastAsia"/>
                <w:szCs w:val="21"/>
              </w:rPr>
              <w:t>壳牌公共有限公司</w:t>
            </w:r>
          </w:p>
        </w:tc>
        <w:tc>
          <w:tcPr>
            <w:tcW w:w="0" w:type="auto"/>
            <w:vAlign w:val="center"/>
          </w:tcPr>
          <w:p w14:paraId="27F91CA7" w14:textId="77777777" w:rsidR="00173DA9" w:rsidRDefault="00A74F93">
            <w:pPr>
              <w:jc w:val="center"/>
            </w:pPr>
            <w:r>
              <w:rPr>
                <w:rFonts w:eastAsiaTheme="minorEastAsia"/>
                <w:szCs w:val="21"/>
              </w:rPr>
              <w:t>SHEL</w:t>
            </w:r>
          </w:p>
        </w:tc>
        <w:tc>
          <w:tcPr>
            <w:tcW w:w="0" w:type="auto"/>
            <w:vAlign w:val="center"/>
          </w:tcPr>
          <w:p w14:paraId="1ACCFFEC" w14:textId="77777777" w:rsidR="00173DA9" w:rsidRDefault="00A74F93">
            <w:pPr>
              <w:jc w:val="center"/>
            </w:pPr>
            <w:r>
              <w:rPr>
                <w:rFonts w:eastAsiaTheme="minorEastAsia"/>
                <w:szCs w:val="21"/>
              </w:rPr>
              <w:t>英国伦敦交易所</w:t>
            </w:r>
          </w:p>
        </w:tc>
        <w:tc>
          <w:tcPr>
            <w:tcW w:w="0" w:type="auto"/>
            <w:vAlign w:val="center"/>
          </w:tcPr>
          <w:p w14:paraId="4582BEA0" w14:textId="77777777" w:rsidR="00173DA9" w:rsidRDefault="00A74F93">
            <w:pPr>
              <w:jc w:val="center"/>
            </w:pPr>
            <w:r>
              <w:rPr>
                <w:rFonts w:eastAsiaTheme="minorEastAsia"/>
                <w:szCs w:val="21"/>
              </w:rPr>
              <w:t>英国</w:t>
            </w:r>
          </w:p>
        </w:tc>
        <w:tc>
          <w:tcPr>
            <w:tcW w:w="0" w:type="auto"/>
            <w:vAlign w:val="center"/>
          </w:tcPr>
          <w:p w14:paraId="43D7DB50" w14:textId="77777777" w:rsidR="00173DA9" w:rsidRDefault="00A74F93">
            <w:pPr>
              <w:jc w:val="right"/>
            </w:pPr>
            <w:r>
              <w:rPr>
                <w:rFonts w:eastAsiaTheme="minorEastAsia"/>
                <w:szCs w:val="21"/>
              </w:rPr>
              <w:t>25,951</w:t>
            </w:r>
          </w:p>
        </w:tc>
        <w:tc>
          <w:tcPr>
            <w:tcW w:w="0" w:type="auto"/>
            <w:vAlign w:val="center"/>
          </w:tcPr>
          <w:p w14:paraId="4B056813" w14:textId="77777777" w:rsidR="00173DA9" w:rsidRDefault="00A74F93">
            <w:pPr>
              <w:jc w:val="right"/>
            </w:pPr>
            <w:r>
              <w:rPr>
                <w:rFonts w:eastAsiaTheme="minorEastAsia"/>
                <w:szCs w:val="21"/>
              </w:rPr>
              <w:t>5,832,075.67</w:t>
            </w:r>
          </w:p>
        </w:tc>
        <w:tc>
          <w:tcPr>
            <w:tcW w:w="0" w:type="auto"/>
            <w:vAlign w:val="center"/>
          </w:tcPr>
          <w:p w14:paraId="29767CD7" w14:textId="77777777" w:rsidR="00173DA9" w:rsidRDefault="00A74F93">
            <w:pPr>
              <w:jc w:val="right"/>
            </w:pPr>
            <w:r>
              <w:rPr>
                <w:rFonts w:eastAsiaTheme="minorEastAsia"/>
                <w:szCs w:val="21"/>
              </w:rPr>
              <w:t>2.82</w:t>
            </w:r>
          </w:p>
        </w:tc>
      </w:tr>
      <w:tr w:rsidR="00173DA9" w14:paraId="1562AFB3" w14:textId="77777777">
        <w:tc>
          <w:tcPr>
            <w:tcW w:w="0" w:type="auto"/>
            <w:vAlign w:val="center"/>
          </w:tcPr>
          <w:p w14:paraId="35EEC6FE" w14:textId="77777777" w:rsidR="00173DA9" w:rsidRDefault="00A74F93">
            <w:pPr>
              <w:jc w:val="center"/>
            </w:pPr>
            <w:r>
              <w:rPr>
                <w:rFonts w:eastAsiaTheme="minorEastAsia"/>
                <w:szCs w:val="21"/>
              </w:rPr>
              <w:lastRenderedPageBreak/>
              <w:t>3</w:t>
            </w:r>
          </w:p>
        </w:tc>
        <w:tc>
          <w:tcPr>
            <w:tcW w:w="0" w:type="auto"/>
            <w:vAlign w:val="center"/>
          </w:tcPr>
          <w:p w14:paraId="2454D6FE" w14:textId="77777777" w:rsidR="00173DA9" w:rsidRDefault="00A74F93">
            <w:pPr>
              <w:jc w:val="center"/>
            </w:pPr>
            <w:r>
              <w:rPr>
                <w:rFonts w:eastAsiaTheme="minorEastAsia"/>
                <w:szCs w:val="21"/>
              </w:rPr>
              <w:t>ASTRAZENECA PLC</w:t>
            </w:r>
          </w:p>
        </w:tc>
        <w:tc>
          <w:tcPr>
            <w:tcW w:w="0" w:type="auto"/>
            <w:vAlign w:val="center"/>
          </w:tcPr>
          <w:p w14:paraId="65C88425" w14:textId="77777777" w:rsidR="00173DA9" w:rsidRDefault="00A74F93">
            <w:pPr>
              <w:jc w:val="center"/>
            </w:pPr>
            <w:r>
              <w:rPr>
                <w:rFonts w:eastAsiaTheme="minorEastAsia"/>
                <w:szCs w:val="21"/>
              </w:rPr>
              <w:t>阿斯利康公共有限公司</w:t>
            </w:r>
          </w:p>
        </w:tc>
        <w:tc>
          <w:tcPr>
            <w:tcW w:w="0" w:type="auto"/>
            <w:vAlign w:val="center"/>
          </w:tcPr>
          <w:p w14:paraId="58827048" w14:textId="77777777" w:rsidR="00173DA9" w:rsidRDefault="00A74F93">
            <w:pPr>
              <w:jc w:val="center"/>
            </w:pPr>
            <w:r>
              <w:rPr>
                <w:rFonts w:eastAsiaTheme="minorEastAsia"/>
                <w:szCs w:val="21"/>
              </w:rPr>
              <w:t>AZN</w:t>
            </w:r>
          </w:p>
        </w:tc>
        <w:tc>
          <w:tcPr>
            <w:tcW w:w="0" w:type="auto"/>
            <w:vAlign w:val="center"/>
          </w:tcPr>
          <w:p w14:paraId="1F1A6921" w14:textId="77777777" w:rsidR="00173DA9" w:rsidRDefault="00A74F93">
            <w:pPr>
              <w:jc w:val="center"/>
            </w:pPr>
            <w:r>
              <w:rPr>
                <w:rFonts w:eastAsiaTheme="minorEastAsia"/>
                <w:szCs w:val="21"/>
              </w:rPr>
              <w:t>英国伦敦交易所</w:t>
            </w:r>
          </w:p>
        </w:tc>
        <w:tc>
          <w:tcPr>
            <w:tcW w:w="0" w:type="auto"/>
            <w:vAlign w:val="center"/>
          </w:tcPr>
          <w:p w14:paraId="533FCAD6" w14:textId="77777777" w:rsidR="00173DA9" w:rsidRDefault="00A74F93">
            <w:pPr>
              <w:jc w:val="center"/>
            </w:pPr>
            <w:r>
              <w:rPr>
                <w:rFonts w:eastAsiaTheme="minorEastAsia"/>
                <w:szCs w:val="21"/>
              </w:rPr>
              <w:t>英国</w:t>
            </w:r>
          </w:p>
        </w:tc>
        <w:tc>
          <w:tcPr>
            <w:tcW w:w="0" w:type="auto"/>
            <w:vAlign w:val="center"/>
          </w:tcPr>
          <w:p w14:paraId="51556841" w14:textId="77777777" w:rsidR="00173DA9" w:rsidRDefault="00A74F93">
            <w:pPr>
              <w:jc w:val="right"/>
            </w:pPr>
            <w:r>
              <w:rPr>
                <w:rFonts w:eastAsiaTheme="minorEastAsia"/>
                <w:szCs w:val="21"/>
              </w:rPr>
              <w:t>5,056</w:t>
            </w:r>
          </w:p>
        </w:tc>
        <w:tc>
          <w:tcPr>
            <w:tcW w:w="0" w:type="auto"/>
            <w:vAlign w:val="center"/>
          </w:tcPr>
          <w:p w14:paraId="548D70C3" w14:textId="77777777" w:rsidR="00173DA9" w:rsidRDefault="00A74F93">
            <w:pPr>
              <w:jc w:val="right"/>
            </w:pPr>
            <w:r>
              <w:rPr>
                <w:rFonts w:eastAsiaTheme="minorEastAsia"/>
                <w:szCs w:val="21"/>
              </w:rPr>
              <w:t>4,803,847.27</w:t>
            </w:r>
          </w:p>
        </w:tc>
        <w:tc>
          <w:tcPr>
            <w:tcW w:w="0" w:type="auto"/>
            <w:vAlign w:val="center"/>
          </w:tcPr>
          <w:p w14:paraId="512BB8F0" w14:textId="77777777" w:rsidR="00173DA9" w:rsidRDefault="00A74F93">
            <w:pPr>
              <w:jc w:val="right"/>
            </w:pPr>
            <w:r>
              <w:rPr>
                <w:rFonts w:eastAsiaTheme="minorEastAsia"/>
                <w:szCs w:val="21"/>
              </w:rPr>
              <w:t>2.32</w:t>
            </w:r>
          </w:p>
        </w:tc>
      </w:tr>
      <w:tr w:rsidR="00173DA9" w14:paraId="4D26D5A9" w14:textId="77777777">
        <w:tc>
          <w:tcPr>
            <w:tcW w:w="0" w:type="auto"/>
            <w:vAlign w:val="center"/>
          </w:tcPr>
          <w:p w14:paraId="05FB17B5" w14:textId="77777777" w:rsidR="00173DA9" w:rsidRDefault="00A74F93">
            <w:pPr>
              <w:jc w:val="center"/>
            </w:pPr>
            <w:r>
              <w:rPr>
                <w:rFonts w:eastAsiaTheme="minorEastAsia"/>
                <w:szCs w:val="21"/>
              </w:rPr>
              <w:t>4</w:t>
            </w:r>
          </w:p>
        </w:tc>
        <w:tc>
          <w:tcPr>
            <w:tcW w:w="0" w:type="auto"/>
            <w:vAlign w:val="center"/>
          </w:tcPr>
          <w:p w14:paraId="0CC93EA4" w14:textId="77777777" w:rsidR="00173DA9" w:rsidRDefault="00A74F93">
            <w:pPr>
              <w:jc w:val="center"/>
            </w:pPr>
            <w:r>
              <w:rPr>
                <w:rFonts w:eastAsiaTheme="minorEastAsia"/>
                <w:szCs w:val="21"/>
              </w:rPr>
              <w:t>ROCHE HOLDING AG-GENUSSCHEIN</w:t>
            </w:r>
          </w:p>
        </w:tc>
        <w:tc>
          <w:tcPr>
            <w:tcW w:w="0" w:type="auto"/>
            <w:vAlign w:val="center"/>
          </w:tcPr>
          <w:p w14:paraId="1F74E2C9" w14:textId="77777777" w:rsidR="00173DA9" w:rsidRDefault="00A74F93">
            <w:pPr>
              <w:jc w:val="center"/>
            </w:pPr>
            <w:r>
              <w:rPr>
                <w:rFonts w:eastAsiaTheme="minorEastAsia"/>
                <w:szCs w:val="21"/>
              </w:rPr>
              <w:t>罗氏控股股份公司</w:t>
            </w:r>
          </w:p>
        </w:tc>
        <w:tc>
          <w:tcPr>
            <w:tcW w:w="0" w:type="auto"/>
            <w:vAlign w:val="center"/>
          </w:tcPr>
          <w:p w14:paraId="622CFE40" w14:textId="77777777" w:rsidR="00173DA9" w:rsidRDefault="00A74F93">
            <w:pPr>
              <w:jc w:val="center"/>
            </w:pPr>
            <w:r>
              <w:rPr>
                <w:rFonts w:eastAsiaTheme="minorEastAsia"/>
                <w:szCs w:val="21"/>
              </w:rPr>
              <w:t>ROG</w:t>
            </w:r>
          </w:p>
        </w:tc>
        <w:tc>
          <w:tcPr>
            <w:tcW w:w="0" w:type="auto"/>
            <w:vAlign w:val="center"/>
          </w:tcPr>
          <w:p w14:paraId="7322D728" w14:textId="77777777" w:rsidR="00173DA9" w:rsidRDefault="00A74F93">
            <w:pPr>
              <w:jc w:val="center"/>
            </w:pPr>
            <w:r>
              <w:rPr>
                <w:rFonts w:eastAsiaTheme="minorEastAsia"/>
                <w:szCs w:val="21"/>
              </w:rPr>
              <w:t>瑞士证券交易所</w:t>
            </w:r>
          </w:p>
        </w:tc>
        <w:tc>
          <w:tcPr>
            <w:tcW w:w="0" w:type="auto"/>
            <w:vAlign w:val="center"/>
          </w:tcPr>
          <w:p w14:paraId="1AA507AE" w14:textId="77777777" w:rsidR="00173DA9" w:rsidRDefault="00A74F93">
            <w:pPr>
              <w:jc w:val="center"/>
            </w:pPr>
            <w:r>
              <w:rPr>
                <w:rFonts w:eastAsiaTheme="minorEastAsia"/>
                <w:szCs w:val="21"/>
              </w:rPr>
              <w:t>瑞士</w:t>
            </w:r>
          </w:p>
        </w:tc>
        <w:tc>
          <w:tcPr>
            <w:tcW w:w="0" w:type="auto"/>
            <w:vAlign w:val="center"/>
          </w:tcPr>
          <w:p w14:paraId="48245249" w14:textId="77777777" w:rsidR="00173DA9" w:rsidRDefault="00A74F93">
            <w:pPr>
              <w:jc w:val="right"/>
            </w:pPr>
            <w:r>
              <w:rPr>
                <w:rFonts w:eastAsiaTheme="minorEastAsia"/>
                <w:szCs w:val="21"/>
              </w:rPr>
              <w:t>2,344</w:t>
            </w:r>
          </w:p>
        </w:tc>
        <w:tc>
          <w:tcPr>
            <w:tcW w:w="0" w:type="auto"/>
            <w:vAlign w:val="center"/>
          </w:tcPr>
          <w:p w14:paraId="34759D93" w14:textId="77777777" w:rsidR="00173DA9" w:rsidRDefault="00A74F93">
            <w:pPr>
              <w:jc w:val="right"/>
            </w:pPr>
            <w:r>
              <w:rPr>
                <w:rFonts w:eastAsiaTheme="minorEastAsia"/>
                <w:szCs w:val="21"/>
              </w:rPr>
              <w:t>4,789,758.55</w:t>
            </w:r>
          </w:p>
        </w:tc>
        <w:tc>
          <w:tcPr>
            <w:tcW w:w="0" w:type="auto"/>
            <w:vAlign w:val="center"/>
          </w:tcPr>
          <w:p w14:paraId="1F2AEF30" w14:textId="77777777" w:rsidR="00173DA9" w:rsidRDefault="00A74F93">
            <w:pPr>
              <w:jc w:val="right"/>
            </w:pPr>
            <w:r>
              <w:rPr>
                <w:rFonts w:eastAsiaTheme="minorEastAsia"/>
                <w:szCs w:val="21"/>
              </w:rPr>
              <w:t>2.31</w:t>
            </w:r>
          </w:p>
        </w:tc>
      </w:tr>
      <w:tr w:rsidR="00173DA9" w14:paraId="0C473F67" w14:textId="77777777">
        <w:tc>
          <w:tcPr>
            <w:tcW w:w="0" w:type="auto"/>
            <w:vAlign w:val="center"/>
          </w:tcPr>
          <w:p w14:paraId="65DF8A56" w14:textId="77777777" w:rsidR="00173DA9" w:rsidRDefault="00A74F93">
            <w:pPr>
              <w:jc w:val="center"/>
            </w:pPr>
            <w:r>
              <w:rPr>
                <w:rFonts w:eastAsiaTheme="minorEastAsia"/>
                <w:szCs w:val="21"/>
              </w:rPr>
              <w:t>5</w:t>
            </w:r>
          </w:p>
        </w:tc>
        <w:tc>
          <w:tcPr>
            <w:tcW w:w="0" w:type="auto"/>
            <w:vAlign w:val="center"/>
          </w:tcPr>
          <w:p w14:paraId="4BCAEC31" w14:textId="77777777" w:rsidR="00173DA9" w:rsidRDefault="00A74F93">
            <w:pPr>
              <w:jc w:val="center"/>
            </w:pPr>
            <w:r>
              <w:rPr>
                <w:rFonts w:eastAsiaTheme="minorEastAsia"/>
                <w:szCs w:val="21"/>
              </w:rPr>
              <w:t>NOVO-NORDISK A/S-SPONS ADR</w:t>
            </w:r>
          </w:p>
        </w:tc>
        <w:tc>
          <w:tcPr>
            <w:tcW w:w="0" w:type="auto"/>
            <w:vAlign w:val="center"/>
          </w:tcPr>
          <w:p w14:paraId="42D403AB" w14:textId="77777777" w:rsidR="00173DA9" w:rsidRDefault="00A74F93">
            <w:pPr>
              <w:jc w:val="center"/>
            </w:pPr>
            <w:r>
              <w:rPr>
                <w:rFonts w:eastAsiaTheme="minorEastAsia"/>
                <w:szCs w:val="21"/>
              </w:rPr>
              <w:t>诺和诺德公司</w:t>
            </w:r>
          </w:p>
        </w:tc>
        <w:tc>
          <w:tcPr>
            <w:tcW w:w="0" w:type="auto"/>
            <w:vAlign w:val="center"/>
          </w:tcPr>
          <w:p w14:paraId="5A9D983A" w14:textId="77777777" w:rsidR="00173DA9" w:rsidRDefault="00A74F93">
            <w:pPr>
              <w:jc w:val="center"/>
            </w:pPr>
            <w:r>
              <w:rPr>
                <w:rFonts w:eastAsiaTheme="minorEastAsia"/>
                <w:szCs w:val="21"/>
              </w:rPr>
              <w:t>NVO</w:t>
            </w:r>
          </w:p>
        </w:tc>
        <w:tc>
          <w:tcPr>
            <w:tcW w:w="0" w:type="auto"/>
            <w:vAlign w:val="center"/>
          </w:tcPr>
          <w:p w14:paraId="6AE5D27E" w14:textId="77777777" w:rsidR="00173DA9" w:rsidRDefault="00A74F93">
            <w:pPr>
              <w:jc w:val="center"/>
            </w:pPr>
            <w:r>
              <w:rPr>
                <w:rFonts w:eastAsiaTheme="minorEastAsia"/>
                <w:szCs w:val="21"/>
              </w:rPr>
              <w:t>纽约证券交易所</w:t>
            </w:r>
          </w:p>
        </w:tc>
        <w:tc>
          <w:tcPr>
            <w:tcW w:w="0" w:type="auto"/>
            <w:vAlign w:val="center"/>
          </w:tcPr>
          <w:p w14:paraId="0DC91B6C" w14:textId="77777777" w:rsidR="00173DA9" w:rsidRDefault="00A74F93">
            <w:pPr>
              <w:jc w:val="center"/>
            </w:pPr>
            <w:r>
              <w:rPr>
                <w:rFonts w:eastAsiaTheme="minorEastAsia"/>
                <w:szCs w:val="21"/>
              </w:rPr>
              <w:t>美国</w:t>
            </w:r>
          </w:p>
        </w:tc>
        <w:tc>
          <w:tcPr>
            <w:tcW w:w="0" w:type="auto"/>
            <w:vAlign w:val="center"/>
          </w:tcPr>
          <w:p w14:paraId="772DA438" w14:textId="77777777" w:rsidR="00173DA9" w:rsidRDefault="00A74F93">
            <w:pPr>
              <w:jc w:val="right"/>
            </w:pPr>
            <w:r>
              <w:rPr>
                <w:rFonts w:eastAsiaTheme="minorEastAsia"/>
                <w:szCs w:val="21"/>
              </w:rPr>
              <w:t>7,710</w:t>
            </w:r>
          </w:p>
        </w:tc>
        <w:tc>
          <w:tcPr>
            <w:tcW w:w="0" w:type="auto"/>
            <w:vAlign w:val="center"/>
          </w:tcPr>
          <w:p w14:paraId="2D01FC12" w14:textId="77777777" w:rsidR="00173DA9" w:rsidRDefault="00A74F93">
            <w:pPr>
              <w:jc w:val="right"/>
            </w:pPr>
            <w:r>
              <w:rPr>
                <w:rFonts w:eastAsiaTheme="minorEastAsia"/>
                <w:szCs w:val="21"/>
              </w:rPr>
              <w:t>4,767,448.96</w:t>
            </w:r>
          </w:p>
        </w:tc>
        <w:tc>
          <w:tcPr>
            <w:tcW w:w="0" w:type="auto"/>
            <w:vAlign w:val="center"/>
          </w:tcPr>
          <w:p w14:paraId="402FFE9A" w14:textId="77777777" w:rsidR="00173DA9" w:rsidRDefault="00A74F93">
            <w:pPr>
              <w:jc w:val="right"/>
            </w:pPr>
            <w:r>
              <w:rPr>
                <w:rFonts w:eastAsiaTheme="minorEastAsia"/>
                <w:szCs w:val="21"/>
              </w:rPr>
              <w:t>2.30</w:t>
            </w:r>
          </w:p>
        </w:tc>
      </w:tr>
      <w:tr w:rsidR="00173DA9" w14:paraId="266E373B" w14:textId="77777777">
        <w:tc>
          <w:tcPr>
            <w:tcW w:w="0" w:type="auto"/>
            <w:vAlign w:val="center"/>
          </w:tcPr>
          <w:p w14:paraId="245803A6" w14:textId="77777777" w:rsidR="00173DA9" w:rsidRDefault="00A74F93">
            <w:pPr>
              <w:jc w:val="center"/>
            </w:pPr>
            <w:r>
              <w:rPr>
                <w:rFonts w:eastAsiaTheme="minorEastAsia"/>
                <w:szCs w:val="21"/>
              </w:rPr>
              <w:t>6</w:t>
            </w:r>
          </w:p>
        </w:tc>
        <w:tc>
          <w:tcPr>
            <w:tcW w:w="0" w:type="auto"/>
            <w:vAlign w:val="center"/>
          </w:tcPr>
          <w:p w14:paraId="5F90B7BE" w14:textId="77777777" w:rsidR="00173DA9" w:rsidRDefault="00A74F93">
            <w:pPr>
              <w:jc w:val="center"/>
            </w:pPr>
            <w:r>
              <w:rPr>
                <w:rFonts w:eastAsiaTheme="minorEastAsia"/>
                <w:szCs w:val="21"/>
              </w:rPr>
              <w:t>DEUTSCHE TELEKOM AG-REG</w:t>
            </w:r>
          </w:p>
        </w:tc>
        <w:tc>
          <w:tcPr>
            <w:tcW w:w="0" w:type="auto"/>
            <w:vAlign w:val="center"/>
          </w:tcPr>
          <w:p w14:paraId="4DE5D5F4" w14:textId="77777777" w:rsidR="00173DA9" w:rsidRDefault="00A74F93">
            <w:pPr>
              <w:jc w:val="center"/>
            </w:pPr>
            <w:r>
              <w:rPr>
                <w:rFonts w:eastAsiaTheme="minorEastAsia"/>
                <w:szCs w:val="21"/>
              </w:rPr>
              <w:t>德国电信</w:t>
            </w:r>
          </w:p>
        </w:tc>
        <w:tc>
          <w:tcPr>
            <w:tcW w:w="0" w:type="auto"/>
            <w:vAlign w:val="center"/>
          </w:tcPr>
          <w:p w14:paraId="054DDAFE" w14:textId="77777777" w:rsidR="00173DA9" w:rsidRDefault="00A74F93">
            <w:pPr>
              <w:jc w:val="center"/>
            </w:pPr>
            <w:r>
              <w:rPr>
                <w:rFonts w:eastAsiaTheme="minorEastAsia"/>
                <w:szCs w:val="21"/>
              </w:rPr>
              <w:t>DTE</w:t>
            </w:r>
          </w:p>
        </w:tc>
        <w:tc>
          <w:tcPr>
            <w:tcW w:w="0" w:type="auto"/>
            <w:vAlign w:val="center"/>
          </w:tcPr>
          <w:p w14:paraId="16D70496" w14:textId="77777777" w:rsidR="00173DA9" w:rsidRDefault="00A74F93">
            <w:pPr>
              <w:jc w:val="center"/>
            </w:pPr>
            <w:r>
              <w:rPr>
                <w:rFonts w:eastAsiaTheme="minorEastAsia"/>
                <w:szCs w:val="21"/>
              </w:rPr>
              <w:t>法兰克福证券交易所</w:t>
            </w:r>
          </w:p>
        </w:tc>
        <w:tc>
          <w:tcPr>
            <w:tcW w:w="0" w:type="auto"/>
            <w:vAlign w:val="center"/>
          </w:tcPr>
          <w:p w14:paraId="51D7BED1" w14:textId="77777777" w:rsidR="00173DA9" w:rsidRDefault="00A74F93">
            <w:pPr>
              <w:jc w:val="center"/>
            </w:pPr>
            <w:r>
              <w:rPr>
                <w:rFonts w:eastAsiaTheme="minorEastAsia"/>
                <w:szCs w:val="21"/>
              </w:rPr>
              <w:t>德国</w:t>
            </w:r>
          </w:p>
        </w:tc>
        <w:tc>
          <w:tcPr>
            <w:tcW w:w="0" w:type="auto"/>
            <w:vAlign w:val="center"/>
          </w:tcPr>
          <w:p w14:paraId="5CC026F9" w14:textId="77777777" w:rsidR="00173DA9" w:rsidRDefault="00A74F93">
            <w:pPr>
              <w:jc w:val="right"/>
            </w:pPr>
            <w:r>
              <w:rPr>
                <w:rFonts w:eastAsiaTheme="minorEastAsia"/>
                <w:szCs w:val="21"/>
              </w:rPr>
              <w:t>19,150</w:t>
            </w:r>
          </w:p>
        </w:tc>
        <w:tc>
          <w:tcPr>
            <w:tcW w:w="0" w:type="auto"/>
            <w:vAlign w:val="center"/>
          </w:tcPr>
          <w:p w14:paraId="52A4107F" w14:textId="77777777" w:rsidR="00173DA9" w:rsidRDefault="00A74F93">
            <w:pPr>
              <w:jc w:val="right"/>
            </w:pPr>
            <w:r>
              <w:rPr>
                <w:rFonts w:eastAsiaTheme="minorEastAsia"/>
                <w:szCs w:val="21"/>
              </w:rPr>
              <w:t>4,163,544.61</w:t>
            </w:r>
          </w:p>
        </w:tc>
        <w:tc>
          <w:tcPr>
            <w:tcW w:w="0" w:type="auto"/>
            <w:vAlign w:val="center"/>
          </w:tcPr>
          <w:p w14:paraId="7B19C381" w14:textId="77777777" w:rsidR="00173DA9" w:rsidRDefault="00A74F93">
            <w:pPr>
              <w:jc w:val="right"/>
            </w:pPr>
            <w:r>
              <w:rPr>
                <w:rFonts w:eastAsiaTheme="minorEastAsia"/>
                <w:szCs w:val="21"/>
              </w:rPr>
              <w:t>2.01</w:t>
            </w:r>
          </w:p>
        </w:tc>
      </w:tr>
      <w:tr w:rsidR="00173DA9" w14:paraId="6BC7684F" w14:textId="77777777">
        <w:tc>
          <w:tcPr>
            <w:tcW w:w="0" w:type="auto"/>
            <w:vAlign w:val="center"/>
          </w:tcPr>
          <w:p w14:paraId="6D49A693" w14:textId="77777777" w:rsidR="00173DA9" w:rsidRDefault="00A74F93">
            <w:pPr>
              <w:jc w:val="center"/>
            </w:pPr>
            <w:r>
              <w:rPr>
                <w:rFonts w:eastAsiaTheme="minorEastAsia"/>
                <w:szCs w:val="21"/>
              </w:rPr>
              <w:t>7</w:t>
            </w:r>
          </w:p>
        </w:tc>
        <w:tc>
          <w:tcPr>
            <w:tcW w:w="0" w:type="auto"/>
            <w:vAlign w:val="center"/>
          </w:tcPr>
          <w:p w14:paraId="3D8854EE" w14:textId="77777777" w:rsidR="00173DA9" w:rsidRDefault="00A74F93">
            <w:pPr>
              <w:jc w:val="center"/>
            </w:pPr>
            <w:r>
              <w:rPr>
                <w:rFonts w:eastAsiaTheme="minorEastAsia"/>
                <w:szCs w:val="21"/>
              </w:rPr>
              <w:t>ALLIANZ SE-REG</w:t>
            </w:r>
          </w:p>
        </w:tc>
        <w:tc>
          <w:tcPr>
            <w:tcW w:w="0" w:type="auto"/>
            <w:vAlign w:val="center"/>
          </w:tcPr>
          <w:p w14:paraId="322F0E4C" w14:textId="77777777" w:rsidR="00173DA9" w:rsidRDefault="00A74F93">
            <w:pPr>
              <w:jc w:val="center"/>
            </w:pPr>
            <w:r>
              <w:rPr>
                <w:rFonts w:eastAsiaTheme="minorEastAsia"/>
                <w:szCs w:val="21"/>
              </w:rPr>
              <w:t>安联保险有限公司</w:t>
            </w:r>
          </w:p>
        </w:tc>
        <w:tc>
          <w:tcPr>
            <w:tcW w:w="0" w:type="auto"/>
            <w:vAlign w:val="center"/>
          </w:tcPr>
          <w:p w14:paraId="5244394C" w14:textId="77777777" w:rsidR="00173DA9" w:rsidRDefault="00A74F93">
            <w:pPr>
              <w:jc w:val="center"/>
            </w:pPr>
            <w:r>
              <w:rPr>
                <w:rFonts w:eastAsiaTheme="minorEastAsia"/>
                <w:szCs w:val="21"/>
              </w:rPr>
              <w:t>ALV</w:t>
            </w:r>
          </w:p>
        </w:tc>
        <w:tc>
          <w:tcPr>
            <w:tcW w:w="0" w:type="auto"/>
            <w:vAlign w:val="center"/>
          </w:tcPr>
          <w:p w14:paraId="1E570196" w14:textId="77777777" w:rsidR="00173DA9" w:rsidRDefault="00A74F93">
            <w:pPr>
              <w:jc w:val="center"/>
            </w:pPr>
            <w:r>
              <w:rPr>
                <w:rFonts w:eastAsiaTheme="minorEastAsia"/>
                <w:szCs w:val="21"/>
              </w:rPr>
              <w:t>法兰克福证券交易所</w:t>
            </w:r>
          </w:p>
        </w:tc>
        <w:tc>
          <w:tcPr>
            <w:tcW w:w="0" w:type="auto"/>
            <w:vAlign w:val="center"/>
          </w:tcPr>
          <w:p w14:paraId="0AE49D54" w14:textId="77777777" w:rsidR="00173DA9" w:rsidRDefault="00A74F93">
            <w:pPr>
              <w:jc w:val="center"/>
            </w:pPr>
            <w:r>
              <w:rPr>
                <w:rFonts w:eastAsiaTheme="minorEastAsia"/>
                <w:szCs w:val="21"/>
              </w:rPr>
              <w:t>德国</w:t>
            </w:r>
          </w:p>
        </w:tc>
        <w:tc>
          <w:tcPr>
            <w:tcW w:w="0" w:type="auto"/>
            <w:vAlign w:val="center"/>
          </w:tcPr>
          <w:p w14:paraId="7F745E14" w14:textId="77777777" w:rsidR="00173DA9" w:rsidRDefault="00A74F93">
            <w:pPr>
              <w:jc w:val="right"/>
            </w:pPr>
            <w:r>
              <w:rPr>
                <w:rFonts w:eastAsiaTheme="minorEastAsia"/>
                <w:szCs w:val="21"/>
              </w:rPr>
              <w:t>1,849</w:t>
            </w:r>
          </w:p>
        </w:tc>
        <w:tc>
          <w:tcPr>
            <w:tcW w:w="0" w:type="auto"/>
            <w:vAlign w:val="center"/>
          </w:tcPr>
          <w:p w14:paraId="2E4A18CE" w14:textId="77777777" w:rsidR="00173DA9" w:rsidRDefault="00A74F93">
            <w:pPr>
              <w:jc w:val="right"/>
            </w:pPr>
            <w:r>
              <w:rPr>
                <w:rFonts w:eastAsiaTheme="minorEastAsia"/>
                <w:szCs w:val="21"/>
              </w:rPr>
              <w:t>4,117,454.21</w:t>
            </w:r>
          </w:p>
        </w:tc>
        <w:tc>
          <w:tcPr>
            <w:tcW w:w="0" w:type="auto"/>
            <w:vAlign w:val="center"/>
          </w:tcPr>
          <w:p w14:paraId="6BA67445" w14:textId="77777777" w:rsidR="00173DA9" w:rsidRDefault="00A74F93">
            <w:pPr>
              <w:jc w:val="right"/>
            </w:pPr>
            <w:r>
              <w:rPr>
                <w:rFonts w:eastAsiaTheme="minorEastAsia"/>
                <w:szCs w:val="21"/>
              </w:rPr>
              <w:t>1.99</w:t>
            </w:r>
          </w:p>
        </w:tc>
      </w:tr>
      <w:tr w:rsidR="00173DA9" w14:paraId="1516F147" w14:textId="77777777">
        <w:tc>
          <w:tcPr>
            <w:tcW w:w="0" w:type="auto"/>
            <w:vAlign w:val="center"/>
          </w:tcPr>
          <w:p w14:paraId="5BF9989B" w14:textId="77777777" w:rsidR="00173DA9" w:rsidRDefault="00A74F93">
            <w:pPr>
              <w:jc w:val="center"/>
            </w:pPr>
            <w:r>
              <w:rPr>
                <w:rFonts w:eastAsiaTheme="minorEastAsia"/>
                <w:szCs w:val="21"/>
              </w:rPr>
              <w:t>8</w:t>
            </w:r>
          </w:p>
        </w:tc>
        <w:tc>
          <w:tcPr>
            <w:tcW w:w="0" w:type="auto"/>
            <w:vAlign w:val="center"/>
          </w:tcPr>
          <w:p w14:paraId="11606088" w14:textId="77777777" w:rsidR="00173DA9" w:rsidRDefault="00A74F93">
            <w:pPr>
              <w:jc w:val="center"/>
            </w:pPr>
            <w:r>
              <w:rPr>
                <w:rFonts w:eastAsiaTheme="minorEastAsia"/>
                <w:szCs w:val="21"/>
              </w:rPr>
              <w:t>MUENCHENER RUECKVER AG-REG</w:t>
            </w:r>
          </w:p>
        </w:tc>
        <w:tc>
          <w:tcPr>
            <w:tcW w:w="0" w:type="auto"/>
            <w:vAlign w:val="center"/>
          </w:tcPr>
          <w:p w14:paraId="3963FC4D" w14:textId="77777777" w:rsidR="00173DA9" w:rsidRDefault="00A74F93">
            <w:pPr>
              <w:jc w:val="center"/>
            </w:pPr>
            <w:r>
              <w:rPr>
                <w:rFonts w:eastAsiaTheme="minorEastAsia"/>
                <w:szCs w:val="21"/>
              </w:rPr>
              <w:t>慕尼黑再保险公司</w:t>
            </w:r>
          </w:p>
        </w:tc>
        <w:tc>
          <w:tcPr>
            <w:tcW w:w="0" w:type="auto"/>
            <w:vAlign w:val="center"/>
          </w:tcPr>
          <w:p w14:paraId="4BD2E6F8" w14:textId="77777777" w:rsidR="00173DA9" w:rsidRDefault="00A74F93">
            <w:pPr>
              <w:jc w:val="center"/>
            </w:pPr>
            <w:r>
              <w:rPr>
                <w:rFonts w:eastAsiaTheme="minorEastAsia"/>
                <w:szCs w:val="21"/>
              </w:rPr>
              <w:t>MUV2</w:t>
            </w:r>
          </w:p>
        </w:tc>
        <w:tc>
          <w:tcPr>
            <w:tcW w:w="0" w:type="auto"/>
            <w:vAlign w:val="center"/>
          </w:tcPr>
          <w:p w14:paraId="74F39F7E" w14:textId="77777777" w:rsidR="00173DA9" w:rsidRDefault="00A74F93">
            <w:pPr>
              <w:jc w:val="center"/>
            </w:pPr>
            <w:r>
              <w:rPr>
                <w:rFonts w:eastAsiaTheme="minorEastAsia"/>
                <w:szCs w:val="21"/>
              </w:rPr>
              <w:t>法兰克福证</w:t>
            </w:r>
            <w:r>
              <w:rPr>
                <w:rFonts w:eastAsiaTheme="minorEastAsia"/>
                <w:szCs w:val="21"/>
              </w:rPr>
              <w:lastRenderedPageBreak/>
              <w:t>券交易所</w:t>
            </w:r>
          </w:p>
        </w:tc>
        <w:tc>
          <w:tcPr>
            <w:tcW w:w="0" w:type="auto"/>
            <w:vAlign w:val="center"/>
          </w:tcPr>
          <w:p w14:paraId="413A9817" w14:textId="77777777" w:rsidR="00173DA9" w:rsidRDefault="00A74F93">
            <w:pPr>
              <w:jc w:val="center"/>
            </w:pPr>
            <w:r>
              <w:rPr>
                <w:rFonts w:eastAsiaTheme="minorEastAsia"/>
                <w:szCs w:val="21"/>
              </w:rPr>
              <w:lastRenderedPageBreak/>
              <w:t>德国</w:t>
            </w:r>
          </w:p>
        </w:tc>
        <w:tc>
          <w:tcPr>
            <w:tcW w:w="0" w:type="auto"/>
            <w:vAlign w:val="center"/>
          </w:tcPr>
          <w:p w14:paraId="7FE972CF" w14:textId="77777777" w:rsidR="00173DA9" w:rsidRDefault="00A74F93">
            <w:pPr>
              <w:jc w:val="right"/>
            </w:pPr>
            <w:r>
              <w:rPr>
                <w:rFonts w:eastAsiaTheme="minorEastAsia"/>
                <w:szCs w:val="21"/>
              </w:rPr>
              <w:t>1,122</w:t>
            </w:r>
          </w:p>
        </w:tc>
        <w:tc>
          <w:tcPr>
            <w:tcW w:w="0" w:type="auto"/>
            <w:vAlign w:val="center"/>
          </w:tcPr>
          <w:p w14:paraId="39E661D7" w14:textId="77777777" w:rsidR="00173DA9" w:rsidRDefault="00A74F93">
            <w:pPr>
              <w:jc w:val="right"/>
            </w:pPr>
            <w:r>
              <w:rPr>
                <w:rFonts w:eastAsiaTheme="minorEastAsia"/>
                <w:szCs w:val="21"/>
              </w:rPr>
              <w:t>4,112,992.22</w:t>
            </w:r>
          </w:p>
        </w:tc>
        <w:tc>
          <w:tcPr>
            <w:tcW w:w="0" w:type="auto"/>
            <w:vAlign w:val="center"/>
          </w:tcPr>
          <w:p w14:paraId="56444BA6" w14:textId="77777777" w:rsidR="00173DA9" w:rsidRDefault="00A74F93">
            <w:pPr>
              <w:jc w:val="right"/>
            </w:pPr>
            <w:r>
              <w:rPr>
                <w:rFonts w:eastAsiaTheme="minorEastAsia"/>
                <w:szCs w:val="21"/>
              </w:rPr>
              <w:t>1.99</w:t>
            </w:r>
          </w:p>
        </w:tc>
      </w:tr>
      <w:tr w:rsidR="00173DA9" w14:paraId="2F429E2F" w14:textId="77777777">
        <w:tc>
          <w:tcPr>
            <w:tcW w:w="0" w:type="auto"/>
            <w:vAlign w:val="center"/>
          </w:tcPr>
          <w:p w14:paraId="2C32FFB2" w14:textId="77777777" w:rsidR="00173DA9" w:rsidRDefault="00A74F93">
            <w:pPr>
              <w:jc w:val="center"/>
            </w:pPr>
            <w:r>
              <w:rPr>
                <w:rFonts w:eastAsiaTheme="minorEastAsia"/>
                <w:szCs w:val="21"/>
              </w:rPr>
              <w:t>9</w:t>
            </w:r>
          </w:p>
        </w:tc>
        <w:tc>
          <w:tcPr>
            <w:tcW w:w="0" w:type="auto"/>
            <w:vAlign w:val="center"/>
          </w:tcPr>
          <w:p w14:paraId="3B880D68" w14:textId="77777777" w:rsidR="00173DA9" w:rsidRDefault="00A74F93">
            <w:pPr>
              <w:jc w:val="center"/>
            </w:pPr>
            <w:r>
              <w:rPr>
                <w:rFonts w:eastAsiaTheme="minorEastAsia"/>
                <w:szCs w:val="21"/>
              </w:rPr>
              <w:t>UNICREDIT SPA</w:t>
            </w:r>
          </w:p>
        </w:tc>
        <w:tc>
          <w:tcPr>
            <w:tcW w:w="0" w:type="auto"/>
            <w:vAlign w:val="center"/>
          </w:tcPr>
          <w:p w14:paraId="6D771C08" w14:textId="77777777" w:rsidR="00173DA9" w:rsidRDefault="00A74F93">
            <w:pPr>
              <w:jc w:val="center"/>
            </w:pPr>
            <w:r>
              <w:rPr>
                <w:rFonts w:eastAsiaTheme="minorEastAsia"/>
                <w:szCs w:val="21"/>
              </w:rPr>
              <w:t>裕信银行公共有限公司</w:t>
            </w:r>
          </w:p>
        </w:tc>
        <w:tc>
          <w:tcPr>
            <w:tcW w:w="0" w:type="auto"/>
            <w:vAlign w:val="center"/>
          </w:tcPr>
          <w:p w14:paraId="0D7B432A" w14:textId="77777777" w:rsidR="00173DA9" w:rsidRDefault="00A74F93">
            <w:pPr>
              <w:jc w:val="center"/>
            </w:pPr>
            <w:r>
              <w:rPr>
                <w:rFonts w:eastAsiaTheme="minorEastAsia"/>
                <w:szCs w:val="21"/>
              </w:rPr>
              <w:t>UCG</w:t>
            </w:r>
          </w:p>
        </w:tc>
        <w:tc>
          <w:tcPr>
            <w:tcW w:w="0" w:type="auto"/>
            <w:vAlign w:val="center"/>
          </w:tcPr>
          <w:p w14:paraId="4CCC573B" w14:textId="77777777" w:rsidR="00173DA9" w:rsidRDefault="00A74F93">
            <w:pPr>
              <w:jc w:val="center"/>
            </w:pPr>
            <w:r>
              <w:rPr>
                <w:rFonts w:eastAsiaTheme="minorEastAsia"/>
                <w:szCs w:val="21"/>
              </w:rPr>
              <w:t>意大利证券交易所</w:t>
            </w:r>
          </w:p>
        </w:tc>
        <w:tc>
          <w:tcPr>
            <w:tcW w:w="0" w:type="auto"/>
            <w:vAlign w:val="center"/>
          </w:tcPr>
          <w:p w14:paraId="563B5C62" w14:textId="77777777" w:rsidR="00173DA9" w:rsidRDefault="00A74F93">
            <w:pPr>
              <w:jc w:val="center"/>
            </w:pPr>
            <w:r>
              <w:rPr>
                <w:rFonts w:eastAsiaTheme="minorEastAsia"/>
                <w:szCs w:val="21"/>
              </w:rPr>
              <w:t>意大利</w:t>
            </w:r>
          </w:p>
        </w:tc>
        <w:tc>
          <w:tcPr>
            <w:tcW w:w="0" w:type="auto"/>
            <w:vAlign w:val="center"/>
          </w:tcPr>
          <w:p w14:paraId="3E53EF4C" w14:textId="77777777" w:rsidR="00173DA9" w:rsidRDefault="00A74F93">
            <w:pPr>
              <w:jc w:val="right"/>
            </w:pPr>
            <w:r>
              <w:rPr>
                <w:rFonts w:eastAsiaTheme="minorEastAsia"/>
                <w:szCs w:val="21"/>
              </w:rPr>
              <w:t>13,811</w:t>
            </w:r>
          </w:p>
        </w:tc>
        <w:tc>
          <w:tcPr>
            <w:tcW w:w="0" w:type="auto"/>
            <w:vAlign w:val="center"/>
          </w:tcPr>
          <w:p w14:paraId="35100C54" w14:textId="77777777" w:rsidR="00173DA9" w:rsidRDefault="00A74F93">
            <w:pPr>
              <w:jc w:val="right"/>
            </w:pPr>
            <w:r>
              <w:rPr>
                <w:rFonts w:eastAsiaTheme="minorEastAsia"/>
                <w:szCs w:val="21"/>
              </w:rPr>
              <w:t>4,004,190.02</w:t>
            </w:r>
          </w:p>
        </w:tc>
        <w:tc>
          <w:tcPr>
            <w:tcW w:w="0" w:type="auto"/>
            <w:vAlign w:val="center"/>
          </w:tcPr>
          <w:p w14:paraId="43B5C490" w14:textId="77777777" w:rsidR="00173DA9" w:rsidRDefault="00A74F93">
            <w:pPr>
              <w:jc w:val="right"/>
            </w:pPr>
            <w:r>
              <w:rPr>
                <w:rFonts w:eastAsiaTheme="minorEastAsia"/>
                <w:szCs w:val="21"/>
              </w:rPr>
              <w:t>1.93</w:t>
            </w:r>
          </w:p>
        </w:tc>
      </w:tr>
      <w:tr w:rsidR="00173DA9" w14:paraId="09696496" w14:textId="77777777">
        <w:tc>
          <w:tcPr>
            <w:tcW w:w="0" w:type="auto"/>
            <w:vAlign w:val="center"/>
          </w:tcPr>
          <w:p w14:paraId="29BB2AB2" w14:textId="77777777" w:rsidR="00173DA9" w:rsidRDefault="00A74F93">
            <w:pPr>
              <w:jc w:val="center"/>
            </w:pPr>
            <w:r>
              <w:rPr>
                <w:rFonts w:eastAsiaTheme="minorEastAsia"/>
                <w:szCs w:val="21"/>
              </w:rPr>
              <w:t>10</w:t>
            </w:r>
          </w:p>
        </w:tc>
        <w:tc>
          <w:tcPr>
            <w:tcW w:w="0" w:type="auto"/>
            <w:vAlign w:val="center"/>
          </w:tcPr>
          <w:p w14:paraId="0C61BC4B" w14:textId="77777777" w:rsidR="00173DA9" w:rsidRDefault="00A74F93">
            <w:pPr>
              <w:jc w:val="center"/>
            </w:pPr>
            <w:r>
              <w:rPr>
                <w:rFonts w:eastAsiaTheme="minorEastAsia"/>
                <w:szCs w:val="21"/>
              </w:rPr>
              <w:t>BARCLAYS PLC</w:t>
            </w:r>
          </w:p>
        </w:tc>
        <w:tc>
          <w:tcPr>
            <w:tcW w:w="0" w:type="auto"/>
            <w:vAlign w:val="center"/>
          </w:tcPr>
          <w:p w14:paraId="1C81439E" w14:textId="77777777" w:rsidR="00173DA9" w:rsidRDefault="00A74F93">
            <w:pPr>
              <w:jc w:val="center"/>
            </w:pPr>
            <w:r>
              <w:rPr>
                <w:rFonts w:eastAsiaTheme="minorEastAsia"/>
                <w:szCs w:val="21"/>
              </w:rPr>
              <w:t>巴克莱</w:t>
            </w:r>
          </w:p>
        </w:tc>
        <w:tc>
          <w:tcPr>
            <w:tcW w:w="0" w:type="auto"/>
            <w:vAlign w:val="center"/>
          </w:tcPr>
          <w:p w14:paraId="260BCAFC" w14:textId="77777777" w:rsidR="00173DA9" w:rsidRDefault="00A74F93">
            <w:pPr>
              <w:jc w:val="center"/>
            </w:pPr>
            <w:r>
              <w:rPr>
                <w:rFonts w:eastAsiaTheme="minorEastAsia"/>
                <w:szCs w:val="21"/>
              </w:rPr>
              <w:t>BARC</w:t>
            </w:r>
          </w:p>
        </w:tc>
        <w:tc>
          <w:tcPr>
            <w:tcW w:w="0" w:type="auto"/>
            <w:vAlign w:val="center"/>
          </w:tcPr>
          <w:p w14:paraId="2D76DD12" w14:textId="77777777" w:rsidR="00173DA9" w:rsidRDefault="00A74F93">
            <w:pPr>
              <w:jc w:val="center"/>
            </w:pPr>
            <w:r>
              <w:rPr>
                <w:rFonts w:eastAsiaTheme="minorEastAsia"/>
                <w:szCs w:val="21"/>
              </w:rPr>
              <w:t>英国伦敦交易所</w:t>
            </w:r>
          </w:p>
        </w:tc>
        <w:tc>
          <w:tcPr>
            <w:tcW w:w="0" w:type="auto"/>
            <w:vAlign w:val="center"/>
          </w:tcPr>
          <w:p w14:paraId="440BC5DE" w14:textId="77777777" w:rsidR="00173DA9" w:rsidRDefault="00A74F93">
            <w:pPr>
              <w:jc w:val="center"/>
            </w:pPr>
            <w:r>
              <w:rPr>
                <w:rFonts w:eastAsiaTheme="minorEastAsia"/>
                <w:szCs w:val="21"/>
              </w:rPr>
              <w:t>英国</w:t>
            </w:r>
          </w:p>
        </w:tc>
        <w:tc>
          <w:tcPr>
            <w:tcW w:w="0" w:type="auto"/>
            <w:vAlign w:val="center"/>
          </w:tcPr>
          <w:p w14:paraId="12B2B6AF" w14:textId="77777777" w:rsidR="00173DA9" w:rsidRDefault="00A74F93">
            <w:pPr>
              <w:jc w:val="right"/>
            </w:pPr>
            <w:r>
              <w:rPr>
                <w:rFonts w:eastAsiaTheme="minorEastAsia"/>
                <w:szCs w:val="21"/>
              </w:rPr>
              <w:t>164,513</w:t>
            </w:r>
          </w:p>
        </w:tc>
        <w:tc>
          <w:tcPr>
            <w:tcW w:w="0" w:type="auto"/>
            <w:vAlign w:val="center"/>
          </w:tcPr>
          <w:p w14:paraId="6D1713AA" w14:textId="77777777" w:rsidR="00173DA9" w:rsidRDefault="00A74F93">
            <w:pPr>
              <w:jc w:val="right"/>
            </w:pPr>
            <w:r>
              <w:rPr>
                <w:rFonts w:eastAsiaTheme="minorEastAsia"/>
                <w:szCs w:val="21"/>
              </w:rPr>
              <w:t>4,004,021.82</w:t>
            </w:r>
          </w:p>
        </w:tc>
        <w:tc>
          <w:tcPr>
            <w:tcW w:w="0" w:type="auto"/>
            <w:vAlign w:val="center"/>
          </w:tcPr>
          <w:p w14:paraId="295A5486" w14:textId="77777777" w:rsidR="00173DA9" w:rsidRDefault="00A74F93">
            <w:pPr>
              <w:jc w:val="right"/>
            </w:pPr>
            <w:r>
              <w:rPr>
                <w:rFonts w:eastAsiaTheme="minorEastAsia"/>
                <w:szCs w:val="21"/>
              </w:rPr>
              <w:t>1.93</w:t>
            </w:r>
          </w:p>
        </w:tc>
      </w:tr>
    </w:tbl>
    <w:p w14:paraId="2B44820B"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14:paraId="7E3DB8A2"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20E11A7C"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14:paraId="76C1D5CB"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0533C948"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EBD7E70"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14:paraId="36A859C4"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73888E30"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8C3CD68"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6AAC064A"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647A3A38"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4018616B"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025E0F01"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6D7257A0"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6989328"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14:paraId="36524404"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本基金本报告期末未持有基金。</w:t>
      </w:r>
    </w:p>
    <w:p w14:paraId="0D08292B"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D2016B0"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23131D07"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2F4D6D23"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48609827"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2078338A" w14:textId="77777777" w:rsidTr="004C05F3">
        <w:tc>
          <w:tcPr>
            <w:tcW w:w="802" w:type="dxa"/>
            <w:vAlign w:val="center"/>
          </w:tcPr>
          <w:p w14:paraId="3CB9F21A"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4489926E"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6CC36EA2"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3203F144" w14:textId="77777777" w:rsidTr="009E3391">
        <w:tc>
          <w:tcPr>
            <w:tcW w:w="802" w:type="dxa"/>
            <w:vAlign w:val="center"/>
          </w:tcPr>
          <w:p w14:paraId="3E5E042F"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37D34AC1"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3FE7931F"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2F4F9E8" w14:textId="77777777" w:rsidTr="009E3391">
        <w:tc>
          <w:tcPr>
            <w:tcW w:w="802" w:type="dxa"/>
            <w:vAlign w:val="center"/>
          </w:tcPr>
          <w:p w14:paraId="5C4B91D9"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5A270AFF"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26DDB852"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7FC02AA6" w14:textId="77777777" w:rsidTr="009E3391">
        <w:tc>
          <w:tcPr>
            <w:tcW w:w="802" w:type="dxa"/>
            <w:vAlign w:val="center"/>
          </w:tcPr>
          <w:p w14:paraId="2B240423"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1FBF77CD"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0F63B916"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125,022.07</w:t>
            </w:r>
          </w:p>
        </w:tc>
      </w:tr>
      <w:tr w:rsidR="008277FF" w:rsidRPr="00A3398F" w14:paraId="5653A138" w14:textId="77777777" w:rsidTr="009E3391">
        <w:tc>
          <w:tcPr>
            <w:tcW w:w="802" w:type="dxa"/>
            <w:vAlign w:val="center"/>
          </w:tcPr>
          <w:p w14:paraId="0A312236"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19FA277E"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2CC9D741"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3B742C88" w14:textId="77777777" w:rsidTr="009E3391">
        <w:tc>
          <w:tcPr>
            <w:tcW w:w="802" w:type="dxa"/>
            <w:vAlign w:val="center"/>
          </w:tcPr>
          <w:p w14:paraId="615CBB8E"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3D942B1A"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7846493A"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3,923,206.60</w:t>
            </w:r>
          </w:p>
        </w:tc>
      </w:tr>
      <w:tr w:rsidR="008277FF" w:rsidRPr="00A3398F" w14:paraId="0D69BA15" w14:textId="77777777" w:rsidTr="009E3391">
        <w:tc>
          <w:tcPr>
            <w:tcW w:w="802" w:type="dxa"/>
            <w:vAlign w:val="center"/>
          </w:tcPr>
          <w:p w14:paraId="72DD3DFC"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2C9FF1EC"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0F10AA80"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424F1A8" w14:textId="77777777" w:rsidTr="009E3391">
        <w:tc>
          <w:tcPr>
            <w:tcW w:w="802" w:type="dxa"/>
            <w:vAlign w:val="center"/>
          </w:tcPr>
          <w:p w14:paraId="2C147958"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287FE3E9"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4D572B4C"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ACCA302" w14:textId="77777777" w:rsidTr="009E3391">
        <w:tc>
          <w:tcPr>
            <w:tcW w:w="802" w:type="dxa"/>
            <w:vAlign w:val="center"/>
          </w:tcPr>
          <w:p w14:paraId="385774DA"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0E2A993A"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13450B3B"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2E77989" w14:textId="77777777" w:rsidTr="009E3391">
        <w:tc>
          <w:tcPr>
            <w:tcW w:w="802" w:type="dxa"/>
            <w:vAlign w:val="center"/>
          </w:tcPr>
          <w:p w14:paraId="779675FD"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62396B30"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4FD1E914"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4,048,228.67</w:t>
            </w:r>
          </w:p>
        </w:tc>
      </w:tr>
    </w:tbl>
    <w:p w14:paraId="452E4B5F"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1C0E43BF"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6A49ADC2"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279BCE3C"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1F4396B6"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7EF97F75"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449BA650"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224819D0"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431316BB"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4E5BD96D"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§6  </w:t>
      </w:r>
      <w:r w:rsidRPr="00A3398F">
        <w:rPr>
          <w:rFonts w:eastAsiaTheme="minorEastAsia"/>
          <w:color w:val="000000" w:themeColor="text1"/>
          <w:kern w:val="0"/>
          <w:sz w:val="24"/>
          <w:szCs w:val="24"/>
        </w:rPr>
        <w:t>开放式基金份额变动</w:t>
      </w:r>
    </w:p>
    <w:p w14:paraId="34B10E1A"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7AAE84CF"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0776DDAE"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62314B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3ADE3BF2"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摩根欧洲动力策略股票</w:t>
            </w:r>
            <w:r w:rsidRPr="00A3398F">
              <w:rPr>
                <w:rFonts w:eastAsiaTheme="minorEastAsia"/>
                <w:color w:val="000000" w:themeColor="text1"/>
                <w:szCs w:val="21"/>
              </w:rPr>
              <w:t>(QDII)C</w:t>
            </w:r>
          </w:p>
        </w:tc>
      </w:tr>
      <w:tr w:rsidR="00225051" w:rsidRPr="00A3398F" w14:paraId="557DB226"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1429E77F"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6A2B50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93,193,913.10</w:t>
            </w:r>
          </w:p>
        </w:tc>
        <w:tc>
          <w:tcPr>
            <w:tcW w:w="2367" w:type="dxa"/>
            <w:tcBorders>
              <w:top w:val="single" w:sz="8" w:space="0" w:color="000000"/>
              <w:left w:val="single" w:sz="8" w:space="0" w:color="000000"/>
              <w:bottom w:val="single" w:sz="8" w:space="0" w:color="000000"/>
              <w:right w:val="single" w:sz="8" w:space="0" w:color="000000"/>
            </w:tcBorders>
            <w:vAlign w:val="center"/>
          </w:tcPr>
          <w:p w14:paraId="4B068DE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50,247,773.87</w:t>
            </w:r>
          </w:p>
        </w:tc>
      </w:tr>
      <w:tr w:rsidR="00225051" w:rsidRPr="00A3398F" w14:paraId="1435FB63"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2284B99"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EE906B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45,171,046.95</w:t>
            </w:r>
          </w:p>
        </w:tc>
        <w:tc>
          <w:tcPr>
            <w:tcW w:w="2367" w:type="dxa"/>
            <w:tcBorders>
              <w:top w:val="single" w:sz="8" w:space="0" w:color="000000"/>
              <w:left w:val="single" w:sz="8" w:space="0" w:color="000000"/>
              <w:bottom w:val="single" w:sz="8" w:space="0" w:color="000000"/>
              <w:right w:val="single" w:sz="8" w:space="0" w:color="000000"/>
            </w:tcBorders>
            <w:vAlign w:val="center"/>
          </w:tcPr>
          <w:p w14:paraId="7CB3AE6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21,271,547.93</w:t>
            </w:r>
          </w:p>
        </w:tc>
      </w:tr>
      <w:tr w:rsidR="00225051" w:rsidRPr="00A3398F" w14:paraId="38CF2818"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5F9BC55"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8BB120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24,181,810.61</w:t>
            </w:r>
          </w:p>
        </w:tc>
        <w:tc>
          <w:tcPr>
            <w:tcW w:w="2367" w:type="dxa"/>
            <w:tcBorders>
              <w:top w:val="single" w:sz="8" w:space="0" w:color="000000"/>
              <w:left w:val="single" w:sz="8" w:space="0" w:color="000000"/>
              <w:bottom w:val="single" w:sz="8" w:space="0" w:color="000000"/>
              <w:right w:val="single" w:sz="8" w:space="0" w:color="000000"/>
            </w:tcBorders>
            <w:vAlign w:val="center"/>
          </w:tcPr>
          <w:p w14:paraId="0BAE4D1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33,379,154.19</w:t>
            </w:r>
          </w:p>
        </w:tc>
      </w:tr>
      <w:tr w:rsidR="00225051" w:rsidRPr="00A3398F" w14:paraId="38D2D37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E41ECEB"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22AE92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33F920E"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2177E891"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0B08494B"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7F0756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114,183,149.44</w:t>
            </w:r>
          </w:p>
        </w:tc>
        <w:tc>
          <w:tcPr>
            <w:tcW w:w="2367" w:type="dxa"/>
            <w:tcBorders>
              <w:top w:val="single" w:sz="8" w:space="0" w:color="000000"/>
              <w:left w:val="single" w:sz="8" w:space="0" w:color="000000"/>
              <w:bottom w:val="single" w:sz="8" w:space="0" w:color="000000"/>
              <w:right w:val="single" w:sz="8" w:space="0" w:color="000000"/>
            </w:tcBorders>
            <w:vAlign w:val="center"/>
          </w:tcPr>
          <w:p w14:paraId="3ED58C66"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38,140,167.61</w:t>
            </w:r>
          </w:p>
        </w:tc>
      </w:tr>
    </w:tbl>
    <w:p w14:paraId="1021CF68"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7C1E7C41"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3891C1A6" w14:textId="77777777" w:rsidR="00D678E4" w:rsidRPr="00DF18FE" w:rsidRDefault="00D678E4" w:rsidP="00D678E4">
      <w:pPr>
        <w:spacing w:line="360" w:lineRule="auto"/>
        <w:ind w:firstLineChars="200" w:firstLine="480"/>
        <w:rPr>
          <w:color w:val="000000"/>
          <w:sz w:val="24"/>
        </w:rPr>
      </w:pPr>
      <w:r w:rsidRPr="00DF18FE">
        <w:rPr>
          <w:color w:val="000000"/>
          <w:sz w:val="24"/>
        </w:rPr>
        <w:t>无。</w:t>
      </w:r>
    </w:p>
    <w:p w14:paraId="4ABED6D8"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1644F8A2"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6F03225C"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14:paraId="664A1682"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434E796E"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349542A2"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5D2A1A3D"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基金合同》；</w:t>
      </w:r>
    </w:p>
    <w:p w14:paraId="333D8AC0"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托管协议》；</w:t>
      </w:r>
    </w:p>
    <w:p w14:paraId="5B00B380"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44F327D7"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3F4C43FD" w14:textId="77777777" w:rsidR="00173DA9" w:rsidRDefault="00A74F9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6BD9156D"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14:paraId="0217F29C" w14:textId="77777777" w:rsidR="008A2EC6" w:rsidRPr="00A3398F" w:rsidRDefault="008A2EC6" w:rsidP="000C7596">
      <w:pPr>
        <w:spacing w:line="360" w:lineRule="auto"/>
        <w:ind w:firstLineChars="200" w:firstLine="480"/>
        <w:rPr>
          <w:rFonts w:eastAsiaTheme="minorEastAsia"/>
          <w:color w:val="000000" w:themeColor="text1"/>
          <w:sz w:val="24"/>
        </w:rPr>
      </w:pPr>
    </w:p>
    <w:p w14:paraId="6BC2EF76"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lastRenderedPageBreak/>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306962D4"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14:paraId="56012B37" w14:textId="77777777" w:rsidR="008A2EC6" w:rsidRPr="00A3398F" w:rsidRDefault="008A2EC6" w:rsidP="000C7596">
      <w:pPr>
        <w:spacing w:line="360" w:lineRule="auto"/>
        <w:ind w:firstLineChars="200" w:firstLine="480"/>
        <w:rPr>
          <w:rFonts w:eastAsiaTheme="minorEastAsia"/>
          <w:color w:val="000000" w:themeColor="text1"/>
          <w:sz w:val="24"/>
        </w:rPr>
      </w:pPr>
    </w:p>
    <w:p w14:paraId="05E3D2C6"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101997BA"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40DE6AF9" w14:textId="77777777" w:rsidR="0076518F" w:rsidRPr="00A3398F" w:rsidRDefault="0076518F" w:rsidP="008B6A4A">
      <w:pPr>
        <w:spacing w:line="360" w:lineRule="auto"/>
        <w:ind w:firstLineChars="200" w:firstLine="480"/>
        <w:rPr>
          <w:rFonts w:eastAsiaTheme="minorEastAsia"/>
          <w:color w:val="000000" w:themeColor="text1"/>
          <w:sz w:val="24"/>
        </w:rPr>
      </w:pPr>
    </w:p>
    <w:p w14:paraId="2FBAB956" w14:textId="77777777" w:rsidR="008A2EC6" w:rsidRPr="00A3398F" w:rsidRDefault="008A2EC6" w:rsidP="008B6A4A">
      <w:pPr>
        <w:spacing w:line="360" w:lineRule="auto"/>
        <w:ind w:firstLineChars="200" w:firstLine="480"/>
        <w:rPr>
          <w:rFonts w:eastAsiaTheme="minorEastAsia"/>
          <w:color w:val="000000" w:themeColor="text1"/>
          <w:sz w:val="24"/>
        </w:rPr>
      </w:pPr>
    </w:p>
    <w:p w14:paraId="2964DAC8" w14:textId="77777777" w:rsidR="000C7596" w:rsidRPr="00A3398F" w:rsidRDefault="000C7596" w:rsidP="008B6A4A">
      <w:pPr>
        <w:spacing w:line="360" w:lineRule="auto"/>
        <w:ind w:firstLineChars="200" w:firstLine="480"/>
        <w:rPr>
          <w:rFonts w:eastAsiaTheme="minorEastAsia"/>
          <w:color w:val="000000" w:themeColor="text1"/>
          <w:sz w:val="24"/>
        </w:rPr>
      </w:pPr>
    </w:p>
    <w:p w14:paraId="1D29E986" w14:textId="77777777" w:rsidR="000C7596" w:rsidRPr="00A3398F" w:rsidRDefault="000C7596" w:rsidP="008B6A4A">
      <w:pPr>
        <w:spacing w:line="360" w:lineRule="auto"/>
        <w:ind w:firstLineChars="200" w:firstLine="480"/>
        <w:rPr>
          <w:rFonts w:eastAsiaTheme="minorEastAsia"/>
          <w:color w:val="000000" w:themeColor="text1"/>
          <w:sz w:val="24"/>
        </w:rPr>
      </w:pPr>
    </w:p>
    <w:p w14:paraId="6BF07C5D" w14:textId="77777777" w:rsidR="000C7596" w:rsidRPr="00A3398F" w:rsidRDefault="000C7596" w:rsidP="008B6A4A">
      <w:pPr>
        <w:spacing w:line="360" w:lineRule="auto"/>
        <w:ind w:firstLineChars="200" w:firstLine="480"/>
        <w:rPr>
          <w:rFonts w:eastAsiaTheme="minorEastAsia"/>
          <w:color w:val="000000" w:themeColor="text1"/>
          <w:sz w:val="24"/>
        </w:rPr>
      </w:pPr>
    </w:p>
    <w:p w14:paraId="03DFEEF4" w14:textId="77777777" w:rsidR="000C7596" w:rsidRPr="00A3398F" w:rsidRDefault="000C7596" w:rsidP="008B6A4A">
      <w:pPr>
        <w:spacing w:line="360" w:lineRule="auto"/>
        <w:ind w:firstLineChars="200" w:firstLine="480"/>
        <w:rPr>
          <w:rFonts w:eastAsiaTheme="minorEastAsia"/>
          <w:color w:val="000000" w:themeColor="text1"/>
          <w:sz w:val="24"/>
        </w:rPr>
      </w:pPr>
    </w:p>
    <w:p w14:paraId="40DEC129" w14:textId="77777777" w:rsidR="0076518F" w:rsidRPr="00A3398F" w:rsidRDefault="0076518F" w:rsidP="008B6A4A">
      <w:pPr>
        <w:spacing w:line="360" w:lineRule="auto"/>
        <w:ind w:firstLineChars="200" w:firstLine="480"/>
        <w:rPr>
          <w:rFonts w:eastAsiaTheme="minorEastAsia"/>
          <w:color w:val="000000" w:themeColor="text1"/>
          <w:sz w:val="24"/>
        </w:rPr>
      </w:pPr>
    </w:p>
    <w:p w14:paraId="3CA5166A"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2459B627"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二〇二五年一月二十二日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6F82" w14:textId="77777777" w:rsidR="002F74FC" w:rsidRDefault="002F74FC">
      <w:r>
        <w:separator/>
      </w:r>
    </w:p>
  </w:endnote>
  <w:endnote w:type="continuationSeparator" w:id="0">
    <w:p w14:paraId="050C0387"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653A" w14:textId="4B1521F4"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E4DC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E4DC5">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D93B"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4C5A4EC"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D51E" w14:textId="2D54001E"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4DC5">
      <w:rPr>
        <w:rStyle w:val="a8"/>
        <w:noProof/>
      </w:rPr>
      <w:t>15</w:t>
    </w:r>
    <w:r>
      <w:rPr>
        <w:rStyle w:val="a8"/>
      </w:rPr>
      <w:fldChar w:fldCharType="end"/>
    </w:r>
  </w:p>
  <w:p w14:paraId="478DAE0C"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BF6F"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632A3" w14:textId="77777777" w:rsidR="002F74FC" w:rsidRDefault="002F74FC">
      <w:r>
        <w:separator/>
      </w:r>
    </w:p>
  </w:footnote>
  <w:footnote w:type="continuationSeparator" w:id="0">
    <w:p w14:paraId="07E01A04"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8BC2" w14:textId="77777777" w:rsidR="00EF4716" w:rsidRPr="006669C9" w:rsidRDefault="00EF4716" w:rsidP="001D1356">
    <w:pPr>
      <w:pStyle w:val="aa"/>
      <w:pBdr>
        <w:bottom w:val="single" w:sz="6" w:space="0" w:color="auto"/>
      </w:pBdr>
      <w:jc w:val="right"/>
    </w:pPr>
    <w:r w:rsidRPr="006669C9">
      <w:t>摩根欧洲动力策略股票型证券投资基金</w:t>
    </w:r>
    <w:r w:rsidRPr="006669C9">
      <w:t>(QDII)2024</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4A380"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6453"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3DA9"/>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4F93"/>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4DC5"/>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B7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1FFD03D4"/>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5928669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17325343">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123</TotalTime>
  <Pages>17</Pages>
  <Words>1417</Words>
  <Characters>8080</Characters>
  <Application>Microsoft Office Word</Application>
  <DocSecurity>0</DocSecurity>
  <Lines>67</Lines>
  <Paragraphs>18</Paragraphs>
  <ScaleCrop>false</ScaleCrop>
  <Company>TRT. Ltd. Co.</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33</cp:revision>
  <cp:lastPrinted>2007-07-19T00:46:00Z</cp:lastPrinted>
  <dcterms:created xsi:type="dcterms:W3CDTF">2014-12-16T02:40:00Z</dcterms:created>
  <dcterms:modified xsi:type="dcterms:W3CDTF">2025-01-21T06:36:00Z</dcterms:modified>
</cp:coreProperties>
</file>