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59E7" w:rsidRDefault="00CF3094">
      <w:pPr>
        <w:spacing w:line="360" w:lineRule="auto"/>
        <w:rPr>
          <w:rFonts w:ascii="宋体" w:hAnsi="宋体"/>
          <w:sz w:val="48"/>
        </w:rPr>
      </w:pPr>
      <w:bookmarkStart w:id="0" w:name="_GoBack"/>
      <w:bookmarkEnd w:id="0"/>
      <w:r>
        <w:rPr>
          <w:rFonts w:ascii="宋体" w:hAnsi="宋体" w:hint="eastAsia"/>
          <w:sz w:val="48"/>
        </w:rPr>
        <w:t xml:space="preserve">　 </w:t>
      </w:r>
    </w:p>
    <w:p w:rsidR="00AA59E7" w:rsidRDefault="00CF3094">
      <w:pPr>
        <w:spacing w:line="360" w:lineRule="auto"/>
        <w:rPr>
          <w:rFonts w:ascii="宋体" w:hAnsi="宋体"/>
          <w:sz w:val="48"/>
        </w:rPr>
      </w:pPr>
      <w:r>
        <w:rPr>
          <w:rFonts w:ascii="宋体" w:hAnsi="宋体" w:hint="eastAsia"/>
          <w:sz w:val="48"/>
        </w:rPr>
        <w:t xml:space="preserve">　 </w:t>
      </w:r>
    </w:p>
    <w:p w:rsidR="00AA59E7" w:rsidRDefault="00CF3094">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sz w:val="48"/>
          <w:szCs w:val="48"/>
        </w:rPr>
        <w:t>摩根欧洲动力策略股票型证券投资基金(QDII)</w:t>
      </w:r>
      <w:r>
        <w:rPr>
          <w:rFonts w:ascii="宋体" w:hAnsi="宋体" w:hint="eastAsia"/>
          <w:b/>
          <w:bCs/>
          <w:sz w:val="48"/>
          <w:szCs w:val="48"/>
        </w:rPr>
        <w:br/>
        <w:t>2025年第1季度报告</w:t>
      </w:r>
    </w:p>
    <w:p w:rsidR="00AA59E7" w:rsidRDefault="00CF3094">
      <w:pPr>
        <w:spacing w:line="360" w:lineRule="auto"/>
        <w:jc w:val="center"/>
        <w:rPr>
          <w:rFonts w:ascii="宋体" w:hAnsi="宋体"/>
          <w:b/>
          <w:bCs/>
          <w:sz w:val="28"/>
          <w:szCs w:val="30"/>
        </w:rPr>
      </w:pPr>
      <w:r>
        <w:rPr>
          <w:rFonts w:ascii="宋体" w:hAnsi="宋体" w:hint="eastAsia"/>
          <w:b/>
          <w:bCs/>
          <w:sz w:val="28"/>
          <w:szCs w:val="30"/>
        </w:rPr>
        <w:t xml:space="preserve">　 </w:t>
      </w:r>
    </w:p>
    <w:p w:rsidR="00AA59E7" w:rsidRDefault="00CF3094">
      <w:pPr>
        <w:spacing w:line="360" w:lineRule="auto"/>
        <w:jc w:val="center"/>
      </w:pPr>
      <w:r>
        <w:rPr>
          <w:rFonts w:ascii="宋体" w:hAnsi="宋体" w:hint="eastAsia"/>
          <w:b/>
          <w:bCs/>
          <w:sz w:val="28"/>
          <w:szCs w:val="30"/>
        </w:rPr>
        <w:t>2025年3月31日</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AA59E7" w:rsidRDefault="00CF3094">
      <w:pPr>
        <w:spacing w:line="360" w:lineRule="auto"/>
        <w:ind w:firstLineChars="800" w:firstLine="2249"/>
        <w:jc w:val="left"/>
      </w:pPr>
      <w:r>
        <w:rPr>
          <w:rFonts w:ascii="宋体" w:hAnsi="宋体" w:hint="eastAsia"/>
          <w:b/>
          <w:bCs/>
          <w:sz w:val="28"/>
          <w:szCs w:val="30"/>
        </w:rPr>
        <w:t>基金管理人：摩根基金管理（中国）有限公司</w:t>
      </w:r>
    </w:p>
    <w:p w:rsidR="00AA59E7" w:rsidRDefault="00CF3094">
      <w:pPr>
        <w:spacing w:line="360" w:lineRule="auto"/>
        <w:ind w:firstLineChars="800" w:firstLine="2249"/>
        <w:jc w:val="left"/>
      </w:pPr>
      <w:r>
        <w:rPr>
          <w:rFonts w:ascii="宋体" w:hAnsi="宋体" w:hint="eastAsia"/>
          <w:b/>
          <w:bCs/>
          <w:sz w:val="28"/>
          <w:szCs w:val="30"/>
        </w:rPr>
        <w:t>基金托管人：招商银行股份有限公司</w:t>
      </w:r>
    </w:p>
    <w:p w:rsidR="00AA59E7" w:rsidRDefault="00CF3094">
      <w:pPr>
        <w:spacing w:line="360" w:lineRule="auto"/>
        <w:ind w:firstLineChars="800" w:firstLine="2249"/>
        <w:jc w:val="left"/>
      </w:pPr>
      <w:r>
        <w:rPr>
          <w:rFonts w:ascii="宋体" w:hAnsi="宋体" w:hint="eastAsia"/>
          <w:b/>
          <w:bCs/>
          <w:sz w:val="28"/>
          <w:szCs w:val="30"/>
        </w:rPr>
        <w:t>报告送出日期：2025年4月22日</w:t>
      </w:r>
    </w:p>
    <w:p w:rsidR="00AA59E7" w:rsidRDefault="00CF3094">
      <w:pPr>
        <w:pStyle w:val="XBRLTitle1"/>
        <w:spacing w:before="156"/>
        <w:ind w:left="425"/>
      </w:pPr>
      <w:r>
        <w:rPr>
          <w:rFonts w:cs="宋体" w:hint="eastAsia"/>
          <w:color w:val="404040"/>
          <w:kern w:val="0"/>
        </w:rPr>
        <w:br w:type="page"/>
      </w:r>
      <w:bookmarkStart w:id="8" w:name="_Toc514088243"/>
      <w:bookmarkStart w:id="9" w:name="_Toc480465412"/>
      <w:bookmarkStart w:id="10" w:name="_Toc448480282"/>
      <w:bookmarkStart w:id="11" w:name="_Toc438654070"/>
      <w:bookmarkStart w:id="12" w:name="_Toc456107117"/>
      <w:bookmarkStart w:id="13" w:name="_Toc459213763"/>
      <w:bookmarkStart w:id="14" w:name="_Toc513542644"/>
      <w:bookmarkStart w:id="15" w:name="_Toc512696250"/>
      <w:bookmarkStart w:id="16" w:name="_Toc512612253"/>
      <w:bookmarkStart w:id="17" w:name="_Toc512612077"/>
      <w:bookmarkStart w:id="18" w:name="_Toc512611281"/>
      <w:bookmarkStart w:id="19" w:name="m101"/>
      <w:proofErr w:type="spellStart"/>
      <w:r>
        <w:rPr>
          <w:rFonts w:hint="eastAsia"/>
        </w:rPr>
        <w:lastRenderedPageBreak/>
        <w:t>重要提示</w:t>
      </w:r>
      <w:bookmarkEnd w:id="8"/>
      <w:bookmarkEnd w:id="9"/>
      <w:bookmarkEnd w:id="10"/>
      <w:bookmarkEnd w:id="11"/>
      <w:bookmarkEnd w:id="12"/>
      <w:bookmarkEnd w:id="13"/>
      <w:bookmarkEnd w:id="14"/>
      <w:bookmarkEnd w:id="15"/>
      <w:bookmarkEnd w:id="16"/>
      <w:bookmarkEnd w:id="17"/>
      <w:bookmarkEnd w:id="18"/>
      <w:proofErr w:type="spellEnd"/>
    </w:p>
    <w:p w:rsidR="00AA59E7" w:rsidRDefault="00CF3094">
      <w:pPr>
        <w:spacing w:line="360" w:lineRule="auto"/>
        <w:ind w:firstLineChars="200" w:firstLine="420"/>
        <w:divId w:val="797600517"/>
      </w:pPr>
      <w:bookmarkStart w:id="20" w:name="m502"/>
      <w:bookmarkStart w:id="21" w:name="_Toc438646470"/>
      <w:bookmarkStart w:id="22" w:name="m504"/>
      <w:bookmarkStart w:id="23" w:name="m08QD_01"/>
      <w:bookmarkStart w:id="24" w:name="_Toc194311890"/>
      <w:bookmarkStart w:id="25" w:name="m201"/>
      <w:bookmarkStart w:id="26"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AA59E7" w:rsidRDefault="00CF3094">
      <w:pPr>
        <w:pStyle w:val="XBRLTitle1"/>
        <w:spacing w:before="156"/>
        <w:ind w:left="425"/>
      </w:pPr>
      <w:bookmarkStart w:id="27" w:name="_Toc514088244"/>
      <w:bookmarkStart w:id="28" w:name="_Toc480465413"/>
      <w:bookmarkStart w:id="29" w:name="_Toc448480283"/>
      <w:bookmarkStart w:id="30" w:name="_Toc438654071"/>
      <w:bookmarkStart w:id="31" w:name="_Toc456107118"/>
      <w:bookmarkStart w:id="32" w:name="_Toc459213764"/>
      <w:bookmarkStart w:id="33" w:name="_Toc513542645"/>
      <w:bookmarkStart w:id="34" w:name="_Toc512696251"/>
      <w:bookmarkStart w:id="35" w:name="_Toc512612254"/>
      <w:bookmarkStart w:id="36" w:name="_Toc512612078"/>
      <w:bookmarkStart w:id="37" w:name="_Toc512611282"/>
      <w:proofErr w:type="spellStart"/>
      <w:r>
        <w:rPr>
          <w:rFonts w:hint="eastAsia"/>
        </w:rPr>
        <w:t>基金产品概况</w:t>
      </w:r>
      <w:bookmarkEnd w:id="27"/>
      <w:bookmarkEnd w:id="28"/>
      <w:bookmarkEnd w:id="29"/>
      <w:bookmarkEnd w:id="30"/>
      <w:bookmarkEnd w:id="31"/>
      <w:bookmarkEnd w:id="32"/>
      <w:bookmarkEnd w:id="33"/>
      <w:bookmarkEnd w:id="34"/>
      <w:bookmarkEnd w:id="35"/>
      <w:bookmarkEnd w:id="36"/>
      <w:bookmarkEnd w:id="37"/>
      <w:proofErr w:type="spellEnd"/>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AA59E7">
        <w:trPr>
          <w:divId w:val="638847697"/>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bookmarkStart w:id="38" w:name="OLE_LINK1"/>
            <w:bookmarkEnd w:id="19"/>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szCs w:val="24"/>
                <w:lang w:eastAsia="zh-Hans"/>
              </w:rPr>
              <w:t>摩根欧洲动力策略股票(QDII)</w:t>
            </w:r>
            <w:r>
              <w:rPr>
                <w:rFonts w:ascii="宋体" w:hAnsi="宋体" w:hint="eastAsia"/>
                <w:lang w:eastAsia="zh-Hans"/>
              </w:rPr>
              <w:t xml:space="preserve"> </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006282</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契约型开放式</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2018年10月31日</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202,172,156.13</w:t>
            </w:r>
            <w:r>
              <w:rPr>
                <w:rFonts w:asciiTheme="minorHAnsi" w:eastAsiaTheme="minorEastAsia" w:hAnsiTheme="minorHAnsi" w:hint="eastAsia"/>
              </w:rPr>
              <w:t>份</w:t>
            </w:r>
            <w:r>
              <w:rPr>
                <w:rFonts w:ascii="宋体" w:hAnsi="宋体" w:hint="eastAsia"/>
                <w:lang w:eastAsia="zh-Hans"/>
              </w:rPr>
              <w:t xml:space="preserve"> </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本基金主要投资于欧洲股票，在严格控制风险的前提下追求超越业绩比较基准的回报。</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1、资产配置策略</w:t>
            </w:r>
            <w:r>
              <w:rPr>
                <w:rFonts w:ascii="宋体" w:hAnsi="宋体" w:hint="eastAsia"/>
                <w:lang w:eastAsia="zh-Hans"/>
              </w:rPr>
              <w:br/>
              <w:t>本基金将根据欧洲资本市场情况、企业竞争优势等进行综合分析、评估，精选优秀的欧洲企业进行跨市场配置以构建股票投资组合。</w:t>
            </w:r>
            <w:r>
              <w:rPr>
                <w:rFonts w:ascii="宋体" w:hAnsi="宋体" w:hint="eastAsia"/>
                <w:lang w:eastAsia="zh-Hans"/>
              </w:rPr>
              <w:br/>
              <w:t>2、本基金的股票投资策略如下：</w:t>
            </w:r>
            <w:r>
              <w:rPr>
                <w:rFonts w:ascii="宋体" w:hAnsi="宋体" w:hint="eastAsia"/>
                <w:lang w:eastAsia="zh-Hans"/>
              </w:rPr>
              <w:br/>
              <w:t>（1）本基金综合考虑不同欧洲地区不同市场的宏观经济环境、增长和通胀背景、不同市场的估值水平和流动性因素、相关公司所处的发展阶段、盈利前景和竞争环境以及其他影响投资组合回报及风险的重要要素将基金资产在欧洲市场之间进行配置。</w:t>
            </w:r>
            <w:r>
              <w:rPr>
                <w:rFonts w:ascii="宋体" w:hAnsi="宋体" w:hint="eastAsia"/>
                <w:lang w:eastAsia="zh-Hans"/>
              </w:rPr>
              <w:br/>
            </w:r>
            <w:r>
              <w:rPr>
                <w:rFonts w:ascii="宋体" w:hAnsi="宋体" w:hint="eastAsia"/>
                <w:lang w:eastAsia="zh-Hans"/>
              </w:rPr>
              <w:lastRenderedPageBreak/>
              <w:t>（2）个股选择：从估值、股票质量及趋势三个维度在欧洲上市公司股票中进行筛选，估值方面主要考虑基于市盈率、自由现金流收益率和其他相关价值衡量指标，横向对比选取估值相对便宜的股票；股票质量方面主要考虑企业盈利的可持续性、企业资本的运用配置情况及实际盈利能力，选取拥有可持续利润及严谨的资本管理的盈利公司；股票动能方面，通过每日跟踪公司盈利公告、订单及产品计划，选取正处于正面盈利趋势及正面价格趋势双支撑的股票。除前述三个维度外，本基金还将综合分析企业的财务状况、商业模式以及公司管理层三个方面，从中筛选出优秀的上市公司。</w:t>
            </w:r>
            <w:r>
              <w:rPr>
                <w:rFonts w:ascii="宋体" w:hAnsi="宋体" w:hint="eastAsia"/>
                <w:lang w:eastAsia="zh-Hans"/>
              </w:rPr>
              <w:br/>
              <w:t>（3）投资组合构建：根据上述精选出的个股，结合各项定量和定性指标挑选出最具上涨潜力的标的自下而上构建投资组合。</w:t>
            </w:r>
            <w:r>
              <w:rPr>
                <w:rFonts w:ascii="宋体" w:hAnsi="宋体" w:hint="eastAsia"/>
                <w:lang w:eastAsia="zh-Hans"/>
              </w:rPr>
              <w:br/>
              <w:t>3、其他投资策略：包括债券投资策略、中小企业私募债投资策略、证券公司短期公司债投资策略、资产支持证券投资策略、金融衍生品投资策略。</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本基金的业绩比较基准：90%×MSCI欧洲净收益指数（MSCI Europe Index (Total Return Net)）收益率+ 10%×税后银行活期存款收益率</w:t>
            </w:r>
          </w:p>
        </w:tc>
      </w:tr>
      <w:tr w:rsidR="00AA59E7">
        <w:trPr>
          <w:divId w:val="63884769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本基金属于股票型基金产品，预期风险和收益水平高于混合型基金、债券型基金和货币市场基金。</w:t>
            </w:r>
          </w:p>
        </w:tc>
      </w:tr>
      <w:tr w:rsidR="00AA59E7">
        <w:trPr>
          <w:divId w:val="63884769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摩根基金管理（中国）有限公司</w:t>
            </w:r>
          </w:p>
        </w:tc>
      </w:tr>
      <w:tr w:rsidR="00AA59E7">
        <w:trPr>
          <w:divId w:val="63884769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招商银行股份有限公司</w:t>
            </w:r>
          </w:p>
        </w:tc>
      </w:tr>
      <w:tr w:rsidR="00AA59E7">
        <w:trPr>
          <w:divId w:val="63884769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A59E7" w:rsidRDefault="00CF3094">
            <w:pPr>
              <w:spacing w:line="360" w:lineRule="auto"/>
              <w:jc w:val="left"/>
            </w:pPr>
            <w:bookmarkStart w:id="39"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center"/>
            </w:pPr>
            <w:r>
              <w:rPr>
                <w:rFonts w:ascii="宋体" w:hAnsi="宋体" w:hint="eastAsia"/>
                <w:lang w:eastAsia="zh-Hans"/>
              </w:rPr>
              <w:t>摩根欧洲动力策略股票(QDII)A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center"/>
            </w:pPr>
            <w:r>
              <w:rPr>
                <w:rFonts w:ascii="宋体" w:hAnsi="宋体" w:hint="eastAsia"/>
                <w:lang w:eastAsia="zh-Hans"/>
              </w:rPr>
              <w:t>摩根欧洲动力策略股票(QDII)C</w:t>
            </w:r>
            <w:r>
              <w:rPr>
                <w:rFonts w:ascii="宋体" w:hAnsi="宋体" w:hint="eastAsia"/>
                <w:kern w:val="0"/>
                <w:sz w:val="20"/>
                <w:lang w:eastAsia="zh-Hans"/>
              </w:rPr>
              <w:t xml:space="preserve"> </w:t>
            </w:r>
          </w:p>
        </w:tc>
      </w:tr>
      <w:tr w:rsidR="00AA59E7">
        <w:trPr>
          <w:divId w:val="63884769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A59E7" w:rsidRDefault="00CF3094">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center"/>
            </w:pPr>
            <w:r>
              <w:rPr>
                <w:rFonts w:ascii="宋体" w:hAnsi="宋体" w:hint="eastAsia"/>
                <w:lang w:eastAsia="zh-Hans"/>
              </w:rPr>
              <w:t>006282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center"/>
            </w:pPr>
            <w:r>
              <w:rPr>
                <w:rFonts w:ascii="宋体" w:hAnsi="宋体" w:hint="eastAsia"/>
                <w:lang w:eastAsia="zh-Hans"/>
              </w:rPr>
              <w:t>019450</w:t>
            </w:r>
            <w:r>
              <w:rPr>
                <w:rFonts w:ascii="宋体" w:hAnsi="宋体" w:hint="eastAsia"/>
                <w:kern w:val="0"/>
                <w:sz w:val="20"/>
                <w:lang w:eastAsia="zh-Hans"/>
              </w:rPr>
              <w:t xml:space="preserve"> </w:t>
            </w:r>
          </w:p>
        </w:tc>
      </w:tr>
      <w:bookmarkEnd w:id="39"/>
      <w:tr w:rsidR="00AA59E7">
        <w:trPr>
          <w:divId w:val="63884769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AA59E7" w:rsidRDefault="00CF3094">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lang w:eastAsia="zh-Hans"/>
              </w:rPr>
              <w:t>137,601,204.10</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lang w:eastAsia="zh-Hans"/>
              </w:rPr>
              <w:t>64,570,952.03</w:t>
            </w:r>
            <w:r>
              <w:rPr>
                <w:rFonts w:hint="eastAsia"/>
              </w:rPr>
              <w:t>份</w:t>
            </w:r>
            <w:r>
              <w:rPr>
                <w:rFonts w:ascii="宋体" w:hAnsi="宋体" w:hint="eastAsia"/>
                <w:lang w:eastAsia="zh-Hans"/>
              </w:rPr>
              <w:t xml:space="preserve"> </w:t>
            </w:r>
          </w:p>
        </w:tc>
      </w:tr>
      <w:tr w:rsidR="00AA59E7">
        <w:trPr>
          <w:divId w:val="638847697"/>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英文名称：JPMorgan Asset Management(UK) Limited</w:t>
            </w:r>
          </w:p>
        </w:tc>
      </w:tr>
      <w:tr w:rsidR="00AA59E7">
        <w:trPr>
          <w:divId w:val="6388476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59E7" w:rsidRDefault="00AA59E7">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widowControl/>
              <w:spacing w:line="315" w:lineRule="atLeast"/>
              <w:jc w:val="left"/>
            </w:pPr>
            <w:r>
              <w:rPr>
                <w:rFonts w:ascii="宋体" w:hAnsi="宋体" w:hint="eastAsia"/>
                <w:lang w:eastAsia="zh-Hans"/>
              </w:rPr>
              <w:t>中文名称：摩根资产管理(英国)有限公司</w:t>
            </w:r>
            <w:r>
              <w:rPr>
                <w:rFonts w:asciiTheme="minorEastAsia" w:eastAsiaTheme="minorEastAsia" w:hAnsiTheme="minorEastAsia" w:hint="eastAsia"/>
              </w:rPr>
              <w:t xml:space="preserve"> </w:t>
            </w:r>
          </w:p>
        </w:tc>
      </w:tr>
      <w:tr w:rsidR="00AA59E7">
        <w:trPr>
          <w:divId w:val="638847697"/>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rPr>
              <w:lastRenderedPageBreak/>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spacing w:line="360" w:lineRule="auto"/>
              <w:jc w:val="left"/>
            </w:pPr>
            <w:r>
              <w:rPr>
                <w:rFonts w:ascii="宋体" w:hAnsi="宋体" w:hint="eastAsia"/>
                <w:lang w:eastAsia="zh-Hans"/>
              </w:rPr>
              <w:t>英文名称：The Hong Kong and Shanghai Banking Corporation Limited</w:t>
            </w:r>
          </w:p>
        </w:tc>
      </w:tr>
      <w:tr w:rsidR="00AA59E7">
        <w:trPr>
          <w:divId w:val="638847697"/>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A59E7" w:rsidRDefault="00AA59E7">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AA59E7" w:rsidRDefault="00CF3094">
      <w:pPr>
        <w:pStyle w:val="XBRLTitle1"/>
        <w:spacing w:before="156"/>
        <w:ind w:left="425"/>
      </w:pPr>
      <w:bookmarkStart w:id="40" w:name="_Toc514088245"/>
      <w:bookmarkStart w:id="41" w:name="_Toc480465415"/>
      <w:bookmarkStart w:id="42" w:name="_Toc448480286"/>
      <w:bookmarkStart w:id="43" w:name="_Toc438654074"/>
      <w:bookmarkStart w:id="44" w:name="_Toc456107120"/>
      <w:bookmarkStart w:id="45" w:name="_Toc459213766"/>
      <w:bookmarkStart w:id="46" w:name="_Toc513542646"/>
      <w:bookmarkStart w:id="47" w:name="_Toc512696252"/>
      <w:bookmarkStart w:id="48" w:name="_Toc512612255"/>
      <w:bookmarkStart w:id="49" w:name="_Toc512612079"/>
      <w:bookmarkStart w:id="50" w:name="_Toc512611283"/>
      <w:bookmarkStart w:id="51" w:name="m401_tab"/>
      <w:bookmarkStart w:id="52" w:name="m401"/>
      <w:bookmarkEnd w:id="38"/>
      <w:proofErr w:type="spellStart"/>
      <w:r>
        <w:rPr>
          <w:rFonts w:hint="eastAsia"/>
        </w:rPr>
        <w:t>主要财务指标和基金净值表现</w:t>
      </w:r>
      <w:bookmarkEnd w:id="40"/>
      <w:bookmarkEnd w:id="41"/>
      <w:bookmarkEnd w:id="42"/>
      <w:bookmarkEnd w:id="43"/>
      <w:bookmarkEnd w:id="44"/>
      <w:bookmarkEnd w:id="45"/>
      <w:bookmarkEnd w:id="46"/>
      <w:bookmarkEnd w:id="47"/>
      <w:bookmarkEnd w:id="48"/>
      <w:bookmarkEnd w:id="49"/>
      <w:bookmarkEnd w:id="50"/>
      <w:proofErr w:type="spellEnd"/>
    </w:p>
    <w:p w:rsidR="00AA59E7" w:rsidRDefault="00CF3094">
      <w:pPr>
        <w:pStyle w:val="XBRLTitle2"/>
        <w:spacing w:before="156" w:line="360" w:lineRule="auto"/>
        <w:ind w:left="454"/>
      </w:pPr>
      <w:bookmarkStart w:id="53" w:name="_Toc514088246"/>
      <w:bookmarkStart w:id="54" w:name="_Toc480465416"/>
      <w:bookmarkStart w:id="55" w:name="_Toc448480287"/>
      <w:bookmarkStart w:id="56" w:name="_Toc438654075"/>
      <w:bookmarkStart w:id="57" w:name="_Toc456107121"/>
      <w:bookmarkStart w:id="58" w:name="_Toc459213767"/>
      <w:bookmarkStart w:id="59" w:name="_Toc513542647"/>
      <w:bookmarkStart w:id="60" w:name="_Toc512696253"/>
      <w:bookmarkStart w:id="61" w:name="_Toc512612256"/>
      <w:bookmarkStart w:id="62" w:name="_Toc512612080"/>
      <w:bookmarkStart w:id="63" w:name="_Toc512611284"/>
      <w:proofErr w:type="spellStart"/>
      <w:r>
        <w:rPr>
          <w:rFonts w:eastAsia="宋体" w:hint="eastAsia"/>
        </w:rPr>
        <w:t>主要财务指标</w:t>
      </w:r>
      <w:bookmarkEnd w:id="53"/>
      <w:bookmarkEnd w:id="54"/>
      <w:bookmarkEnd w:id="55"/>
      <w:bookmarkEnd w:id="56"/>
      <w:bookmarkEnd w:id="57"/>
      <w:bookmarkEnd w:id="58"/>
      <w:proofErr w:type="spellEnd"/>
      <w:r>
        <w:rPr>
          <w:rFonts w:eastAsia="宋体" w:hint="eastAsia"/>
        </w:rPr>
        <w:t xml:space="preserve"> </w:t>
      </w:r>
      <w:bookmarkEnd w:id="59"/>
      <w:bookmarkEnd w:id="60"/>
      <w:bookmarkEnd w:id="61"/>
      <w:bookmarkEnd w:id="62"/>
      <w:bookmarkEnd w:id="63"/>
    </w:p>
    <w:p w:rsidR="00AA59E7" w:rsidRDefault="00CF3094">
      <w:pPr>
        <w:jc w:val="right"/>
        <w:divId w:val="182755517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2982"/>
        <w:gridCol w:w="2982"/>
      </w:tblGrid>
      <w:tr w:rsidR="00AA59E7">
        <w:trPr>
          <w:divId w:val="182755517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A59E7" w:rsidRDefault="00CF309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AA59E7" w:rsidRDefault="00CF3094">
            <w:pPr>
              <w:pStyle w:val="a5"/>
              <w:jc w:val="center"/>
            </w:pPr>
            <w:r>
              <w:rPr>
                <w:rFonts w:hint="eastAsia"/>
                <w:kern w:val="2"/>
                <w:sz w:val="21"/>
                <w:szCs w:val="24"/>
                <w:lang w:eastAsia="zh-Hans"/>
              </w:rPr>
              <w:t xml:space="preserve">报告期（2025年1月1日-2025年3月31日） </w:t>
            </w:r>
          </w:p>
        </w:tc>
      </w:tr>
      <w:tr w:rsidR="00AA59E7">
        <w:trPr>
          <w:divId w:val="182755517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A59E7" w:rsidRDefault="00CF3094">
            <w:pPr>
              <w:jc w:val="center"/>
            </w:pPr>
            <w:r>
              <w:rPr>
                <w:rFonts w:ascii="宋体" w:hAnsi="宋体" w:hint="eastAsia"/>
                <w:szCs w:val="24"/>
                <w:lang w:eastAsia="zh-Hans"/>
              </w:rPr>
              <w:t>摩根欧洲动力策略股票(QDII)A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AA59E7" w:rsidRDefault="00CF3094">
            <w:pPr>
              <w:jc w:val="center"/>
            </w:pPr>
            <w:r>
              <w:rPr>
                <w:rFonts w:ascii="宋体" w:hAnsi="宋体" w:hint="eastAsia"/>
                <w:szCs w:val="24"/>
                <w:lang w:eastAsia="zh-Hans"/>
              </w:rPr>
              <w:t>摩根欧洲动力策略股票(QDII)C</w:t>
            </w:r>
          </w:p>
        </w:tc>
      </w:tr>
      <w:tr w:rsidR="00AA59E7">
        <w:trPr>
          <w:divId w:val="18275551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2,247,180.92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590,922.76</w:t>
            </w:r>
          </w:p>
        </w:tc>
      </w:tr>
      <w:tr w:rsidR="00AA59E7">
        <w:trPr>
          <w:divId w:val="18275551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14,130,526.74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3,911,052.67</w:t>
            </w:r>
          </w:p>
        </w:tc>
      </w:tr>
      <w:tr w:rsidR="00AA59E7">
        <w:trPr>
          <w:divId w:val="18275551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0.1162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0.0913</w:t>
            </w:r>
          </w:p>
        </w:tc>
      </w:tr>
      <w:tr w:rsidR="00AA59E7">
        <w:trPr>
          <w:divId w:val="18275551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204,131,436.64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95,637,136.07</w:t>
            </w:r>
          </w:p>
        </w:tc>
      </w:tr>
      <w:tr w:rsidR="00AA59E7">
        <w:trPr>
          <w:divId w:val="182755517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1.4835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AA59E7" w:rsidRDefault="00CF3094">
            <w:pPr>
              <w:jc w:val="right"/>
            </w:pPr>
            <w:r>
              <w:rPr>
                <w:rFonts w:ascii="宋体" w:hAnsi="宋体" w:hint="eastAsia"/>
                <w:szCs w:val="24"/>
                <w:lang w:eastAsia="zh-Hans"/>
              </w:rPr>
              <w:t>1.4811</w:t>
            </w:r>
          </w:p>
        </w:tc>
      </w:tr>
    </w:tbl>
    <w:p w:rsidR="00AA59E7" w:rsidRDefault="00CF3094">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AA59E7" w:rsidRDefault="00CF3094">
      <w:pPr>
        <w:pStyle w:val="XBRLTitle2"/>
        <w:spacing w:before="156" w:line="360" w:lineRule="auto"/>
        <w:ind w:left="454"/>
      </w:pPr>
      <w:bookmarkStart w:id="64" w:name="_Toc514088247"/>
      <w:bookmarkStart w:id="65" w:name="_Toc480465417"/>
      <w:bookmarkStart w:id="66" w:name="_Toc448480288"/>
      <w:bookmarkStart w:id="67" w:name="_Toc438654076"/>
      <w:bookmarkStart w:id="68" w:name="_Toc456107122"/>
      <w:bookmarkStart w:id="69" w:name="_Toc459213768"/>
      <w:bookmarkStart w:id="70" w:name="_Toc513542648"/>
      <w:bookmarkStart w:id="71" w:name="_Toc512696254"/>
      <w:bookmarkStart w:id="72" w:name="_Toc512612257"/>
      <w:bookmarkStart w:id="73" w:name="_Toc512612081"/>
      <w:bookmarkStart w:id="74" w:name="_Toc512611285"/>
      <w:proofErr w:type="spellStart"/>
      <w:r>
        <w:rPr>
          <w:rFonts w:eastAsia="宋体" w:hint="eastAsia"/>
        </w:rPr>
        <w:t>基金净值表现</w:t>
      </w:r>
      <w:bookmarkEnd w:id="64"/>
      <w:bookmarkEnd w:id="65"/>
      <w:bookmarkEnd w:id="66"/>
      <w:bookmarkEnd w:id="67"/>
      <w:bookmarkEnd w:id="68"/>
      <w:bookmarkEnd w:id="69"/>
      <w:bookmarkEnd w:id="70"/>
      <w:bookmarkEnd w:id="71"/>
      <w:bookmarkEnd w:id="72"/>
      <w:bookmarkEnd w:id="73"/>
      <w:bookmarkEnd w:id="74"/>
      <w:proofErr w:type="spellEnd"/>
      <w:r>
        <w:rPr>
          <w:rFonts w:eastAsia="宋体" w:hint="eastAsia"/>
        </w:rPr>
        <w:t xml:space="preserve"> </w:t>
      </w:r>
    </w:p>
    <w:p w:rsidR="00AA59E7" w:rsidRDefault="00CF3094">
      <w:pPr>
        <w:pStyle w:val="XBRLTitle3"/>
        <w:spacing w:before="156" w:line="360" w:lineRule="auto"/>
        <w:ind w:left="624"/>
      </w:pPr>
      <w:bookmarkStart w:id="75" w:name="_Toc514088248"/>
      <w:bookmarkStart w:id="76" w:name="_Toc513542649"/>
      <w:bookmarkStart w:id="77" w:name="_Toc480465418"/>
      <w:proofErr w:type="spellStart"/>
      <w:r>
        <w:rPr>
          <w:rFonts w:hAnsi="宋体" w:hint="eastAsia"/>
        </w:rPr>
        <w:t>基金份额净值增长率及其与同期业绩比较基准收益率的比较</w:t>
      </w:r>
      <w:bookmarkEnd w:id="75"/>
      <w:bookmarkEnd w:id="76"/>
      <w:bookmarkEnd w:id="77"/>
      <w:proofErr w:type="spellEnd"/>
      <w:r>
        <w:rPr>
          <w:rFonts w:hAnsi="宋体" w:hint="eastAsia"/>
        </w:rPr>
        <w:t xml:space="preserve"> </w:t>
      </w:r>
    </w:p>
    <w:p w:rsidR="00AA59E7" w:rsidRDefault="00CF3094">
      <w:pPr>
        <w:spacing w:line="360" w:lineRule="auto"/>
        <w:jc w:val="center"/>
        <w:divId w:val="779956428"/>
      </w:pPr>
      <w:r>
        <w:rPr>
          <w:rFonts w:ascii="宋体" w:hAnsi="宋体" w:hint="eastAsia"/>
        </w:rPr>
        <w:t>摩根欧洲动力策略股票(QDII)A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A59E7">
        <w:trPr>
          <w:divId w:val="77995642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②－④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9.06%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9.30%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-0.24%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-0.04%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3.01%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1.06%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-0.11%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5.68%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7.34%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-1.66%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-0.06%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28.42%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35.92%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-7.50%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-0.15%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69.58%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0.92%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79.30%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1.05%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-9.72%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-0.13% </w:t>
            </w:r>
          </w:p>
        </w:tc>
      </w:tr>
      <w:tr w:rsidR="00AA59E7">
        <w:trPr>
          <w:divId w:val="77995642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48.35%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64.83%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-16.48%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-0.13% </w:t>
            </w:r>
          </w:p>
        </w:tc>
      </w:tr>
    </w:tbl>
    <w:p w:rsidR="00AA59E7" w:rsidRDefault="00CF3094">
      <w:pPr>
        <w:spacing w:line="360" w:lineRule="auto"/>
        <w:jc w:val="center"/>
        <w:divId w:val="2001544832"/>
      </w:pPr>
      <w:r>
        <w:rPr>
          <w:rFonts w:ascii="宋体" w:hAnsi="宋体" w:hint="eastAsia"/>
        </w:rPr>
        <w:lastRenderedPageBreak/>
        <w:t>摩根欧洲动力策略股票(QDII)C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AA59E7">
        <w:trPr>
          <w:divId w:val="200154483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 xml:space="preserve">②－④ </w:t>
            </w:r>
          </w:p>
        </w:tc>
      </w:tr>
      <w:tr w:rsidR="00AA59E7">
        <w:trPr>
          <w:divId w:val="20015448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8.98%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9.30%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-0.32%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-0.04% </w:t>
            </w:r>
          </w:p>
        </w:tc>
      </w:tr>
      <w:tr w:rsidR="00AA59E7">
        <w:trPr>
          <w:divId w:val="20015448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2.83%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1.95%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0.83%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0.88%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-0.11% </w:t>
            </w:r>
          </w:p>
        </w:tc>
      </w:tr>
      <w:tr w:rsidR="00AA59E7">
        <w:trPr>
          <w:divId w:val="20015448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5.32%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7.34%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-2.02%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-0.06% </w:t>
            </w:r>
          </w:p>
        </w:tc>
      </w:tr>
      <w:tr w:rsidR="00AA59E7">
        <w:trPr>
          <w:divId w:val="200154483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17.14%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0.69%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19.56%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vAlign w:val="center"/>
            <w:hideMark/>
          </w:tcPr>
          <w:p w:rsidR="00AA59E7" w:rsidRDefault="00CF3094">
            <w:pPr>
              <w:spacing w:line="360" w:lineRule="auto"/>
              <w:jc w:val="right"/>
            </w:pPr>
            <w:r>
              <w:rPr>
                <w:rFonts w:ascii="宋体" w:hAnsi="宋体" w:hint="eastAsia"/>
              </w:rPr>
              <w:t xml:space="preserve">-2.42%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spacing w:line="360" w:lineRule="auto"/>
              <w:jc w:val="right"/>
            </w:pPr>
            <w:r>
              <w:rPr>
                <w:rFonts w:ascii="宋体" w:hAnsi="宋体" w:hint="eastAsia"/>
              </w:rPr>
              <w:t xml:space="preserve">-0.08% </w:t>
            </w:r>
          </w:p>
        </w:tc>
      </w:tr>
    </w:tbl>
    <w:p w:rsidR="00AA59E7" w:rsidRDefault="00CF3094">
      <w:pPr>
        <w:pStyle w:val="XBRLTitle3"/>
        <w:spacing w:before="156" w:line="360" w:lineRule="auto"/>
        <w:ind w:left="624"/>
      </w:pPr>
      <w:bookmarkStart w:id="78" w:name="_Toc514088249"/>
      <w:bookmarkStart w:id="79" w:name="_Toc480465419"/>
      <w:bookmarkStart w:id="80" w:name="_Toc513542650"/>
      <w:proofErr w:type="spellStart"/>
      <w:r>
        <w:rPr>
          <w:rFonts w:hAnsi="宋体" w:hint="eastAsia"/>
        </w:rPr>
        <w:t>自基金合同生效以来基金累计净值增长率变动及其与同期业绩比较基准收益率变动的比较</w:t>
      </w:r>
      <w:bookmarkEnd w:id="78"/>
      <w:bookmarkEnd w:id="79"/>
      <w:bookmarkEnd w:id="80"/>
      <w:proofErr w:type="spellEnd"/>
      <w:r>
        <w:rPr>
          <w:rFonts w:hAnsi="宋体" w:hint="eastAsia"/>
        </w:rPr>
        <w:t xml:space="preserve"> </w:t>
      </w:r>
    </w:p>
    <w:p w:rsidR="00AA59E7" w:rsidRDefault="00CF3094">
      <w:pPr>
        <w:spacing w:line="360" w:lineRule="auto"/>
        <w:jc w:val="left"/>
        <w:divId w:val="585575840"/>
      </w:pPr>
      <w:bookmarkStart w:id="81" w:name="m07_04_07_09_tab"/>
      <w:bookmarkStart w:id="82" w:name="m07_04_07_09"/>
      <w:bookmarkStart w:id="83"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A59E7" w:rsidRDefault="00CF3094">
      <w:pPr>
        <w:spacing w:line="360" w:lineRule="auto"/>
        <w:jc w:val="left"/>
        <w:divId w:val="1958560174"/>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AA59E7" w:rsidRDefault="00CF3094">
      <w:pPr>
        <w:spacing w:line="360" w:lineRule="auto"/>
      </w:pPr>
      <w:r>
        <w:rPr>
          <w:rFonts w:ascii="宋体" w:hAnsi="宋体" w:hint="eastAsia"/>
        </w:rPr>
        <w:t>注：</w:t>
      </w:r>
      <w:r>
        <w:rPr>
          <w:rFonts w:ascii="宋体" w:hAnsi="宋体" w:hint="eastAsia"/>
          <w:lang w:eastAsia="zh-Hans"/>
        </w:rPr>
        <w:t>本基金合同生效日为2018年10月31日，图示的时间段为合同生效日至本报告期末。</w:t>
      </w:r>
      <w:r>
        <w:rPr>
          <w:rFonts w:ascii="宋体" w:hAnsi="宋体" w:hint="eastAsia"/>
          <w:lang w:eastAsia="zh-Hans"/>
        </w:rPr>
        <w:br/>
        <w:t xml:space="preserve">　　本基金自 2023年9月8日起增加C类份额，相关数据按实际存续期计算。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1"/>
      <w:bookmarkEnd w:id="82"/>
    </w:p>
    <w:p w:rsidR="00AA59E7" w:rsidRDefault="00CF3094">
      <w:pPr>
        <w:pStyle w:val="XBRLTitle1"/>
        <w:spacing w:before="156"/>
        <w:ind w:left="425"/>
      </w:pPr>
      <w:bookmarkStart w:id="84" w:name="_Toc514088250"/>
      <w:bookmarkStart w:id="85" w:name="_Toc480465420"/>
      <w:bookmarkStart w:id="86" w:name="_Toc448480289"/>
      <w:bookmarkStart w:id="87" w:name="_Toc438654077"/>
      <w:bookmarkStart w:id="88" w:name="_Toc456107123"/>
      <w:bookmarkStart w:id="89" w:name="_Toc459213769"/>
      <w:bookmarkStart w:id="90" w:name="_Toc513542651"/>
      <w:bookmarkStart w:id="91" w:name="_Toc512696255"/>
      <w:bookmarkStart w:id="92" w:name="_Toc512612258"/>
      <w:bookmarkStart w:id="93" w:name="_Toc512612082"/>
      <w:bookmarkStart w:id="94" w:name="_Toc512611286"/>
      <w:proofErr w:type="spellStart"/>
      <w:r>
        <w:rPr>
          <w:rFonts w:hint="eastAsia"/>
        </w:rPr>
        <w:t>管理人报告</w:t>
      </w:r>
      <w:bookmarkEnd w:id="84"/>
      <w:bookmarkEnd w:id="85"/>
      <w:bookmarkEnd w:id="86"/>
      <w:bookmarkEnd w:id="87"/>
      <w:bookmarkEnd w:id="88"/>
      <w:bookmarkEnd w:id="89"/>
      <w:bookmarkEnd w:id="90"/>
      <w:bookmarkEnd w:id="91"/>
      <w:bookmarkEnd w:id="92"/>
      <w:bookmarkEnd w:id="93"/>
      <w:bookmarkEnd w:id="94"/>
      <w:proofErr w:type="spellEnd"/>
    </w:p>
    <w:p w:rsidR="00AA59E7" w:rsidRDefault="00CF3094">
      <w:pPr>
        <w:pStyle w:val="XBRLTitle2"/>
        <w:spacing w:before="156" w:line="360" w:lineRule="auto"/>
        <w:ind w:left="454"/>
      </w:pPr>
      <w:bookmarkStart w:id="95" w:name="_Toc514088251"/>
      <w:bookmarkStart w:id="96" w:name="_Toc480465421"/>
      <w:bookmarkStart w:id="97" w:name="_Toc448480290"/>
      <w:bookmarkStart w:id="98" w:name="_Toc438654078"/>
      <w:bookmarkStart w:id="99" w:name="_Toc456107124"/>
      <w:bookmarkStart w:id="100" w:name="_Toc459213770"/>
      <w:bookmarkStart w:id="101" w:name="_Toc513542652"/>
      <w:bookmarkStart w:id="102" w:name="_Toc512696256"/>
      <w:bookmarkStart w:id="103" w:name="_Toc512612259"/>
      <w:bookmarkStart w:id="104" w:name="_Toc512612083"/>
      <w:bookmarkStart w:id="105" w:name="_Toc512611287"/>
      <w:proofErr w:type="spellStart"/>
      <w:r>
        <w:rPr>
          <w:rFonts w:eastAsia="宋体" w:hint="eastAsia"/>
        </w:rPr>
        <w:t>基金经理（或基金经理小组）简介</w:t>
      </w:r>
      <w:bookmarkEnd w:id="95"/>
      <w:bookmarkEnd w:id="96"/>
      <w:bookmarkEnd w:id="97"/>
      <w:bookmarkEnd w:id="98"/>
      <w:bookmarkEnd w:id="99"/>
      <w:bookmarkEnd w:id="100"/>
      <w:bookmarkEnd w:id="101"/>
      <w:bookmarkEnd w:id="102"/>
      <w:bookmarkEnd w:id="103"/>
      <w:bookmarkEnd w:id="104"/>
      <w:bookmarkEnd w:id="105"/>
      <w:proofErr w:type="spellEnd"/>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A59E7">
        <w:trPr>
          <w:divId w:val="937324280"/>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bookmarkStart w:id="106" w:name="m04_02"/>
            <w:bookmarkEnd w:id="106"/>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A59E7">
        <w:trPr>
          <w:divId w:val="937324280"/>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r>
      <w:tr w:rsidR="00AA59E7">
        <w:trPr>
          <w:divId w:val="937324280"/>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szCs w:val="24"/>
                <w:lang w:eastAsia="zh-Hans"/>
              </w:rPr>
              <w:t>2018年10月31日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AA59E7" w:rsidRDefault="00CF3094">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AA59E7" w:rsidRDefault="00CF3094">
      <w:pPr>
        <w:pStyle w:val="XBRLTitle3"/>
        <w:spacing w:before="156" w:line="360" w:lineRule="auto"/>
        <w:ind w:left="624"/>
        <w:divId w:val="1328053958"/>
      </w:pPr>
      <w:bookmarkStart w:id="107" w:name="_Toc512519488"/>
      <w:bookmarkStart w:id="108" w:name="_Toc490050009"/>
      <w:bookmarkStart w:id="109" w:name="_Toc438646459"/>
      <w:bookmarkStart w:id="110" w:name="_Toc481075055"/>
      <w:bookmarkStart w:id="111" w:name="_Toc5134656621"/>
      <w:proofErr w:type="spellStart"/>
      <w:r>
        <w:rPr>
          <w:rFonts w:hAnsi="宋体" w:hint="eastAsia"/>
        </w:rPr>
        <w:t>期末兼任私募资产管理计划投资经理的基金经理同时管理的产品情况</w:t>
      </w:r>
      <w:bookmarkEnd w:id="107"/>
      <w:bookmarkEnd w:id="108"/>
      <w:bookmarkEnd w:id="109"/>
      <w:bookmarkEnd w:id="110"/>
      <w:bookmarkEnd w:id="111"/>
      <w:proofErr w:type="spellEnd"/>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AA59E7">
        <w:trPr>
          <w:divId w:val="67450360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A59E7" w:rsidRDefault="00CF3094">
            <w:pPr>
              <w:snapToGrid w:val="0"/>
              <w:jc w:val="center"/>
            </w:pPr>
            <w:bookmarkStart w:id="112" w:name="m04_01_02_tab"/>
            <w:r>
              <w:rPr>
                <w:rFonts w:ascii="宋体" w:hAnsi="宋体" w:hint="eastAsia"/>
                <w:szCs w:val="24"/>
              </w:rPr>
              <w:lastRenderedPageBreak/>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A59E7" w:rsidRDefault="00CF3094">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A59E7" w:rsidRDefault="00CF3094">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A59E7" w:rsidRDefault="00CF3094">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AA59E7" w:rsidRDefault="00CF3094">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AA59E7">
        <w:trPr>
          <w:divId w:val="67450360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center"/>
            </w:pPr>
            <w:r>
              <w:rPr>
                <w:rFonts w:ascii="宋体" w:hAnsi="宋体" w:hint="eastAsia"/>
                <w:szCs w:val="24"/>
              </w:rPr>
              <w:t>2008-03-08</w:t>
            </w:r>
          </w:p>
        </w:tc>
      </w:tr>
      <w:tr w:rsidR="00AA59E7">
        <w:trPr>
          <w:divId w:val="67450360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center"/>
            </w:pPr>
            <w:r>
              <w:rPr>
                <w:rFonts w:ascii="宋体" w:hAnsi="宋体" w:hint="eastAsia"/>
                <w:szCs w:val="24"/>
              </w:rPr>
              <w:t>2021-07-09</w:t>
            </w:r>
          </w:p>
        </w:tc>
      </w:tr>
      <w:tr w:rsidR="00AA59E7">
        <w:trPr>
          <w:divId w:val="67450360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center"/>
            </w:pPr>
            <w:r>
              <w:rPr>
                <w:rFonts w:ascii="宋体" w:hAnsi="宋体" w:hint="eastAsia"/>
                <w:szCs w:val="24"/>
              </w:rPr>
              <w:t>-</w:t>
            </w:r>
          </w:p>
        </w:tc>
      </w:tr>
      <w:tr w:rsidR="00AA59E7">
        <w:trPr>
          <w:divId w:val="67450360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AA59E7" w:rsidRDefault="00AA59E7">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A59E7" w:rsidRDefault="00CF3094">
            <w:pPr>
              <w:jc w:val="center"/>
            </w:pPr>
            <w:r>
              <w:rPr>
                <w:rFonts w:ascii="宋体" w:hAnsi="宋体" w:hint="eastAsia"/>
                <w:szCs w:val="24"/>
              </w:rPr>
              <w:t xml:space="preserve">- </w:t>
            </w:r>
          </w:p>
        </w:tc>
      </w:tr>
    </w:tbl>
    <w:p w:rsidR="00AA59E7" w:rsidRDefault="00CF3094">
      <w:pPr>
        <w:pStyle w:val="XBRLTitle2"/>
        <w:spacing w:before="156" w:line="360" w:lineRule="auto"/>
        <w:ind w:left="454"/>
      </w:pPr>
      <w:bookmarkStart w:id="113" w:name="_Toc514088252"/>
      <w:bookmarkStart w:id="114" w:name="_Toc480465422"/>
      <w:bookmarkStart w:id="115" w:name="_Toc448480291"/>
      <w:bookmarkStart w:id="116" w:name="_Toc438654079"/>
      <w:bookmarkStart w:id="117" w:name="_Toc456107125"/>
      <w:bookmarkStart w:id="118" w:name="_Toc459213771"/>
      <w:bookmarkStart w:id="119" w:name="_Toc513542653"/>
      <w:bookmarkStart w:id="120" w:name="_Toc512696257"/>
      <w:bookmarkStart w:id="121" w:name="_Toc512612260"/>
      <w:bookmarkStart w:id="122" w:name="_Toc512612084"/>
      <w:bookmarkStart w:id="123" w:name="_Toc512611288"/>
      <w:bookmarkStart w:id="124" w:name="m402"/>
      <w:bookmarkEnd w:id="112"/>
      <w:proofErr w:type="spellStart"/>
      <w:r>
        <w:rPr>
          <w:rFonts w:eastAsia="宋体" w:hint="eastAsia"/>
        </w:rPr>
        <w:t>境外投资顾问为本基金提供投资建议的主要成员简介</w:t>
      </w:r>
      <w:bookmarkEnd w:id="113"/>
      <w:bookmarkEnd w:id="114"/>
      <w:bookmarkEnd w:id="115"/>
      <w:bookmarkEnd w:id="116"/>
      <w:bookmarkEnd w:id="117"/>
      <w:bookmarkEnd w:id="118"/>
      <w:proofErr w:type="spellEnd"/>
      <w:r>
        <w:rPr>
          <w:rFonts w:eastAsia="宋体" w:cs="宋体" w:hint="eastAsia"/>
          <w:color w:val="000000"/>
          <w:kern w:val="0"/>
        </w:rPr>
        <w:t xml:space="preserve"> </w:t>
      </w:r>
      <w:bookmarkEnd w:id="119"/>
      <w:bookmarkEnd w:id="120"/>
      <w:bookmarkEnd w:id="121"/>
      <w:bookmarkEnd w:id="122"/>
      <w:bookmarkEnd w:id="123"/>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614"/>
        <w:gridCol w:w="2788"/>
        <w:gridCol w:w="1908"/>
        <w:gridCol w:w="2348"/>
      </w:tblGrid>
      <w:tr w:rsidR="00AA59E7">
        <w:trPr>
          <w:divId w:val="1736665020"/>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4"/>
          <w:p w:rsidR="00AA59E7" w:rsidRDefault="00CF3094">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AA59E7" w:rsidRDefault="00CF3094">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AA59E7" w:rsidRDefault="00CF3094">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rsidR="00AA59E7" w:rsidRDefault="00CF3094">
            <w:pPr>
              <w:jc w:val="center"/>
            </w:pPr>
            <w:r>
              <w:rPr>
                <w:rFonts w:asciiTheme="majorEastAsia" w:eastAsiaTheme="majorEastAsia" w:hAnsiTheme="majorEastAsia" w:hint="eastAsia"/>
              </w:rPr>
              <w:t xml:space="preserve">说明 </w:t>
            </w:r>
          </w:p>
        </w:tc>
      </w:tr>
      <w:tr w:rsidR="00AA59E7">
        <w:trPr>
          <w:divId w:val="17366650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Blake Crawford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摩根资产管理(英国)执行董事，摩根资产管理国际股票团队中不受限投资组合子团队的投资经理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16年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Blake Crawford，执行董事，是摩根资产管理国际股票团队的投资经理。在2008年作为管理培训</w:t>
            </w:r>
            <w:proofErr w:type="gramStart"/>
            <w:r>
              <w:rPr>
                <w:rFonts w:asciiTheme="majorEastAsia" w:eastAsiaTheme="majorEastAsia" w:hAnsiTheme="majorEastAsia" w:hint="eastAsia"/>
              </w:rPr>
              <w:t>生加入</w:t>
            </w:r>
            <w:proofErr w:type="gramEnd"/>
            <w:r>
              <w:rPr>
                <w:rFonts w:asciiTheme="majorEastAsia" w:eastAsiaTheme="majorEastAsia" w:hAnsiTheme="majorEastAsia" w:hint="eastAsia"/>
              </w:rPr>
              <w:t>公司。Blake拥有巴斯大学的经济学学士学位，同时也是特许金融分析师。</w:t>
            </w:r>
          </w:p>
        </w:tc>
      </w:tr>
      <w:tr w:rsidR="00AA59E7">
        <w:trPr>
          <w:divId w:val="17366650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Alexander Whyte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摩根资产管理(英国)执行董事，摩根资产管理国际股票团队中不受限投资组合子团队的投资经理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11年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Alexander Whyte，执行董事，是摩根资产管理国际股票团队的投资经理。Alex自2013年就以管理培训生的身份加入公司。Alex拥有剑桥大学的机械工程学士学位和硕士学位，并且是特许金融分析师。</w:t>
            </w:r>
          </w:p>
        </w:tc>
      </w:tr>
      <w:tr w:rsidR="00AA59E7">
        <w:trPr>
          <w:divId w:val="1736665020"/>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 xml:space="preserve">Victoria </w:t>
            </w:r>
            <w:proofErr w:type="spellStart"/>
            <w:r>
              <w:rPr>
                <w:rFonts w:asciiTheme="majorEastAsia" w:eastAsiaTheme="majorEastAsia" w:hAnsiTheme="majorEastAsia" w:hint="eastAsia"/>
              </w:rPr>
              <w:t>Helvert</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摩根资产管理(英国)副总裁，摩根资产管理国际股票团队投资经理</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11年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59E7" w:rsidRDefault="00CF3094">
            <w:r>
              <w:rPr>
                <w:rFonts w:asciiTheme="majorEastAsia" w:eastAsiaTheme="majorEastAsia" w:hAnsiTheme="majorEastAsia" w:hint="eastAsia"/>
              </w:rPr>
              <w:t xml:space="preserve">Victoria </w:t>
            </w:r>
            <w:proofErr w:type="spellStart"/>
            <w:r>
              <w:rPr>
                <w:rFonts w:asciiTheme="majorEastAsia" w:eastAsiaTheme="majorEastAsia" w:hAnsiTheme="majorEastAsia" w:hint="eastAsia"/>
              </w:rPr>
              <w:t>Helvert</w:t>
            </w:r>
            <w:proofErr w:type="spellEnd"/>
            <w:r>
              <w:rPr>
                <w:rFonts w:asciiTheme="majorEastAsia" w:eastAsiaTheme="majorEastAsia" w:hAnsiTheme="majorEastAsia" w:hint="eastAsia"/>
              </w:rPr>
              <w:t>，副总裁，是摩根资产管理国际股票团队的投资经理。Victoria自2013年就以管理培训生的身份加入公司。Victoria拥有杜伦大学的经济学学士学位，并且是英格兰及威尔士特许会计师(ACA)。</w:t>
            </w:r>
          </w:p>
        </w:tc>
      </w:tr>
    </w:tbl>
    <w:p w:rsidR="00AA59E7" w:rsidRDefault="00CF3094">
      <w:pPr>
        <w:pStyle w:val="XBRLTitle2"/>
        <w:spacing w:before="156" w:line="360" w:lineRule="auto"/>
        <w:ind w:left="454"/>
      </w:pPr>
      <w:bookmarkStart w:id="125" w:name="_Toc514088253"/>
      <w:bookmarkStart w:id="126" w:name="_Toc480465423"/>
      <w:bookmarkStart w:id="127" w:name="_Toc448480292"/>
      <w:bookmarkStart w:id="128" w:name="_Toc438654080"/>
      <w:bookmarkStart w:id="129" w:name="_Toc456107126"/>
      <w:bookmarkStart w:id="130" w:name="_Toc459213772"/>
      <w:bookmarkStart w:id="131" w:name="_Toc513542654"/>
      <w:bookmarkStart w:id="132" w:name="_Toc512696258"/>
      <w:bookmarkStart w:id="133" w:name="_Toc512612261"/>
      <w:bookmarkStart w:id="134" w:name="_Toc512612085"/>
      <w:bookmarkStart w:id="135" w:name="_Toc512611289"/>
      <w:bookmarkStart w:id="136" w:name="m403"/>
      <w:proofErr w:type="spellStart"/>
      <w:r>
        <w:rPr>
          <w:rFonts w:eastAsia="宋体" w:hint="eastAsia"/>
        </w:rPr>
        <w:t>报告期内本基金运作遵规守信情况说明</w:t>
      </w:r>
      <w:bookmarkEnd w:id="125"/>
      <w:bookmarkEnd w:id="126"/>
      <w:bookmarkEnd w:id="127"/>
      <w:bookmarkEnd w:id="128"/>
      <w:bookmarkEnd w:id="129"/>
      <w:bookmarkEnd w:id="130"/>
      <w:bookmarkEnd w:id="131"/>
      <w:bookmarkEnd w:id="132"/>
      <w:bookmarkEnd w:id="133"/>
      <w:bookmarkEnd w:id="134"/>
      <w:bookmarkEnd w:id="135"/>
      <w:proofErr w:type="spellEnd"/>
      <w:r>
        <w:rPr>
          <w:rFonts w:eastAsia="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AA59E7" w:rsidRDefault="00CF3094">
      <w:pPr>
        <w:pStyle w:val="XBRLTitle2"/>
        <w:spacing w:before="156" w:line="360" w:lineRule="auto"/>
        <w:ind w:left="454"/>
      </w:pPr>
      <w:bookmarkStart w:id="137" w:name="_Toc514088254"/>
      <w:bookmarkStart w:id="138" w:name="_Toc480465424"/>
      <w:bookmarkStart w:id="139" w:name="_Toc448480293"/>
      <w:bookmarkStart w:id="140" w:name="_Toc438654081"/>
      <w:bookmarkStart w:id="141" w:name="_Toc456107127"/>
      <w:bookmarkStart w:id="142" w:name="_Toc459213773"/>
      <w:bookmarkStart w:id="143" w:name="_Toc513542655"/>
      <w:bookmarkStart w:id="144" w:name="_Toc512696259"/>
      <w:bookmarkStart w:id="145" w:name="_Toc512612262"/>
      <w:bookmarkStart w:id="146" w:name="_Toc512612086"/>
      <w:bookmarkStart w:id="147" w:name="_Toc512611290"/>
      <w:bookmarkEnd w:id="136"/>
      <w:proofErr w:type="spellStart"/>
      <w:r>
        <w:rPr>
          <w:rFonts w:eastAsia="宋体" w:hint="eastAsia"/>
        </w:rPr>
        <w:lastRenderedPageBreak/>
        <w:t>公平交易专项说明</w:t>
      </w:r>
      <w:bookmarkEnd w:id="137"/>
      <w:bookmarkEnd w:id="138"/>
      <w:bookmarkEnd w:id="139"/>
      <w:bookmarkEnd w:id="140"/>
      <w:bookmarkEnd w:id="141"/>
      <w:bookmarkEnd w:id="142"/>
      <w:bookmarkEnd w:id="143"/>
      <w:bookmarkEnd w:id="144"/>
      <w:bookmarkEnd w:id="145"/>
      <w:bookmarkEnd w:id="146"/>
      <w:bookmarkEnd w:id="147"/>
      <w:proofErr w:type="spellEnd"/>
      <w:r>
        <w:rPr>
          <w:rFonts w:eastAsia="宋体" w:hint="eastAsia"/>
        </w:rPr>
        <w:t xml:space="preserve"> </w:t>
      </w:r>
    </w:p>
    <w:p w:rsidR="00AA59E7" w:rsidRDefault="00CF3094">
      <w:pPr>
        <w:pStyle w:val="XBRLTitle3"/>
        <w:spacing w:before="156" w:line="360" w:lineRule="auto"/>
        <w:ind w:left="624"/>
      </w:pPr>
      <w:bookmarkStart w:id="148" w:name="_Toc514088255"/>
      <w:bookmarkStart w:id="149" w:name="_Toc480465425"/>
      <w:bookmarkStart w:id="150" w:name="_Toc513542656"/>
      <w:bookmarkStart w:id="151" w:name="m404_01_0570"/>
      <w:proofErr w:type="spellStart"/>
      <w:r>
        <w:rPr>
          <w:rFonts w:hAnsi="宋体" w:hint="eastAsia"/>
        </w:rPr>
        <w:t>公平交易制度的执行情况</w:t>
      </w:r>
      <w:bookmarkEnd w:id="148"/>
      <w:proofErr w:type="spellEnd"/>
      <w:r>
        <w:rPr>
          <w:rFonts w:hAnsi="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AA59E7" w:rsidRDefault="00CF3094">
      <w:pPr>
        <w:pStyle w:val="XBRLTitle3"/>
        <w:spacing w:before="156" w:line="360" w:lineRule="auto"/>
        <w:ind w:left="624"/>
      </w:pPr>
      <w:bookmarkStart w:id="152" w:name="_Toc514088256"/>
      <w:bookmarkStart w:id="153" w:name="_Toc480465426"/>
      <w:bookmarkStart w:id="154" w:name="_Toc513542657"/>
      <w:bookmarkStart w:id="155" w:name="m404_01_0578"/>
      <w:proofErr w:type="spellStart"/>
      <w:r>
        <w:rPr>
          <w:rFonts w:hAnsi="宋体" w:hint="eastAsia"/>
        </w:rPr>
        <w:t>异常交易行为的专项说明</w:t>
      </w:r>
      <w:bookmarkEnd w:id="152"/>
      <w:proofErr w:type="spellEnd"/>
      <w:r>
        <w:rPr>
          <w:rFonts w:hAnsi="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AA59E7" w:rsidRDefault="00CF3094">
      <w:pPr>
        <w:pStyle w:val="XBRLTitle2"/>
        <w:spacing w:before="156" w:line="360" w:lineRule="auto"/>
        <w:ind w:left="454"/>
      </w:pPr>
      <w:bookmarkStart w:id="156" w:name="_Toc514088257"/>
      <w:bookmarkStart w:id="157" w:name="_Toc480465427"/>
      <w:bookmarkStart w:id="158" w:name="_Toc448480294"/>
      <w:bookmarkStart w:id="159" w:name="_Toc438654082"/>
      <w:bookmarkStart w:id="160" w:name="_Toc456107128"/>
      <w:bookmarkStart w:id="161" w:name="_Toc459213774"/>
      <w:bookmarkStart w:id="162" w:name="_Toc513542658"/>
      <w:bookmarkStart w:id="163" w:name="_Toc512696260"/>
      <w:bookmarkStart w:id="164" w:name="_Toc512612263"/>
      <w:bookmarkStart w:id="165" w:name="_Toc512612087"/>
      <w:bookmarkStart w:id="166" w:name="_Toc512611291"/>
      <w:proofErr w:type="spellStart"/>
      <w:r>
        <w:rPr>
          <w:rFonts w:eastAsia="宋体" w:hint="eastAsia"/>
        </w:rPr>
        <w:t>报告期内基金的投资策略和业绩表现说明</w:t>
      </w:r>
      <w:bookmarkEnd w:id="156"/>
      <w:bookmarkEnd w:id="157"/>
      <w:bookmarkEnd w:id="158"/>
      <w:bookmarkEnd w:id="159"/>
      <w:bookmarkEnd w:id="160"/>
      <w:bookmarkEnd w:id="161"/>
      <w:bookmarkEnd w:id="162"/>
      <w:bookmarkEnd w:id="163"/>
      <w:bookmarkEnd w:id="164"/>
      <w:bookmarkEnd w:id="165"/>
      <w:bookmarkEnd w:id="166"/>
      <w:proofErr w:type="spellEnd"/>
      <w:r>
        <w:rPr>
          <w:rFonts w:eastAsia="宋体" w:hint="eastAsia"/>
        </w:rPr>
        <w:t xml:space="preserve"> </w:t>
      </w:r>
    </w:p>
    <w:p w:rsidR="00AA59E7" w:rsidRDefault="00CF3094">
      <w:pPr>
        <w:pStyle w:val="XBRLTitle3"/>
        <w:spacing w:before="156" w:line="360" w:lineRule="auto"/>
        <w:ind w:left="624"/>
      </w:pPr>
      <w:bookmarkStart w:id="167" w:name="_Toc51408825711"/>
      <w:proofErr w:type="spellStart"/>
      <w:r>
        <w:rPr>
          <w:rFonts w:hAnsi="宋体" w:hint="eastAsia"/>
        </w:rPr>
        <w:t>报告期内基金投资策略和运作分析</w:t>
      </w:r>
      <w:bookmarkEnd w:id="167"/>
      <w:bookmarkEnd w:id="149"/>
      <w:bookmarkEnd w:id="150"/>
      <w:proofErr w:type="spellEnd"/>
      <w:r>
        <w:rPr>
          <w:rFonts w:hAnsi="宋体" w:hint="eastAsia"/>
        </w:rPr>
        <w:t xml:space="preserve"> </w:t>
      </w:r>
    </w:p>
    <w:p w:rsidR="00AA59E7" w:rsidRDefault="00CF3094">
      <w:pPr>
        <w:spacing w:line="360" w:lineRule="auto"/>
        <w:ind w:firstLineChars="200" w:firstLine="420"/>
        <w:divId w:val="1345398004"/>
      </w:pPr>
      <w:r>
        <w:rPr>
          <w:rFonts w:ascii="宋体" w:hAnsi="宋体" w:hint="eastAsia"/>
          <w:color w:val="000000"/>
          <w:kern w:val="0"/>
          <w:szCs w:val="21"/>
          <w:lang w:eastAsia="zh-Hans"/>
        </w:rPr>
        <w:t>报告期内，欧洲股市上涨，并显著跑赢美国股市。欧元区经济初现乐观信号，采购经理指数（PMI）回升显示经济扩张。尽管制造业和能源成本挑战持续存在，但通胀趋势缓和及欧洲央行战略降息举措提振了市场信心。</w:t>
      </w:r>
      <w:r>
        <w:rPr>
          <w:rFonts w:ascii="宋体" w:hAnsi="宋体" w:hint="eastAsia"/>
          <w:color w:val="000000"/>
          <w:kern w:val="0"/>
          <w:szCs w:val="21"/>
          <w:lang w:eastAsia="zh-Hans"/>
        </w:rPr>
        <w:br/>
        <w:t xml:space="preserve">　　欧洲央行（ECB）两次降息各25个基点，与通胀预期下调趋势一致。尽管融资环境趋紧，降息旨在逐步减轻企业和家庭借贷成本。ECB强调将继续以数据为导向，避免承诺固定利率路径，体现其实现2%通胀目标的谨慎态度。</w:t>
      </w:r>
      <w:r>
        <w:rPr>
          <w:rFonts w:ascii="宋体" w:hAnsi="宋体" w:hint="eastAsia"/>
          <w:color w:val="000000"/>
          <w:kern w:val="0"/>
          <w:szCs w:val="21"/>
          <w:lang w:eastAsia="zh-Hans"/>
        </w:rPr>
        <w:br/>
        <w:t xml:space="preserve">　　2025年以来，欧盟尤其是德国的财政政策呈现显著的战略调整，核心特征是打破长期财政保守主义，通过设立特别基金和改革债务规则，将资源向国防、军工基建和绿色转型倾斜。欧盟委</w:t>
      </w:r>
      <w:r>
        <w:rPr>
          <w:rFonts w:ascii="宋体" w:hAnsi="宋体" w:hint="eastAsia"/>
          <w:color w:val="000000"/>
          <w:kern w:val="0"/>
          <w:szCs w:val="21"/>
          <w:lang w:eastAsia="zh-Hans"/>
        </w:rPr>
        <w:lastRenderedPageBreak/>
        <w:t>员会主席冯德莱恩提出8000亿欧元计划，包括1500亿欧元贷款支持成员国国防投资，推动联合采购和军工产业链整合。</w:t>
      </w:r>
      <w:r>
        <w:rPr>
          <w:rFonts w:ascii="宋体" w:hAnsi="宋体" w:hint="eastAsia"/>
          <w:color w:val="000000"/>
          <w:kern w:val="0"/>
          <w:szCs w:val="21"/>
          <w:lang w:eastAsia="zh-Hans"/>
        </w:rPr>
        <w:br/>
        <w:t xml:space="preserve">　　报告期内基金的超额收益的正向贡献主要来自原材料行业个股选择，以及通信服务行业的超配。拖累因素包括可选消费和工业板块的个股选择。</w:t>
      </w:r>
      <w:r>
        <w:rPr>
          <w:rFonts w:ascii="宋体" w:hAnsi="宋体" w:hint="eastAsia"/>
          <w:color w:val="000000"/>
          <w:kern w:val="0"/>
          <w:szCs w:val="21"/>
          <w:lang w:eastAsia="zh-Hans"/>
        </w:rPr>
        <w:br/>
        <w:t xml:space="preserve">　　展望后市，2025年全球股市将受经济基本面、市场动态及地缘因素的多重影响：（一）地缘关系与经济政策：特朗普连任可能引发全球政策连锁反应，美国或将加大财政刺激力度，迫使其他经济体跟进以应对贸易政策冲击。投资机会正从科技巨头集中收益向更广泛领域扩散。（二）欧洲市场机遇：欧洲股市相对美股存在显著估值折价，但当前市场质量已与美股相当，且预期实现中高个位数盈利增长。欧洲企业高管正以前所未有的力度回购股票，尽管短期内估值重估未必发生，但欧洲经济蕴含更大超预期空间。（三）英国市场前景：大选和预算案落地后，英国市场有望在政策确定性增强背景下开启新征程。但需关注新政府经济政策转向的后续影响。（四）长期投资主题：技术应用、医疗创新、新兴市场消费及气候变化仍是核心长期趋势。2025年人工智能及其潜在应用将成为投资焦点。随着2025-2026年经济增速预期提升，通胀下行趋势有望延续，为欧洲央行渐进式调整利率减轻压力。</w:t>
      </w:r>
      <w:r>
        <w:rPr>
          <w:rFonts w:ascii="宋体" w:hAnsi="宋体" w:hint="eastAsia"/>
          <w:color w:val="000000"/>
          <w:kern w:val="0"/>
          <w:szCs w:val="21"/>
          <w:lang w:eastAsia="zh-Hans"/>
        </w:rPr>
        <w:br/>
        <w:t xml:space="preserve">　　总体而言，尽管面临多重挑战，全球经济增长动能和结构性机会仍为投资者提供谨慎乐观的基础。</w:t>
      </w:r>
      <w:r>
        <w:rPr>
          <w:rFonts w:ascii="宋体" w:hAnsi="宋体" w:hint="eastAsia"/>
          <w:color w:val="000000"/>
          <w:kern w:val="0"/>
          <w:sz w:val="24"/>
        </w:rPr>
        <w:t xml:space="preserve"> </w:t>
      </w:r>
      <w:bookmarkEnd w:id="83"/>
    </w:p>
    <w:p w:rsidR="00AA59E7" w:rsidRDefault="00CF3094">
      <w:pPr>
        <w:pStyle w:val="XBRLTitle3"/>
        <w:spacing w:before="156" w:line="360" w:lineRule="auto"/>
        <w:ind w:left="624"/>
      </w:pPr>
      <w:bookmarkStart w:id="168" w:name="_Toc51408825712"/>
      <w:bookmarkEnd w:id="151"/>
      <w:proofErr w:type="spellStart"/>
      <w:r>
        <w:rPr>
          <w:rFonts w:hAnsi="宋体" w:hint="eastAsia"/>
        </w:rPr>
        <w:t>报告期内基金的业绩表现</w:t>
      </w:r>
      <w:bookmarkEnd w:id="168"/>
      <w:bookmarkEnd w:id="153"/>
      <w:bookmarkEnd w:id="154"/>
      <w:proofErr w:type="spellEnd"/>
      <w:r>
        <w:rPr>
          <w:rFonts w:hAnsi="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本报告期摩根欧洲动力策略股票(QDII)A份额净值增长率为：9.06%，同期业绩比较基准收益率为：9.30%；</w:t>
      </w:r>
      <w:r>
        <w:rPr>
          <w:rFonts w:ascii="宋体" w:hAnsi="宋体" w:cs="宋体" w:hint="eastAsia"/>
          <w:color w:val="000000"/>
          <w:kern w:val="0"/>
        </w:rPr>
        <w:br/>
        <w:t xml:space="preserve">　　摩根欧洲动力策略股票(QDII)C份额净值增长率为：8.98%，同期业绩比较基准收益率为：9.30%。</w:t>
      </w:r>
      <w:bookmarkEnd w:id="155"/>
    </w:p>
    <w:p w:rsidR="00AA59E7" w:rsidRDefault="00CF3094">
      <w:pPr>
        <w:pStyle w:val="XBRLTitle2"/>
        <w:spacing w:before="156" w:line="360" w:lineRule="auto"/>
        <w:ind w:left="454"/>
      </w:pPr>
      <w:bookmarkStart w:id="169" w:name="m405_01_2550"/>
      <w:bookmarkStart w:id="170" w:name="_Toc514088258"/>
      <w:bookmarkStart w:id="171" w:name="_Toc480465430"/>
      <w:bookmarkStart w:id="172" w:name="_Toc448480296"/>
      <w:bookmarkStart w:id="173" w:name="_Toc438654084"/>
      <w:bookmarkStart w:id="174" w:name="_Toc456107129"/>
      <w:bookmarkStart w:id="175" w:name="_Toc459213775"/>
      <w:bookmarkStart w:id="176" w:name="_Toc513542659"/>
      <w:bookmarkStart w:id="177" w:name="_Toc512696261"/>
      <w:bookmarkStart w:id="178" w:name="_Toc512612264"/>
      <w:bookmarkStart w:id="179" w:name="_Toc512612088"/>
      <w:bookmarkStart w:id="180" w:name="_Toc512611292"/>
      <w:bookmarkStart w:id="181" w:name="m407"/>
      <w:bookmarkEnd w:id="169"/>
      <w:proofErr w:type="spellStart"/>
      <w:r>
        <w:rPr>
          <w:rFonts w:eastAsia="宋体" w:hint="eastAsia"/>
        </w:rPr>
        <w:t>报告期内基金持有人数或基金资产净值预警说明</w:t>
      </w:r>
      <w:bookmarkEnd w:id="170"/>
      <w:bookmarkEnd w:id="171"/>
      <w:bookmarkEnd w:id="172"/>
      <w:bookmarkEnd w:id="173"/>
      <w:bookmarkEnd w:id="174"/>
      <w:bookmarkEnd w:id="175"/>
      <w:bookmarkEnd w:id="176"/>
      <w:bookmarkEnd w:id="177"/>
      <w:bookmarkEnd w:id="178"/>
      <w:bookmarkEnd w:id="179"/>
      <w:bookmarkEnd w:id="180"/>
      <w:proofErr w:type="spellEnd"/>
      <w:r>
        <w:rPr>
          <w:rFonts w:eastAsia="宋体" w:hint="eastAsia"/>
        </w:rPr>
        <w:t xml:space="preserve"> </w:t>
      </w:r>
    </w:p>
    <w:p w:rsidR="00AA59E7" w:rsidRDefault="00CF3094">
      <w:pPr>
        <w:spacing w:line="360" w:lineRule="auto"/>
        <w:ind w:firstLineChars="200" w:firstLine="420"/>
        <w:jc w:val="left"/>
      </w:pPr>
      <w:r>
        <w:rPr>
          <w:rFonts w:ascii="宋体" w:hAnsi="宋体" w:hint="eastAsia"/>
        </w:rPr>
        <w:t>无。</w:t>
      </w:r>
    </w:p>
    <w:p w:rsidR="00AA59E7" w:rsidRDefault="00CF3094">
      <w:pPr>
        <w:pStyle w:val="XBRLTitle1"/>
        <w:spacing w:before="156"/>
        <w:ind w:left="425"/>
      </w:pPr>
      <w:bookmarkStart w:id="182" w:name="_Toc514088259"/>
      <w:bookmarkStart w:id="183" w:name="_Toc480465431"/>
      <w:bookmarkStart w:id="184" w:name="_Toc448480297"/>
      <w:bookmarkStart w:id="185" w:name="_Toc438654085"/>
      <w:bookmarkStart w:id="186" w:name="_Toc445826343"/>
      <w:bookmarkStart w:id="187" w:name="_Toc456107130"/>
      <w:bookmarkStart w:id="188" w:name="_Toc459213776"/>
      <w:bookmarkStart w:id="189" w:name="_Toc513542660"/>
      <w:bookmarkStart w:id="190" w:name="_Toc512696262"/>
      <w:bookmarkStart w:id="191" w:name="_Toc512612265"/>
      <w:bookmarkStart w:id="192" w:name="_Toc512612089"/>
      <w:bookmarkStart w:id="193" w:name="_Toc512611293"/>
      <w:bookmarkEnd w:id="181"/>
      <w:proofErr w:type="spellStart"/>
      <w:r>
        <w:rPr>
          <w:rFonts w:hint="eastAsia"/>
        </w:rPr>
        <w:t>投资组合报告</w:t>
      </w:r>
      <w:bookmarkEnd w:id="182"/>
      <w:bookmarkEnd w:id="183"/>
      <w:bookmarkEnd w:id="184"/>
      <w:bookmarkEnd w:id="185"/>
      <w:bookmarkEnd w:id="186"/>
      <w:bookmarkEnd w:id="187"/>
      <w:bookmarkEnd w:id="188"/>
      <w:bookmarkEnd w:id="189"/>
      <w:bookmarkEnd w:id="190"/>
      <w:bookmarkEnd w:id="191"/>
      <w:bookmarkEnd w:id="192"/>
      <w:bookmarkEnd w:id="193"/>
      <w:proofErr w:type="spellEnd"/>
    </w:p>
    <w:p w:rsidR="00AA59E7" w:rsidRDefault="00CF3094">
      <w:pPr>
        <w:pStyle w:val="XBRLTitle2"/>
        <w:spacing w:before="156" w:line="360" w:lineRule="auto"/>
        <w:ind w:left="454"/>
      </w:pPr>
      <w:bookmarkStart w:id="194" w:name="_Toc514088260"/>
      <w:bookmarkStart w:id="195" w:name="_Toc480465432"/>
      <w:bookmarkStart w:id="196" w:name="_Toc448480298"/>
      <w:bookmarkStart w:id="197" w:name="_Toc438654086"/>
      <w:bookmarkStart w:id="198" w:name="_Toc456107131"/>
      <w:bookmarkStart w:id="199" w:name="_Toc459213777"/>
      <w:bookmarkStart w:id="200" w:name="_Toc513542661"/>
      <w:bookmarkStart w:id="201" w:name="_Toc512696263"/>
      <w:bookmarkStart w:id="202" w:name="_Toc512612266"/>
      <w:bookmarkStart w:id="203" w:name="_Toc512612090"/>
      <w:bookmarkStart w:id="204" w:name="_Toc512611294"/>
      <w:bookmarkStart w:id="205" w:name="m501"/>
      <w:proofErr w:type="spellStart"/>
      <w:r>
        <w:rPr>
          <w:rFonts w:eastAsia="宋体" w:hint="eastAsia"/>
        </w:rPr>
        <w:t>报告期末基金资产组合情况</w:t>
      </w:r>
      <w:bookmarkEnd w:id="194"/>
      <w:bookmarkEnd w:id="195"/>
      <w:bookmarkEnd w:id="196"/>
      <w:bookmarkEnd w:id="197"/>
      <w:bookmarkEnd w:id="198"/>
      <w:bookmarkEnd w:id="199"/>
      <w:proofErr w:type="spellEnd"/>
      <w:r>
        <w:rPr>
          <w:rFonts w:hint="eastAsia"/>
        </w:rPr>
        <w:t xml:space="preserve"> </w:t>
      </w:r>
      <w:bookmarkEnd w:id="200"/>
      <w:bookmarkEnd w:id="201"/>
      <w:bookmarkEnd w:id="202"/>
      <w:bookmarkEnd w:id="203"/>
      <w:bookmarkEnd w:id="204"/>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59E7" w:rsidRDefault="00CF3094">
            <w:pPr>
              <w:jc w:val="center"/>
            </w:pPr>
            <w:bookmarkStart w:id="206" w:name="m08QD_01_tab"/>
            <w:bookmarkStart w:id="207" w:name="OLE_LINK46"/>
            <w:bookmarkStart w:id="208" w:name="OLE_LINK45"/>
            <w:bookmarkStart w:id="209" w:name="OLE_LINK42"/>
            <w:bookmarkStart w:id="210" w:name="OLE_LINK41"/>
            <w:bookmarkEnd w:id="206"/>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AA59E7" w:rsidRDefault="00CF3094">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AA59E7" w:rsidRDefault="00CF3094">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AA59E7" w:rsidRDefault="00CF309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250,396,354.71</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80.14</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247,193,287.97</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79.11</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3,203,066.74</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1.03</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57,105,685.48</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18.28</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4,958,691.97</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1.59</w:t>
            </w:r>
          </w:p>
        </w:tc>
      </w:tr>
      <w:tr w:rsidR="00AA59E7">
        <w:trPr>
          <w:divId w:val="96130178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AA59E7" w:rsidRDefault="00CF3094">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AA59E7" w:rsidRDefault="00CF309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312,460,732.16</w:t>
            </w:r>
          </w:p>
        </w:tc>
        <w:tc>
          <w:tcPr>
            <w:tcW w:w="2373" w:type="dxa"/>
            <w:tcBorders>
              <w:top w:val="single" w:sz="4" w:space="0" w:color="auto"/>
              <w:left w:val="nil"/>
              <w:bottom w:val="single" w:sz="4" w:space="0" w:color="auto"/>
              <w:right w:val="single" w:sz="4" w:space="0" w:color="auto"/>
            </w:tcBorders>
            <w:vAlign w:val="center"/>
            <w:hideMark/>
          </w:tcPr>
          <w:p w:rsidR="00AA59E7" w:rsidRDefault="00CF3094">
            <w:pPr>
              <w:jc w:val="right"/>
            </w:pPr>
            <w:r>
              <w:rPr>
                <w:rFonts w:ascii="宋体" w:hAnsi="宋体" w:hint="eastAsia"/>
                <w:szCs w:val="24"/>
                <w:lang w:eastAsia="zh-Hans"/>
              </w:rPr>
              <w:t>100.00</w:t>
            </w:r>
          </w:p>
        </w:tc>
      </w:tr>
    </w:tbl>
    <w:p w:rsidR="00AA59E7" w:rsidRDefault="00CF3094">
      <w:pPr>
        <w:pStyle w:val="XBRLTitle2"/>
        <w:spacing w:before="156" w:line="360" w:lineRule="auto"/>
        <w:ind w:left="454"/>
      </w:pPr>
      <w:bookmarkStart w:id="211" w:name="_Toc514088261"/>
      <w:bookmarkStart w:id="212" w:name="_Toc480465433"/>
      <w:bookmarkStart w:id="213" w:name="_Toc448480299"/>
      <w:bookmarkStart w:id="214" w:name="_Toc438654087"/>
      <w:bookmarkStart w:id="215" w:name="_Toc456107132"/>
      <w:bookmarkStart w:id="216" w:name="_Toc459213778"/>
      <w:bookmarkStart w:id="217" w:name="_Toc513542662"/>
      <w:bookmarkStart w:id="218" w:name="_Toc512696264"/>
      <w:bookmarkStart w:id="219" w:name="_Toc512612267"/>
      <w:bookmarkStart w:id="220" w:name="_Toc512612091"/>
      <w:bookmarkStart w:id="221" w:name="_Toc512611295"/>
      <w:bookmarkEnd w:id="205"/>
      <w:proofErr w:type="spellStart"/>
      <w:r>
        <w:rPr>
          <w:rFonts w:eastAsia="宋体" w:hint="eastAsia"/>
        </w:rPr>
        <w:t>报告期末在各个国家（地区）证券市场的股票及存托凭证投资分布</w:t>
      </w:r>
      <w:bookmarkEnd w:id="211"/>
      <w:bookmarkEnd w:id="212"/>
      <w:bookmarkEnd w:id="213"/>
      <w:bookmarkEnd w:id="214"/>
      <w:bookmarkEnd w:id="215"/>
      <w:bookmarkEnd w:id="216"/>
      <w:proofErr w:type="spellEnd"/>
      <w:r>
        <w:rPr>
          <w:rFonts w:hint="eastAsia"/>
        </w:rPr>
        <w:t xml:space="preserve"> </w:t>
      </w:r>
      <w:bookmarkEnd w:id="217"/>
      <w:bookmarkEnd w:id="218"/>
      <w:bookmarkEnd w:id="219"/>
      <w:bookmarkEnd w:id="220"/>
      <w:bookmarkEnd w:id="221"/>
    </w:p>
    <w:tbl>
      <w:tblPr>
        <w:tblW w:w="5000" w:type="pct"/>
        <w:tblLook w:val="04A0" w:firstRow="1" w:lastRow="0" w:firstColumn="1" w:lastColumn="0" w:noHBand="0" w:noVBand="1"/>
      </w:tblPr>
      <w:tblGrid>
        <w:gridCol w:w="2032"/>
        <w:gridCol w:w="3621"/>
        <w:gridCol w:w="3182"/>
      </w:tblGrid>
      <w:tr w:rsidR="00AA59E7">
        <w:trPr>
          <w:divId w:val="1697543500"/>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AA59E7" w:rsidRDefault="00CF3094">
            <w:pPr>
              <w:jc w:val="center"/>
            </w:pPr>
            <w:bookmarkStart w:id="222" w:name="m08QD_02"/>
            <w:bookmarkStart w:id="223"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AA59E7" w:rsidRDefault="00CF3094">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AA59E7" w:rsidRDefault="00CF3094">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61,948,672.70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20.67</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德国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55,840,533.54</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18.63</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37,846,161.58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12.63</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瑞士</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30,885,623.35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10.30</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荷兰</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16,526,410.88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5.51</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意大利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12,874,452.43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4.29</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西班牙</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11,522,023.40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3.84</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6,559,058.28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2.19</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瑞典</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6,536,803.96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2.18</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爱尔兰</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5,669,122.13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1.89</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奥地利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2,665,688.55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0.89</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lang w:eastAsia="zh-Hans"/>
              </w:rPr>
              <w:t>挪威</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1,521,803.91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0.51</w:t>
            </w:r>
          </w:p>
        </w:tc>
      </w:tr>
      <w:tr w:rsidR="00AA59E7">
        <w:trPr>
          <w:divId w:val="1697543500"/>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250,396,354.71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szCs w:val="21"/>
                <w:lang w:eastAsia="zh-Hans"/>
              </w:rPr>
              <w:t>83.53</w:t>
            </w:r>
            <w:bookmarkEnd w:id="222"/>
          </w:p>
        </w:tc>
      </w:tr>
    </w:tbl>
    <w:p w:rsidR="00AA59E7" w:rsidRDefault="00CF3094">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AA59E7" w:rsidRDefault="00CF3094">
      <w:pPr>
        <w:pStyle w:val="XBRLTitle2"/>
        <w:spacing w:before="156" w:line="360" w:lineRule="auto"/>
        <w:ind w:left="454"/>
      </w:pPr>
      <w:bookmarkStart w:id="224" w:name="_Toc514088262"/>
      <w:bookmarkStart w:id="225" w:name="_Toc480465434"/>
      <w:bookmarkStart w:id="226" w:name="_Toc448480300"/>
      <w:bookmarkStart w:id="227" w:name="_Toc438654088"/>
      <w:bookmarkStart w:id="228" w:name="_Toc456107133"/>
      <w:bookmarkStart w:id="229" w:name="_Toc459213779"/>
      <w:bookmarkStart w:id="230" w:name="_Toc513542663"/>
      <w:bookmarkStart w:id="231" w:name="_Toc512696265"/>
      <w:bookmarkStart w:id="232" w:name="_Toc512612268"/>
      <w:bookmarkStart w:id="233" w:name="_Toc512612092"/>
      <w:bookmarkStart w:id="234" w:name="_Toc512611296"/>
      <w:bookmarkStart w:id="235" w:name="m503"/>
      <w:bookmarkEnd w:id="223"/>
      <w:proofErr w:type="spellStart"/>
      <w:r>
        <w:rPr>
          <w:rFonts w:eastAsia="宋体" w:hint="eastAsia"/>
        </w:rPr>
        <w:t>报告期末按行业分类的股票及存托凭证投资组合</w:t>
      </w:r>
      <w:bookmarkEnd w:id="224"/>
      <w:bookmarkEnd w:id="225"/>
      <w:bookmarkEnd w:id="226"/>
      <w:bookmarkEnd w:id="227"/>
      <w:bookmarkEnd w:id="228"/>
      <w:bookmarkEnd w:id="229"/>
      <w:proofErr w:type="spellEnd"/>
      <w:r>
        <w:rPr>
          <w:rFonts w:hint="eastAsia"/>
        </w:rPr>
        <w:t xml:space="preserve"> </w:t>
      </w:r>
      <w:bookmarkEnd w:id="230"/>
      <w:bookmarkEnd w:id="231"/>
      <w:bookmarkEnd w:id="232"/>
      <w:bookmarkEnd w:id="233"/>
      <w:bookmarkEnd w:id="234"/>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bookmarkStart w:id="236" w:name="m08QD_03_01_tab"/>
            <w:bookmarkStart w:id="237" w:name="m08QD_03_tab"/>
            <w:bookmarkStart w:id="238"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13,754,887.53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4.59</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29,588,554.33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9.87</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19,028,434.66</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6.35</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lastRenderedPageBreak/>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16,419,726.73</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5.48</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72,581,927.11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24.21</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27,348,308.74</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9.12</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28,354,219.82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9.46</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20,657,458.88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6.89</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13,337,615.52</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4.45</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9,325,221.39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3.11</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w:t>
            </w:r>
          </w:p>
        </w:tc>
      </w:tr>
      <w:tr w:rsidR="00AA59E7">
        <w:trPr>
          <w:divId w:val="303124205"/>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250,396,354.71</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83.53</w:t>
            </w:r>
          </w:p>
        </w:tc>
      </w:tr>
    </w:tbl>
    <w:p w:rsidR="00AA59E7" w:rsidRDefault="00CF3094">
      <w:pPr>
        <w:spacing w:line="360" w:lineRule="auto"/>
        <w:jc w:val="left"/>
        <w:divId w:val="1805847216"/>
      </w:pPr>
      <w:bookmarkStart w:id="239" w:name="_Toc247616244"/>
      <w:bookmarkStart w:id="240" w:name="_Toc433036708"/>
      <w:bookmarkStart w:id="241" w:name="_Toc247613259"/>
      <w:bookmarkStart w:id="242" w:name="m08QD_04_01"/>
      <w:bookmarkStart w:id="243" w:name="m07_04_07_02"/>
      <w:bookmarkEnd w:id="236"/>
      <w:bookmarkEnd w:id="237"/>
      <w:bookmarkEnd w:id="238"/>
      <w:r>
        <w:rPr>
          <w:rFonts w:ascii="宋体" w:hAnsi="宋体" w:hint="eastAsia"/>
          <w:szCs w:val="21"/>
        </w:rPr>
        <w:t>注：</w:t>
      </w:r>
      <w:r>
        <w:rPr>
          <w:rFonts w:ascii="宋体" w:hAnsi="宋体" w:hint="eastAsia"/>
          <w:szCs w:val="21"/>
          <w:lang w:eastAsia="zh-Hans"/>
        </w:rPr>
        <w:t>以上分类采用全球行业分类标准(GICS)。</w:t>
      </w:r>
      <w:bookmarkEnd w:id="239"/>
      <w:bookmarkEnd w:id="240"/>
      <w:bookmarkEnd w:id="241"/>
      <w:r>
        <w:rPr>
          <w:rFonts w:ascii="宋体" w:hAnsi="宋体" w:hint="eastAsia"/>
          <w:szCs w:val="21"/>
          <w:lang w:eastAsia="zh-Hans"/>
        </w:rPr>
        <w:t xml:space="preserve"> </w:t>
      </w:r>
    </w:p>
    <w:p w:rsidR="00AA59E7" w:rsidRDefault="00CF3094">
      <w:pPr>
        <w:pStyle w:val="XBRLTitle2"/>
        <w:spacing w:before="156" w:line="360" w:lineRule="auto"/>
        <w:ind w:left="454"/>
      </w:pPr>
      <w:bookmarkStart w:id="244" w:name="_Toc5140882991"/>
      <w:bookmarkStart w:id="245" w:name="_Toc480465441"/>
      <w:bookmarkStart w:id="246" w:name="_Toc459213786"/>
      <w:bookmarkStart w:id="247" w:name="_Toc456107140"/>
      <w:bookmarkStart w:id="248" w:name="_Toc438654095"/>
      <w:bookmarkStart w:id="249" w:name="_Toc448480307"/>
      <w:bookmarkStart w:id="250" w:name="_Toc513542670"/>
      <w:bookmarkStart w:id="251" w:name="_Toc512696272"/>
      <w:bookmarkStart w:id="252" w:name="_Toc512612275"/>
      <w:bookmarkStart w:id="253" w:name="_Toc512612099"/>
      <w:bookmarkStart w:id="254" w:name="_Toc512611303"/>
      <w:bookmarkEnd w:id="235"/>
      <w:proofErr w:type="spellStart"/>
      <w:r>
        <w:rPr>
          <w:rFonts w:eastAsia="宋体" w:hint="eastAsia"/>
        </w:rPr>
        <w:t>期末按公允价值占基金资产净值比例大小排序的权益投资明细</w:t>
      </w:r>
      <w:bookmarkEnd w:id="244"/>
      <w:proofErr w:type="spellEnd"/>
      <w:r>
        <w:rPr>
          <w:rFonts w:eastAsia="宋体" w:hint="eastAsia"/>
        </w:rPr>
        <w:t xml:space="preserve"> </w:t>
      </w:r>
    </w:p>
    <w:p w:rsidR="00AA59E7" w:rsidRDefault="00CF3094">
      <w:pPr>
        <w:pStyle w:val="XBRLTitle3"/>
        <w:spacing w:before="156" w:line="360" w:lineRule="auto"/>
        <w:ind w:left="624"/>
      </w:pPr>
      <w:bookmarkStart w:id="255" w:name="m510_01_1597"/>
      <w:proofErr w:type="spellStart"/>
      <w:r>
        <w:rPr>
          <w:rFonts w:hAnsi="宋体" w:hint="eastAsia"/>
        </w:rPr>
        <w:t>报告期末按公允价值占基金资产净值比例大小排序的前十名股票及存托凭证投资明细</w:t>
      </w:r>
      <w:bookmarkStart w:id="256" w:name="_Toc5140882992"/>
      <w:bookmarkStart w:id="257" w:name="_Toc513542671"/>
      <w:bookmarkStart w:id="258" w:name="_Toc480465442"/>
      <w:bookmarkEnd w:id="256"/>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59"/>
        <w:gridCol w:w="1371"/>
        <w:gridCol w:w="1013"/>
        <w:gridCol w:w="661"/>
        <w:gridCol w:w="737"/>
        <w:gridCol w:w="636"/>
        <w:gridCol w:w="951"/>
        <w:gridCol w:w="1476"/>
        <w:gridCol w:w="1431"/>
      </w:tblGrid>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bookmarkStart w:id="259"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AA59E7" w:rsidRDefault="00CF3094">
            <w:pPr>
              <w:jc w:val="center"/>
            </w:pPr>
            <w:r>
              <w:rPr>
                <w:rFonts w:ascii="宋体" w:hAnsi="宋体" w:hint="eastAsia"/>
              </w:rPr>
              <w:t>占基金资产净值比例</w:t>
            </w:r>
            <w:r>
              <w:rPr>
                <w:rFonts w:ascii="宋体" w:hAnsi="宋体" w:hint="eastAsia"/>
                <w:lang w:eastAsia="zh-Hans"/>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SAP SE</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SAP公司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SAP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4,965</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9,460,267.71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3.16</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SHELL PLC (UK)</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壳牌公共有限公司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SHEL</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34,283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9,024,724.63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3.01</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NOVARTIS AG-REG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诺华</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NOVN</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瑞士证券交易所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瑞士</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10,747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8,594,535.04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2.87</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ROCHE HOLDING AG-GENUSSCHEIN</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罗氏控股股份公司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ROG</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瑞士证券交易所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瑞士</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2,972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7,056,894.67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2.35</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UNICREDIT SPA</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裕信银行公共有限公司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UCG</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意大利证券交易所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意大利</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15,917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6,394,466.71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2.13</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ALLIANZ SE-REG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安联保险有限公司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ALV</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法兰克福证券</w:t>
            </w:r>
            <w:r>
              <w:rPr>
                <w:rFonts w:ascii="宋体" w:hAnsi="宋体" w:hint="eastAsia"/>
                <w:color w:val="000000"/>
                <w:lang w:eastAsia="zh-Hans"/>
              </w:rPr>
              <w:lastRenderedPageBreak/>
              <w:t>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lastRenderedPageBreak/>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2,320</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6,368,497.49</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2.12</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DEUTSCHE TELEKOM AG-REG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德国电信</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DTE</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23,107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6,164,623.27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2.06</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BANCO SANTANDER SA</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桑坦德</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SAN</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西班牙证券交易所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西班牙</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122,947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5,938,986.20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1.98</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MUENCHENER RUECKVER AG-REG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慕尼黑再保险公司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MUV2</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1,272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5,775,524.75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1.93</w:t>
            </w:r>
            <w:r>
              <w:rPr>
                <w:rFonts w:ascii="宋体" w:hAnsi="宋体" w:hint="eastAsia"/>
                <w:sz w:val="18"/>
              </w:rPr>
              <w:t xml:space="preserve"> </w:t>
            </w:r>
          </w:p>
        </w:tc>
      </w:tr>
      <w:tr w:rsidR="00AA59E7">
        <w:trPr>
          <w:divId w:val="791439721"/>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SIEMENS AG-REG</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西门子</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SIE</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法兰克福证券交易所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r>
              <w:rPr>
                <w:rFonts w:ascii="宋体" w:hAnsi="宋体" w:hint="eastAsia"/>
                <w:color w:val="000000"/>
                <w:lang w:eastAsia="zh-Hans"/>
              </w:rPr>
              <w:t>德国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3,482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5,752,315.46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59E7" w:rsidRDefault="00CF3094">
            <w:pPr>
              <w:jc w:val="right"/>
            </w:pPr>
            <w:r>
              <w:rPr>
                <w:rFonts w:ascii="宋体" w:hAnsi="宋体" w:hint="eastAsia"/>
                <w:color w:val="000000"/>
                <w:lang w:eastAsia="zh-Hans"/>
              </w:rPr>
              <w:t>1.92</w:t>
            </w:r>
            <w:r>
              <w:rPr>
                <w:rFonts w:ascii="宋体" w:hAnsi="宋体" w:hint="eastAsia"/>
                <w:sz w:val="18"/>
              </w:rPr>
              <w:t xml:space="preserve"> </w:t>
            </w:r>
          </w:p>
        </w:tc>
      </w:tr>
    </w:tbl>
    <w:bookmarkEnd w:id="259"/>
    <w:p w:rsidR="00AA59E7" w:rsidRDefault="00CF3094">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2"/>
      <w:r>
        <w:rPr>
          <w:rFonts w:ascii="宋体" w:hAnsi="宋体" w:hint="eastAsia"/>
        </w:rPr>
        <w:t xml:space="preserve"> </w:t>
      </w:r>
    </w:p>
    <w:p w:rsidR="00AA59E7" w:rsidRDefault="00CF3094">
      <w:pPr>
        <w:pStyle w:val="XBRLTitle2"/>
        <w:spacing w:before="156" w:line="360" w:lineRule="auto"/>
        <w:ind w:left="454"/>
      </w:pPr>
      <w:bookmarkStart w:id="260" w:name="_Toc514088264"/>
      <w:bookmarkStart w:id="261" w:name="_Toc480465436"/>
      <w:bookmarkStart w:id="262" w:name="_Toc448480302"/>
      <w:bookmarkStart w:id="263" w:name="_Toc438654090"/>
      <w:bookmarkStart w:id="264" w:name="_Toc456107135"/>
      <w:bookmarkStart w:id="265" w:name="_Toc459213781"/>
      <w:bookmarkStart w:id="266" w:name="_Toc513542665"/>
      <w:bookmarkStart w:id="267" w:name="_Toc512696267"/>
      <w:bookmarkStart w:id="268" w:name="_Toc512612270"/>
      <w:bookmarkStart w:id="269" w:name="_Toc512612094"/>
      <w:bookmarkStart w:id="270" w:name="_Toc512611298"/>
      <w:bookmarkStart w:id="271" w:name="m505"/>
      <w:proofErr w:type="spellStart"/>
      <w:r>
        <w:rPr>
          <w:rFonts w:eastAsia="宋体" w:hint="eastAsia"/>
        </w:rPr>
        <w:t>报告期末按债券信用等级分类的债券投资组合</w:t>
      </w:r>
      <w:bookmarkEnd w:id="260"/>
      <w:bookmarkEnd w:id="261"/>
      <w:bookmarkEnd w:id="262"/>
      <w:bookmarkEnd w:id="263"/>
      <w:bookmarkEnd w:id="264"/>
      <w:bookmarkEnd w:id="265"/>
      <w:proofErr w:type="spellEnd"/>
      <w:r>
        <w:rPr>
          <w:rFonts w:hint="eastAsia"/>
        </w:rPr>
        <w:t xml:space="preserve"> </w:t>
      </w:r>
      <w:bookmarkEnd w:id="266"/>
      <w:bookmarkEnd w:id="267"/>
      <w:bookmarkEnd w:id="268"/>
      <w:bookmarkEnd w:id="269"/>
      <w:bookmarkEnd w:id="270"/>
    </w:p>
    <w:p w:rsidR="00AA59E7" w:rsidRDefault="00CF3094">
      <w:pPr>
        <w:spacing w:line="360" w:lineRule="auto"/>
        <w:ind w:firstLineChars="200" w:firstLine="420"/>
        <w:jc w:val="left"/>
      </w:pPr>
      <w:r>
        <w:rPr>
          <w:rFonts w:ascii="宋体" w:hAnsi="宋体" w:hint="eastAsia"/>
        </w:rPr>
        <w:t>本基金本报告期末未持有债券。</w:t>
      </w:r>
    </w:p>
    <w:p w:rsidR="00AA59E7" w:rsidRDefault="00CF3094">
      <w:pPr>
        <w:pStyle w:val="XBRLTitle2"/>
        <w:spacing w:before="156" w:line="360" w:lineRule="auto"/>
        <w:ind w:left="454"/>
      </w:pPr>
      <w:bookmarkStart w:id="272" w:name="_Toc514088265"/>
      <w:bookmarkStart w:id="273" w:name="_Toc480465437"/>
      <w:bookmarkStart w:id="274" w:name="_Toc448480303"/>
      <w:bookmarkStart w:id="275" w:name="_Toc438654091"/>
      <w:bookmarkStart w:id="276" w:name="_Toc456107136"/>
      <w:bookmarkStart w:id="277" w:name="_Toc459213782"/>
      <w:bookmarkStart w:id="278" w:name="_Toc513542666"/>
      <w:bookmarkStart w:id="279" w:name="_Toc512696268"/>
      <w:bookmarkStart w:id="280" w:name="_Toc512612271"/>
      <w:bookmarkStart w:id="281" w:name="_Toc512612095"/>
      <w:bookmarkStart w:id="282" w:name="_Toc512611299"/>
      <w:bookmarkStart w:id="283" w:name="m506"/>
      <w:bookmarkEnd w:id="271"/>
      <w:proofErr w:type="spellStart"/>
      <w:r>
        <w:rPr>
          <w:rFonts w:eastAsia="宋体" w:hint="eastAsia"/>
        </w:rPr>
        <w:t>报告期末按公允价值占基金资产净值比例大小排名的前五名债券投资明细</w:t>
      </w:r>
      <w:bookmarkEnd w:id="272"/>
      <w:bookmarkEnd w:id="273"/>
      <w:bookmarkEnd w:id="274"/>
      <w:bookmarkEnd w:id="275"/>
      <w:bookmarkEnd w:id="276"/>
      <w:bookmarkEnd w:id="277"/>
      <w:proofErr w:type="spellEnd"/>
      <w:r>
        <w:rPr>
          <w:rFonts w:hint="eastAsia"/>
        </w:rPr>
        <w:t xml:space="preserve"> </w:t>
      </w:r>
      <w:bookmarkEnd w:id="278"/>
      <w:bookmarkEnd w:id="279"/>
      <w:bookmarkEnd w:id="280"/>
      <w:bookmarkEnd w:id="281"/>
      <w:bookmarkEnd w:id="282"/>
    </w:p>
    <w:p w:rsidR="00AA59E7" w:rsidRDefault="00CF3094">
      <w:pPr>
        <w:spacing w:line="360" w:lineRule="auto"/>
        <w:ind w:firstLineChars="200" w:firstLine="420"/>
        <w:jc w:val="left"/>
        <w:divId w:val="217014196"/>
      </w:pPr>
      <w:r>
        <w:rPr>
          <w:rFonts w:ascii="宋体" w:hAnsi="宋体" w:hint="eastAsia"/>
          <w:color w:val="000000"/>
          <w:szCs w:val="21"/>
          <w:lang w:eastAsia="zh-Hans"/>
        </w:rPr>
        <w:t>本基金本报告期末未持有债券。</w:t>
      </w:r>
    </w:p>
    <w:p w:rsidR="00AA59E7" w:rsidRDefault="00CF3094">
      <w:pPr>
        <w:pStyle w:val="XBRLTitle2"/>
        <w:spacing w:before="156" w:line="360" w:lineRule="auto"/>
        <w:ind w:left="454"/>
      </w:pPr>
      <w:bookmarkStart w:id="284" w:name="_Toc514088266"/>
      <w:bookmarkStart w:id="285" w:name="_Toc480465438"/>
      <w:bookmarkStart w:id="286" w:name="_Toc448480304"/>
      <w:bookmarkStart w:id="287" w:name="_Toc438654092"/>
      <w:bookmarkStart w:id="288" w:name="_Toc456107137"/>
      <w:bookmarkStart w:id="289" w:name="_Toc459213783"/>
      <w:bookmarkStart w:id="290" w:name="_Toc513542667"/>
      <w:bookmarkStart w:id="291" w:name="_Toc512696269"/>
      <w:bookmarkStart w:id="292" w:name="_Toc512612272"/>
      <w:bookmarkStart w:id="293" w:name="_Toc512612096"/>
      <w:bookmarkStart w:id="294" w:name="_Toc512611300"/>
      <w:bookmarkStart w:id="295" w:name="m507"/>
      <w:bookmarkEnd w:id="283"/>
      <w:proofErr w:type="spellStart"/>
      <w:r>
        <w:rPr>
          <w:rFonts w:eastAsia="宋体" w:hint="eastAsia"/>
        </w:rPr>
        <w:t>报告期末按公允价值占基金资产净值比例大小排名的前十名资产支持证券投资明细</w:t>
      </w:r>
      <w:bookmarkEnd w:id="284"/>
      <w:bookmarkEnd w:id="285"/>
      <w:bookmarkEnd w:id="286"/>
      <w:bookmarkEnd w:id="287"/>
      <w:bookmarkEnd w:id="288"/>
      <w:bookmarkEnd w:id="289"/>
      <w:proofErr w:type="spellEnd"/>
      <w:r>
        <w:rPr>
          <w:rFonts w:hint="eastAsia"/>
        </w:rPr>
        <w:t xml:space="preserve"> </w:t>
      </w:r>
      <w:bookmarkEnd w:id="290"/>
      <w:bookmarkEnd w:id="291"/>
      <w:bookmarkEnd w:id="292"/>
      <w:bookmarkEnd w:id="293"/>
      <w:bookmarkEnd w:id="294"/>
    </w:p>
    <w:p w:rsidR="00AA59E7" w:rsidRDefault="00CF3094">
      <w:pPr>
        <w:spacing w:line="360" w:lineRule="auto"/>
        <w:ind w:firstLineChars="200" w:firstLine="420"/>
        <w:jc w:val="left"/>
        <w:divId w:val="490371041"/>
      </w:pPr>
      <w:r>
        <w:rPr>
          <w:rFonts w:ascii="宋体" w:hAnsi="宋体" w:hint="eastAsia"/>
          <w:color w:val="000000"/>
          <w:szCs w:val="21"/>
          <w:lang w:eastAsia="zh-Hans"/>
        </w:rPr>
        <w:t>本基金本报告期末未持有资产支持证券。</w:t>
      </w:r>
    </w:p>
    <w:p w:rsidR="00AA59E7" w:rsidRDefault="00CF3094">
      <w:pPr>
        <w:pStyle w:val="XBRLTitle2"/>
        <w:spacing w:before="156" w:line="360" w:lineRule="auto"/>
        <w:ind w:left="454"/>
      </w:pPr>
      <w:bookmarkStart w:id="296" w:name="_Toc514088267"/>
      <w:bookmarkStart w:id="297" w:name="_Toc480465439"/>
      <w:bookmarkStart w:id="298" w:name="_Toc459213784"/>
      <w:bookmarkStart w:id="299" w:name="_Toc456107138"/>
      <w:bookmarkStart w:id="300" w:name="_Toc438654093"/>
      <w:bookmarkStart w:id="301" w:name="_Toc448480305"/>
      <w:bookmarkStart w:id="302" w:name="_Toc513542668"/>
      <w:bookmarkStart w:id="303" w:name="_Toc512696270"/>
      <w:bookmarkStart w:id="304" w:name="_Toc512612273"/>
      <w:bookmarkStart w:id="305" w:name="_Toc512612097"/>
      <w:bookmarkStart w:id="306" w:name="_Toc512611301"/>
      <w:bookmarkStart w:id="307" w:name="m508"/>
      <w:bookmarkEnd w:id="295"/>
      <w:proofErr w:type="spellStart"/>
      <w:r>
        <w:rPr>
          <w:rFonts w:eastAsia="宋体" w:hint="eastAsia"/>
        </w:rPr>
        <w:t>报告期末按公允价值占基金资产净值比例大小排名的前五名金融衍生品投资明细</w:t>
      </w:r>
      <w:bookmarkEnd w:id="296"/>
      <w:bookmarkEnd w:id="297"/>
      <w:bookmarkEnd w:id="298"/>
      <w:bookmarkEnd w:id="299"/>
      <w:bookmarkEnd w:id="300"/>
      <w:bookmarkEnd w:id="301"/>
      <w:proofErr w:type="spellEnd"/>
      <w:r>
        <w:rPr>
          <w:rFonts w:hint="eastAsia"/>
        </w:rPr>
        <w:t xml:space="preserve"> </w:t>
      </w:r>
      <w:bookmarkEnd w:id="302"/>
      <w:bookmarkEnd w:id="303"/>
      <w:bookmarkEnd w:id="304"/>
      <w:bookmarkEnd w:id="305"/>
      <w:bookmarkEnd w:id="306"/>
    </w:p>
    <w:p w:rsidR="00AA59E7" w:rsidRDefault="00CF3094">
      <w:pPr>
        <w:spacing w:line="360" w:lineRule="auto"/>
        <w:ind w:firstLineChars="200" w:firstLine="420"/>
        <w:divId w:val="295719389"/>
      </w:pPr>
      <w:bookmarkStart w:id="308"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8"/>
      <w:r>
        <w:rPr>
          <w:rFonts w:ascii="宋体" w:hAnsi="宋体" w:hint="eastAsia"/>
          <w:szCs w:val="24"/>
          <w:lang w:eastAsia="zh-Hans"/>
        </w:rPr>
        <w:t xml:space="preserve"> </w:t>
      </w:r>
    </w:p>
    <w:p w:rsidR="00AA59E7" w:rsidRDefault="00CF3094">
      <w:pPr>
        <w:pStyle w:val="XBRLTitle2"/>
        <w:spacing w:before="156" w:line="360" w:lineRule="auto"/>
        <w:ind w:left="454"/>
      </w:pPr>
      <w:bookmarkStart w:id="309" w:name="_Toc514088268"/>
      <w:bookmarkStart w:id="310" w:name="_Toc480465440"/>
      <w:bookmarkStart w:id="311" w:name="_Toc459213785"/>
      <w:bookmarkStart w:id="312" w:name="_Toc456107139"/>
      <w:bookmarkStart w:id="313" w:name="_Toc438654094"/>
      <w:bookmarkStart w:id="314" w:name="_Toc448480306"/>
      <w:bookmarkStart w:id="315" w:name="_Toc513542669"/>
      <w:bookmarkStart w:id="316" w:name="_Toc512696271"/>
      <w:bookmarkStart w:id="317" w:name="_Toc512612274"/>
      <w:bookmarkStart w:id="318" w:name="_Toc512612098"/>
      <w:bookmarkStart w:id="319" w:name="_Toc512611302"/>
      <w:bookmarkStart w:id="320" w:name="m509"/>
      <w:bookmarkEnd w:id="307"/>
      <w:proofErr w:type="spellStart"/>
      <w:r>
        <w:rPr>
          <w:rFonts w:eastAsia="宋体" w:hint="eastAsia"/>
        </w:rPr>
        <w:t>报告期末按公允价值占基金资产净值比例大小排序的前十名基金投资明细</w:t>
      </w:r>
      <w:bookmarkEnd w:id="309"/>
      <w:bookmarkEnd w:id="310"/>
      <w:bookmarkEnd w:id="311"/>
      <w:bookmarkEnd w:id="312"/>
      <w:bookmarkEnd w:id="313"/>
      <w:bookmarkEnd w:id="314"/>
      <w:proofErr w:type="spellEnd"/>
      <w:r>
        <w:rPr>
          <w:rFonts w:hint="eastAsia"/>
        </w:rPr>
        <w:t xml:space="preserve"> </w:t>
      </w:r>
      <w:bookmarkEnd w:id="315"/>
      <w:bookmarkEnd w:id="316"/>
      <w:bookmarkEnd w:id="317"/>
      <w:bookmarkEnd w:id="318"/>
      <w:bookmarkEnd w:id="319"/>
    </w:p>
    <w:p w:rsidR="00AA59E7" w:rsidRDefault="00CF3094">
      <w:pPr>
        <w:spacing w:line="360" w:lineRule="auto"/>
        <w:ind w:firstLineChars="200" w:firstLine="420"/>
      </w:pPr>
      <w:bookmarkStart w:id="321" w:name="m08QD_10"/>
      <w:bookmarkEnd w:id="243"/>
      <w:r>
        <w:rPr>
          <w:rFonts w:ascii="宋体" w:hAnsi="宋体" w:hint="eastAsia"/>
          <w:szCs w:val="21"/>
          <w:lang w:eastAsia="zh-Hans"/>
        </w:rPr>
        <w:t>本基金本报告期末未持有基金。</w:t>
      </w:r>
      <w:r>
        <w:rPr>
          <w:rFonts w:ascii="宋体" w:hAnsi="宋体" w:hint="eastAsia"/>
          <w:lang w:eastAsia="zh-Hans"/>
        </w:rPr>
        <w:t xml:space="preserve"> </w:t>
      </w:r>
      <w:bookmarkEnd w:id="321"/>
      <w:bookmarkEnd w:id="207"/>
      <w:bookmarkEnd w:id="208"/>
      <w:bookmarkEnd w:id="209"/>
      <w:bookmarkEnd w:id="210"/>
    </w:p>
    <w:p w:rsidR="00AA59E7" w:rsidRDefault="00CF3094">
      <w:pPr>
        <w:pStyle w:val="XBRLTitle2"/>
        <w:spacing w:before="156" w:line="360" w:lineRule="auto"/>
        <w:ind w:left="454"/>
      </w:pPr>
      <w:bookmarkStart w:id="322" w:name="_Toc514088269"/>
      <w:bookmarkEnd w:id="320"/>
      <w:proofErr w:type="spellStart"/>
      <w:r>
        <w:rPr>
          <w:rFonts w:eastAsia="宋体" w:hint="eastAsia"/>
        </w:rPr>
        <w:t>投资组合报告附注</w:t>
      </w:r>
      <w:bookmarkEnd w:id="322"/>
      <w:bookmarkEnd w:id="245"/>
      <w:bookmarkEnd w:id="246"/>
      <w:bookmarkEnd w:id="247"/>
      <w:bookmarkEnd w:id="248"/>
      <w:bookmarkEnd w:id="249"/>
      <w:bookmarkEnd w:id="250"/>
      <w:bookmarkEnd w:id="251"/>
      <w:bookmarkEnd w:id="252"/>
      <w:bookmarkEnd w:id="253"/>
      <w:bookmarkEnd w:id="254"/>
      <w:proofErr w:type="spellEnd"/>
      <w:r>
        <w:rPr>
          <w:rFonts w:eastAsia="宋体" w:hint="eastAsia"/>
        </w:rPr>
        <w:t xml:space="preserve"> </w:t>
      </w:r>
    </w:p>
    <w:p w:rsidR="00AA59E7" w:rsidRDefault="00CF3094">
      <w:pPr>
        <w:pStyle w:val="XBRLTitle3"/>
        <w:spacing w:before="156" w:line="360" w:lineRule="auto"/>
        <w:ind w:left="624"/>
      </w:pPr>
      <w:r>
        <w:rPr>
          <w:rFonts w:hAnsi="宋体" w:hint="eastAsia"/>
          <w:lang w:eastAsia="zh-CN"/>
        </w:rPr>
        <w:lastRenderedPageBreak/>
        <w:t xml:space="preserve"> </w:t>
      </w:r>
      <w:bookmarkStart w:id="323" w:name="_Toc514088270"/>
      <w:bookmarkEnd w:id="323"/>
      <w:bookmarkEnd w:id="257"/>
      <w:bookmarkEnd w:id="258"/>
      <w:r>
        <w:rPr>
          <w:rFonts w:hAnsi="宋体" w:hint="eastAsia"/>
        </w:rPr>
        <w:t xml:space="preserve"> </w:t>
      </w:r>
    </w:p>
    <w:p w:rsidR="00AA59E7" w:rsidRDefault="00CF3094">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AA59E7" w:rsidRDefault="00CF3094">
      <w:pPr>
        <w:pStyle w:val="XBRLTitle3"/>
        <w:spacing w:before="156" w:line="360" w:lineRule="auto"/>
        <w:ind w:left="624"/>
      </w:pPr>
      <w:bookmarkStart w:id="324" w:name="m510_01_1598"/>
      <w:bookmarkEnd w:id="255"/>
      <w:r>
        <w:rPr>
          <w:rFonts w:hAnsi="宋体" w:hint="eastAsia"/>
          <w:lang w:eastAsia="zh-CN"/>
        </w:rPr>
        <w:t xml:space="preserve"> </w:t>
      </w:r>
      <w:bookmarkStart w:id="325" w:name="_Toc514088271"/>
      <w:bookmarkStart w:id="326" w:name="_Toc513542672"/>
      <w:bookmarkStart w:id="327" w:name="_Toc480465443"/>
      <w:bookmarkEnd w:id="325"/>
      <w:bookmarkEnd w:id="326"/>
      <w:bookmarkEnd w:id="327"/>
      <w:r>
        <w:rPr>
          <w:rFonts w:hAnsi="宋体" w:hint="eastAsia"/>
        </w:rPr>
        <w:t xml:space="preserve"> </w:t>
      </w:r>
    </w:p>
    <w:p w:rsidR="00AA59E7" w:rsidRDefault="00CF3094">
      <w:pPr>
        <w:spacing w:line="360" w:lineRule="auto"/>
        <w:ind w:firstLineChars="200" w:firstLine="420"/>
      </w:pPr>
      <w:r>
        <w:rPr>
          <w:rFonts w:ascii="宋体" w:hAnsi="宋体" w:hint="eastAsia"/>
        </w:rPr>
        <w:t>报告期内本基金投资的前十名股票中没有在基金合同规定备选股票库之外的股票。</w:t>
      </w:r>
    </w:p>
    <w:p w:rsidR="00AA59E7" w:rsidRDefault="00CF3094">
      <w:pPr>
        <w:pStyle w:val="XBRLTitle3"/>
        <w:spacing w:before="156" w:line="360" w:lineRule="auto"/>
        <w:ind w:left="624"/>
      </w:pPr>
      <w:bookmarkStart w:id="328" w:name="_Toc514088272"/>
      <w:bookmarkStart w:id="329" w:name="_Toc480465444"/>
      <w:bookmarkStart w:id="330" w:name="_Toc513542673"/>
      <w:bookmarkStart w:id="331" w:name="m510_02"/>
      <w:bookmarkEnd w:id="324"/>
      <w:proofErr w:type="spellStart"/>
      <w:r>
        <w:rPr>
          <w:rFonts w:hAnsi="宋体" w:hint="eastAsia"/>
        </w:rPr>
        <w:t>其他资产构成</w:t>
      </w:r>
      <w:bookmarkEnd w:id="328"/>
      <w:bookmarkEnd w:id="329"/>
      <w:proofErr w:type="spellEnd"/>
      <w:r>
        <w:rPr>
          <w:rFonts w:hint="eastAsia"/>
        </w:rPr>
        <w:t xml:space="preserve"> </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A59E7">
        <w:trPr>
          <w:divId w:val="1936011622"/>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A59E7" w:rsidRDefault="00CF3094">
            <w:pPr>
              <w:jc w:val="center"/>
            </w:pPr>
            <w:r>
              <w:rPr>
                <w:rFonts w:ascii="宋体" w:hAnsi="宋体" w:hint="eastAsia"/>
              </w:rPr>
              <w:t>金额（人民币元）</w:t>
            </w:r>
            <w:r>
              <w:t xml:space="preserve"> </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703,095.01</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1,576,980.61</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2,678,616.35</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w:t>
            </w:r>
          </w:p>
        </w:tc>
      </w:tr>
      <w:tr w:rsidR="00AA59E7">
        <w:trPr>
          <w:divId w:val="1936011622"/>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A59E7" w:rsidRDefault="00CF3094">
            <w:pPr>
              <w:jc w:val="right"/>
            </w:pPr>
            <w:r>
              <w:rPr>
                <w:rFonts w:ascii="宋体" w:hAnsi="宋体" w:hint="eastAsia"/>
              </w:rPr>
              <w:t>4,958,691.97</w:t>
            </w:r>
          </w:p>
        </w:tc>
      </w:tr>
    </w:tbl>
    <w:p w:rsidR="00AA59E7" w:rsidRDefault="00CF3094">
      <w:pPr>
        <w:pStyle w:val="XBRLTitle3"/>
        <w:spacing w:before="156" w:line="360" w:lineRule="auto"/>
        <w:ind w:left="624"/>
      </w:pPr>
      <w:bookmarkStart w:id="332" w:name="_Toc514088273"/>
      <w:bookmarkStart w:id="333" w:name="_Toc480465445"/>
      <w:bookmarkStart w:id="334" w:name="_Toc513542674"/>
      <w:bookmarkStart w:id="335" w:name="m510_03"/>
      <w:bookmarkEnd w:id="331"/>
      <w:proofErr w:type="spellStart"/>
      <w:r>
        <w:rPr>
          <w:rFonts w:hAnsi="宋体" w:hint="eastAsia"/>
        </w:rPr>
        <w:t>报告期末持有的处于转股期的可转换债券明细</w:t>
      </w:r>
      <w:bookmarkEnd w:id="332"/>
      <w:bookmarkEnd w:id="333"/>
      <w:proofErr w:type="spellEnd"/>
      <w:r>
        <w:rPr>
          <w:rFonts w:hint="eastAsia"/>
        </w:rPr>
        <w:t xml:space="preserve"> </w:t>
      </w:r>
      <w:bookmarkEnd w:id="334"/>
    </w:p>
    <w:p w:rsidR="00AA59E7" w:rsidRDefault="00CF3094">
      <w:pPr>
        <w:spacing w:line="360" w:lineRule="auto"/>
        <w:ind w:firstLineChars="200" w:firstLine="420"/>
        <w:jc w:val="left"/>
        <w:divId w:val="982731725"/>
      </w:pPr>
      <w:r>
        <w:rPr>
          <w:rFonts w:ascii="宋体" w:hAnsi="宋体" w:hint="eastAsia"/>
        </w:rPr>
        <w:t xml:space="preserve">本基金本报告期末未持有处于转股期的可转换债券。 </w:t>
      </w:r>
    </w:p>
    <w:p w:rsidR="00AA59E7" w:rsidRDefault="00CF3094">
      <w:pPr>
        <w:pStyle w:val="XBRLTitle3"/>
        <w:spacing w:before="156" w:line="360" w:lineRule="auto"/>
        <w:ind w:left="624"/>
      </w:pPr>
      <w:bookmarkStart w:id="336" w:name="_Toc514088274"/>
      <w:bookmarkStart w:id="337" w:name="_Toc480465446"/>
      <w:bookmarkStart w:id="338" w:name="_Toc513542675"/>
      <w:bookmarkStart w:id="339" w:name="m510_04"/>
      <w:bookmarkEnd w:id="335"/>
      <w:proofErr w:type="spellStart"/>
      <w:r>
        <w:rPr>
          <w:rFonts w:hAnsi="宋体" w:hint="eastAsia"/>
        </w:rPr>
        <w:t>报告期末前十名股票中存在流通受限情况的说明</w:t>
      </w:r>
      <w:bookmarkEnd w:id="336"/>
      <w:bookmarkEnd w:id="337"/>
      <w:proofErr w:type="spellEnd"/>
      <w:r>
        <w:rPr>
          <w:rFonts w:hint="eastAsia"/>
        </w:rPr>
        <w:t xml:space="preserve"> </w:t>
      </w:r>
      <w:bookmarkEnd w:id="338"/>
    </w:p>
    <w:p w:rsidR="00AA59E7" w:rsidRDefault="00CF3094">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20"/>
      <w:bookmarkEnd w:id="21"/>
      <w:bookmarkEnd w:id="22"/>
      <w:bookmarkEnd w:id="23"/>
      <w:bookmarkEnd w:id="24"/>
    </w:p>
    <w:p w:rsidR="00AA59E7" w:rsidRDefault="00CF3094">
      <w:pPr>
        <w:pStyle w:val="XBRLTitle3"/>
        <w:spacing w:before="156" w:line="360" w:lineRule="auto"/>
        <w:ind w:left="624"/>
      </w:pPr>
      <w:bookmarkStart w:id="340" w:name="_Toc514088275"/>
      <w:bookmarkStart w:id="341" w:name="_Toc480465447"/>
      <w:bookmarkStart w:id="342" w:name="_Toc513542676"/>
      <w:bookmarkStart w:id="343" w:name="m510_05_1678"/>
      <w:bookmarkEnd w:id="339"/>
      <w:proofErr w:type="spellStart"/>
      <w:r>
        <w:rPr>
          <w:rFonts w:hAnsi="宋体" w:hint="eastAsia"/>
        </w:rPr>
        <w:t>投资组合报告附注的其他文字描述部分</w:t>
      </w:r>
      <w:bookmarkEnd w:id="340"/>
      <w:bookmarkEnd w:id="341"/>
      <w:bookmarkEnd w:id="342"/>
      <w:proofErr w:type="spellEnd"/>
      <w:r>
        <w:rPr>
          <w:rFonts w:hAnsi="宋体" w:hint="eastAsia"/>
        </w:rPr>
        <w:t xml:space="preserve"> </w:t>
      </w:r>
    </w:p>
    <w:p w:rsidR="00AA59E7" w:rsidRDefault="00CF3094">
      <w:pPr>
        <w:spacing w:line="360" w:lineRule="auto"/>
        <w:ind w:firstLineChars="200" w:firstLine="420"/>
        <w:jc w:val="left"/>
      </w:pPr>
      <w:r>
        <w:rPr>
          <w:rFonts w:ascii="宋体" w:hAnsi="宋体" w:hint="eastAsia"/>
        </w:rPr>
        <w:t>因四舍五入原因，投资组合报告中分项之和与合计可能存在尾差。</w:t>
      </w:r>
    </w:p>
    <w:p w:rsidR="00AA59E7" w:rsidRDefault="00CF3094">
      <w:pPr>
        <w:pStyle w:val="XBRLTitle1"/>
        <w:spacing w:before="156"/>
        <w:ind w:left="425"/>
      </w:pPr>
      <w:bookmarkStart w:id="344" w:name="_Toc514088276"/>
      <w:bookmarkStart w:id="345" w:name="_Toc480465448"/>
      <w:bookmarkStart w:id="346" w:name="_Toc448480308"/>
      <w:bookmarkStart w:id="347" w:name="_Toc438654096"/>
      <w:bookmarkStart w:id="348" w:name="_Toc456107141"/>
      <w:bookmarkStart w:id="349" w:name="_Toc459213787"/>
      <w:bookmarkStart w:id="350" w:name="_Toc513542677"/>
      <w:bookmarkStart w:id="351" w:name="_Toc512696273"/>
      <w:bookmarkStart w:id="352" w:name="_Toc512612276"/>
      <w:bookmarkStart w:id="353" w:name="_Toc512612100"/>
      <w:bookmarkStart w:id="354" w:name="_Toc512611304"/>
      <w:bookmarkStart w:id="355" w:name="m601"/>
      <w:proofErr w:type="spellStart"/>
      <w:r>
        <w:rPr>
          <w:rFonts w:hint="eastAsia"/>
        </w:rPr>
        <w:t>开放式基金份额变动</w:t>
      </w:r>
      <w:bookmarkEnd w:id="344"/>
      <w:bookmarkEnd w:id="345"/>
      <w:bookmarkEnd w:id="346"/>
      <w:bookmarkEnd w:id="347"/>
      <w:bookmarkEnd w:id="348"/>
      <w:bookmarkEnd w:id="349"/>
      <w:bookmarkEnd w:id="350"/>
      <w:bookmarkEnd w:id="351"/>
      <w:bookmarkEnd w:id="352"/>
      <w:bookmarkEnd w:id="353"/>
      <w:bookmarkEnd w:id="354"/>
      <w:proofErr w:type="spellEnd"/>
    </w:p>
    <w:p w:rsidR="00AA59E7" w:rsidRDefault="00CF3094">
      <w:pPr>
        <w:wordWrap w:val="0"/>
        <w:spacing w:line="360" w:lineRule="auto"/>
        <w:jc w:val="right"/>
      </w:pPr>
      <w:bookmarkStart w:id="356"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49"/>
        <w:gridCol w:w="2572"/>
      </w:tblGrid>
      <w:tr w:rsidR="00AA59E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7" w:name="m10_01" w:colFirst="1" w:colLast="2"/>
            <w:bookmarkStart w:id="358" w:name="m601_tab"/>
            <w:bookmarkEnd w:id="356"/>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59E7" w:rsidRDefault="00CF3094">
            <w:pPr>
              <w:ind w:right="3"/>
              <w:jc w:val="center"/>
            </w:pPr>
            <w:r>
              <w:rPr>
                <w:rFonts w:ascii="宋体" w:hAnsi="宋体" w:hint="eastAsia"/>
                <w:lang w:eastAsia="zh-Hans"/>
              </w:rPr>
              <w:t>摩根欧洲动力策略股票(QDII)A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AA59E7" w:rsidRDefault="00CF3094">
            <w:pPr>
              <w:ind w:right="3"/>
              <w:jc w:val="center"/>
            </w:pPr>
            <w:r>
              <w:rPr>
                <w:rFonts w:ascii="宋体" w:hAnsi="宋体" w:hint="eastAsia"/>
                <w:lang w:eastAsia="zh-Hans"/>
              </w:rPr>
              <w:t>摩根欧洲动力策略股票(QDII)C</w:t>
            </w:r>
            <w:r>
              <w:rPr>
                <w:rFonts w:ascii="宋体" w:hAnsi="宋体" w:hint="eastAsia"/>
                <w:kern w:val="0"/>
                <w:szCs w:val="24"/>
                <w:lang w:eastAsia="zh-Hans"/>
              </w:rPr>
              <w:t xml:space="preserve"> </w:t>
            </w:r>
          </w:p>
        </w:tc>
      </w:tr>
      <w:tr w:rsidR="00AA59E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114,183,149.44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38,140,167.61</w:t>
            </w:r>
          </w:p>
        </w:tc>
      </w:tr>
      <w:tr w:rsidR="00AA59E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46,485,987.38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56,348,687.00</w:t>
            </w:r>
          </w:p>
        </w:tc>
      </w:tr>
      <w:tr w:rsidR="00AA59E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23,067,932.72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29,917,902.58</w:t>
            </w:r>
          </w:p>
        </w:tc>
      </w:tr>
      <w:tr w:rsidR="00AA59E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w:t>
            </w:r>
          </w:p>
        </w:tc>
      </w:tr>
      <w:tr w:rsidR="00AA59E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137,601,204.10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AA59E7" w:rsidRDefault="00CF3094">
            <w:pPr>
              <w:jc w:val="right"/>
            </w:pPr>
            <w:r>
              <w:rPr>
                <w:rFonts w:ascii="宋体" w:hAnsi="宋体" w:hint="eastAsia"/>
              </w:rPr>
              <w:t>64,570,952.03</w:t>
            </w:r>
          </w:p>
        </w:tc>
      </w:tr>
    </w:tbl>
    <w:p w:rsidR="00AA59E7" w:rsidRDefault="00CF3094">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7"/>
      <w:r>
        <w:rPr>
          <w:rFonts w:ascii="宋体" w:hAnsi="宋体" w:hint="eastAsia"/>
        </w:rPr>
        <w:t xml:space="preserve"> </w:t>
      </w:r>
    </w:p>
    <w:p w:rsidR="00AA59E7" w:rsidRDefault="00CF3094">
      <w:pPr>
        <w:pStyle w:val="XBRLTitle1"/>
        <w:spacing w:before="156"/>
        <w:ind w:left="425"/>
      </w:pPr>
      <w:bookmarkStart w:id="359" w:name="_Toc514088277"/>
      <w:bookmarkStart w:id="360" w:name="_Toc480465449"/>
      <w:bookmarkStart w:id="361" w:name="_Toc448480309"/>
      <w:bookmarkStart w:id="362" w:name="_Toc438654097"/>
      <w:bookmarkStart w:id="363" w:name="_Toc456107142"/>
      <w:bookmarkStart w:id="364" w:name="_Toc459213788"/>
      <w:bookmarkStart w:id="365" w:name="_Toc513542678"/>
      <w:bookmarkStart w:id="366" w:name="_Toc512696274"/>
      <w:bookmarkStart w:id="367" w:name="_Toc512612277"/>
      <w:bookmarkStart w:id="368" w:name="_Toc512612101"/>
      <w:bookmarkStart w:id="369" w:name="_Toc512611305"/>
      <w:bookmarkStart w:id="370" w:name="m7manage01"/>
      <w:bookmarkEnd w:id="358"/>
      <w:bookmarkEnd w:id="355"/>
      <w:proofErr w:type="spellStart"/>
      <w:r>
        <w:rPr>
          <w:rFonts w:hint="eastAsia"/>
        </w:rPr>
        <w:lastRenderedPageBreak/>
        <w:t>基金管理人运用固有资金投资本基金交易明细</w:t>
      </w:r>
      <w:bookmarkEnd w:id="359"/>
      <w:bookmarkEnd w:id="360"/>
      <w:bookmarkEnd w:id="361"/>
      <w:bookmarkEnd w:id="362"/>
      <w:bookmarkEnd w:id="363"/>
      <w:bookmarkEnd w:id="364"/>
      <w:bookmarkEnd w:id="365"/>
      <w:bookmarkEnd w:id="366"/>
      <w:bookmarkEnd w:id="367"/>
      <w:bookmarkEnd w:id="368"/>
      <w:bookmarkEnd w:id="369"/>
      <w:bookmarkEnd w:id="370"/>
      <w:bookmarkEnd w:id="343"/>
      <w:proofErr w:type="spellEnd"/>
    </w:p>
    <w:p w:rsidR="00AA59E7" w:rsidRDefault="00CF3094">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AA59E7" w:rsidRDefault="00CF3094">
      <w:pPr>
        <w:pStyle w:val="XBRLTitle1"/>
        <w:spacing w:before="156"/>
        <w:ind w:left="425"/>
      </w:pPr>
      <w:bookmarkStart w:id="371" w:name="_Toc17881714"/>
      <w:bookmarkStart w:id="372" w:name="_Toc479856294"/>
      <w:bookmarkStart w:id="373" w:name="_Toc492299909"/>
      <w:bookmarkStart w:id="374" w:name="_Toc512627244"/>
      <w:bookmarkStart w:id="375" w:name="_Toc512694324"/>
      <w:bookmarkStart w:id="376" w:name="m701"/>
      <w:proofErr w:type="spellStart"/>
      <w:r>
        <w:rPr>
          <w:rFonts w:hint="eastAsia"/>
        </w:rPr>
        <w:t>影响投资者决策的其他重要信息</w:t>
      </w:r>
      <w:bookmarkEnd w:id="371"/>
      <w:bookmarkEnd w:id="372"/>
      <w:bookmarkEnd w:id="373"/>
      <w:bookmarkEnd w:id="374"/>
      <w:bookmarkEnd w:id="375"/>
      <w:proofErr w:type="spellEnd"/>
      <w:r>
        <w:rPr>
          <w:rFonts w:hint="eastAsia"/>
          <w:lang w:eastAsia="zh-CN"/>
        </w:rPr>
        <w:t xml:space="preserve"> </w:t>
      </w:r>
    </w:p>
    <w:p w:rsidR="00AA59E7" w:rsidRDefault="00CF3094">
      <w:pPr>
        <w:pStyle w:val="XBRLTitle2"/>
        <w:spacing w:before="156"/>
        <w:ind w:left="454"/>
      </w:pPr>
      <w:bookmarkStart w:id="377" w:name="_Toc17881715"/>
      <w:bookmarkStart w:id="378" w:name="_Toc492299910"/>
      <w:bookmarkStart w:id="379" w:name="_Toc512627245"/>
      <w:bookmarkStart w:id="380"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7"/>
      <w:bookmarkEnd w:id="378"/>
      <w:bookmarkEnd w:id="379"/>
      <w:bookmarkEnd w:id="380"/>
      <w:r>
        <w:rPr>
          <w:rFonts w:hint="eastAsia"/>
          <w:kern w:val="0"/>
          <w:lang w:eastAsia="zh-CN"/>
        </w:rPr>
        <w:t xml:space="preserve"> </w:t>
      </w:r>
    </w:p>
    <w:bookmarkEnd w:id="51"/>
    <w:bookmarkEnd w:id="52"/>
    <w:bookmarkEnd w:id="25"/>
    <w:p w:rsidR="00AA59E7" w:rsidRDefault="00CF3094">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AA59E7" w:rsidRDefault="00CF3094">
      <w:pPr>
        <w:pStyle w:val="XBRLTitle1"/>
        <w:spacing w:before="156"/>
        <w:ind w:left="425"/>
      </w:pPr>
      <w:bookmarkStart w:id="381" w:name="_Toc514088283"/>
      <w:bookmarkStart w:id="382" w:name="_Toc466644495"/>
      <w:bookmarkStart w:id="383" w:name="_Toc480465455"/>
      <w:bookmarkStart w:id="384" w:name="_Toc513542684"/>
      <w:bookmarkStart w:id="385" w:name="_Toc512696280"/>
      <w:bookmarkStart w:id="386" w:name="_Toc512612283"/>
      <w:bookmarkStart w:id="387" w:name="_Toc512612107"/>
      <w:bookmarkStart w:id="388" w:name="_Toc512611311"/>
      <w:bookmarkEnd w:id="376"/>
      <w:proofErr w:type="spellStart"/>
      <w:r>
        <w:rPr>
          <w:rFonts w:hint="eastAsia"/>
        </w:rPr>
        <w:t>备查文件目录</w:t>
      </w:r>
      <w:bookmarkEnd w:id="381"/>
      <w:bookmarkEnd w:id="382"/>
      <w:bookmarkEnd w:id="383"/>
      <w:bookmarkEnd w:id="384"/>
      <w:bookmarkEnd w:id="385"/>
      <w:bookmarkEnd w:id="386"/>
      <w:bookmarkEnd w:id="387"/>
      <w:bookmarkEnd w:id="388"/>
      <w:proofErr w:type="spellEnd"/>
    </w:p>
    <w:p w:rsidR="00AA59E7" w:rsidRDefault="00CF3094">
      <w:pPr>
        <w:pStyle w:val="XBRLTitle2"/>
        <w:spacing w:before="156" w:line="360" w:lineRule="auto"/>
        <w:ind w:left="454"/>
      </w:pPr>
      <w:bookmarkStart w:id="389" w:name="_Toc514088284"/>
      <w:bookmarkStart w:id="390" w:name="_Toc480465456"/>
      <w:bookmarkStart w:id="391" w:name="_Toc448480313"/>
      <w:bookmarkStart w:id="392" w:name="_Toc438654101"/>
      <w:bookmarkStart w:id="393" w:name="_Toc456107145"/>
      <w:bookmarkStart w:id="394" w:name="_Toc459213792"/>
      <w:bookmarkStart w:id="395" w:name="_Toc513542685"/>
      <w:bookmarkStart w:id="396" w:name="_Toc512696281"/>
      <w:bookmarkStart w:id="397" w:name="_Toc512612284"/>
      <w:bookmarkStart w:id="398" w:name="_Toc512612108"/>
      <w:bookmarkStart w:id="399" w:name="_Toc512611312"/>
      <w:bookmarkStart w:id="400" w:name="m801_01_1733"/>
      <w:proofErr w:type="spellStart"/>
      <w:r>
        <w:rPr>
          <w:rFonts w:eastAsia="宋体" w:hint="eastAsia"/>
        </w:rPr>
        <w:t>备查文件目录</w:t>
      </w:r>
      <w:bookmarkEnd w:id="389"/>
      <w:bookmarkEnd w:id="390"/>
      <w:bookmarkEnd w:id="391"/>
      <w:bookmarkEnd w:id="392"/>
      <w:bookmarkEnd w:id="393"/>
      <w:bookmarkEnd w:id="394"/>
      <w:bookmarkEnd w:id="395"/>
      <w:bookmarkEnd w:id="396"/>
      <w:bookmarkEnd w:id="397"/>
      <w:bookmarkEnd w:id="398"/>
      <w:bookmarkEnd w:id="399"/>
      <w:proofErr w:type="spellEnd"/>
      <w:r>
        <w:rPr>
          <w:rFonts w:eastAsia="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1、中国证监会准予本基金募集注册的文件；</w:t>
      </w:r>
      <w:r>
        <w:rPr>
          <w:rFonts w:ascii="宋体" w:hAnsi="宋体" w:cs="宋体" w:hint="eastAsia"/>
          <w:color w:val="000000"/>
          <w:kern w:val="0"/>
        </w:rPr>
        <w:br/>
        <w:t xml:space="preserve">　　2、《摩根欧洲动力策略股票型证券投资基金(QDII)基金合同》；</w:t>
      </w:r>
      <w:r>
        <w:rPr>
          <w:rFonts w:ascii="宋体" w:hAnsi="宋体" w:cs="宋体" w:hint="eastAsia"/>
          <w:color w:val="000000"/>
          <w:kern w:val="0"/>
        </w:rPr>
        <w:br/>
        <w:t xml:space="preserve">　　3、《摩根欧洲动力策略股票型证券投资基金(QDII)托管协议》；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rsidR="00AA59E7" w:rsidRDefault="00CF3094">
      <w:pPr>
        <w:pStyle w:val="XBRLTitle2"/>
        <w:spacing w:before="156" w:line="360" w:lineRule="auto"/>
        <w:ind w:left="454"/>
      </w:pPr>
      <w:bookmarkStart w:id="401" w:name="_Toc514088285"/>
      <w:bookmarkStart w:id="402" w:name="_Toc480465457"/>
      <w:bookmarkStart w:id="403" w:name="_Toc448480314"/>
      <w:bookmarkStart w:id="404" w:name="_Toc438654102"/>
      <w:bookmarkStart w:id="405" w:name="_Toc456107146"/>
      <w:bookmarkStart w:id="406" w:name="_Toc459213793"/>
      <w:bookmarkStart w:id="407" w:name="_Toc513542686"/>
      <w:bookmarkStart w:id="408" w:name="_Toc512696282"/>
      <w:bookmarkStart w:id="409" w:name="_Toc512612285"/>
      <w:bookmarkStart w:id="410" w:name="_Toc512612109"/>
      <w:bookmarkStart w:id="411" w:name="_Toc512611313"/>
      <w:bookmarkStart w:id="412" w:name="m801_01_1734"/>
      <w:bookmarkEnd w:id="400"/>
      <w:proofErr w:type="spellStart"/>
      <w:r>
        <w:rPr>
          <w:rFonts w:eastAsia="宋体" w:hint="eastAsia"/>
        </w:rPr>
        <w:t>存放地点</w:t>
      </w:r>
      <w:bookmarkEnd w:id="401"/>
      <w:bookmarkEnd w:id="402"/>
      <w:bookmarkEnd w:id="403"/>
      <w:bookmarkEnd w:id="404"/>
      <w:bookmarkEnd w:id="405"/>
      <w:bookmarkEnd w:id="406"/>
      <w:bookmarkEnd w:id="407"/>
      <w:bookmarkEnd w:id="408"/>
      <w:bookmarkEnd w:id="409"/>
      <w:bookmarkEnd w:id="410"/>
      <w:bookmarkEnd w:id="411"/>
      <w:proofErr w:type="spellEnd"/>
      <w:r>
        <w:rPr>
          <w:rFonts w:eastAsia="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基金管理人或基金托管人住所。</w:t>
      </w:r>
    </w:p>
    <w:p w:rsidR="00AA59E7" w:rsidRDefault="00CF3094">
      <w:pPr>
        <w:pStyle w:val="XBRLTitle2"/>
        <w:spacing w:before="156" w:line="360" w:lineRule="auto"/>
        <w:ind w:left="454"/>
      </w:pPr>
      <w:bookmarkStart w:id="413" w:name="_Toc514088286"/>
      <w:bookmarkStart w:id="414" w:name="_Toc480465458"/>
      <w:bookmarkStart w:id="415" w:name="_Toc448480315"/>
      <w:bookmarkStart w:id="416" w:name="_Toc438654103"/>
      <w:bookmarkStart w:id="417" w:name="_Toc456107147"/>
      <w:bookmarkStart w:id="418" w:name="_Toc459213794"/>
      <w:bookmarkStart w:id="419" w:name="_Toc513542687"/>
      <w:bookmarkStart w:id="420" w:name="_Toc512696283"/>
      <w:bookmarkStart w:id="421" w:name="_Toc512612286"/>
      <w:bookmarkStart w:id="422" w:name="_Toc512612110"/>
      <w:bookmarkStart w:id="423" w:name="_Toc512611314"/>
      <w:bookmarkStart w:id="424" w:name="m801_01_1735"/>
      <w:bookmarkEnd w:id="412"/>
      <w:proofErr w:type="spellStart"/>
      <w:r>
        <w:rPr>
          <w:rFonts w:eastAsia="宋体" w:hint="eastAsia"/>
        </w:rPr>
        <w:t>查阅方式</w:t>
      </w:r>
      <w:bookmarkEnd w:id="413"/>
      <w:bookmarkEnd w:id="414"/>
      <w:bookmarkEnd w:id="415"/>
      <w:bookmarkEnd w:id="416"/>
      <w:bookmarkEnd w:id="417"/>
      <w:bookmarkEnd w:id="418"/>
      <w:bookmarkEnd w:id="419"/>
      <w:bookmarkEnd w:id="420"/>
      <w:bookmarkEnd w:id="421"/>
      <w:bookmarkEnd w:id="422"/>
      <w:bookmarkEnd w:id="423"/>
      <w:proofErr w:type="spellEnd"/>
      <w:r>
        <w:rPr>
          <w:rFonts w:eastAsia="宋体" w:hint="eastAsia"/>
        </w:rPr>
        <w:t xml:space="preserve"> </w:t>
      </w:r>
    </w:p>
    <w:p w:rsidR="00AA59E7" w:rsidRDefault="00CF3094">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6"/>
      <w:r>
        <w:rPr>
          <w:rFonts w:ascii="宋体" w:hAnsi="宋体" w:cs="宋体" w:hint="eastAsia"/>
          <w:color w:val="000000"/>
          <w:kern w:val="0"/>
        </w:rPr>
        <w:t xml:space="preserve"> </w:t>
      </w:r>
    </w:p>
    <w:bookmarkEnd w:id="424"/>
    <w:p w:rsidR="00AA59E7" w:rsidRDefault="00CF3094">
      <w:pPr>
        <w:spacing w:line="360" w:lineRule="auto"/>
        <w:jc w:val="left"/>
        <w:rPr>
          <w:rFonts w:ascii="宋体" w:hAnsi="宋体"/>
          <w:b/>
          <w:bCs/>
          <w:sz w:val="28"/>
          <w:szCs w:val="30"/>
        </w:rPr>
      </w:pPr>
      <w:r>
        <w:rPr>
          <w:rFonts w:ascii="宋体" w:hAnsi="宋体" w:hint="eastAsia"/>
          <w:b/>
          <w:bCs/>
          <w:sz w:val="28"/>
          <w:szCs w:val="30"/>
        </w:rPr>
        <w:t xml:space="preserve">　 </w:t>
      </w:r>
    </w:p>
    <w:p w:rsidR="00AA59E7" w:rsidRDefault="00CF3094">
      <w:pPr>
        <w:spacing w:line="360" w:lineRule="auto"/>
        <w:jc w:val="left"/>
        <w:rPr>
          <w:rFonts w:ascii="宋体" w:hAnsi="宋体"/>
          <w:b/>
          <w:bCs/>
          <w:sz w:val="28"/>
          <w:szCs w:val="30"/>
        </w:rPr>
      </w:pPr>
      <w:r>
        <w:rPr>
          <w:rFonts w:ascii="宋体" w:hAnsi="宋体" w:hint="eastAsia"/>
          <w:b/>
          <w:bCs/>
          <w:sz w:val="28"/>
          <w:szCs w:val="30"/>
        </w:rPr>
        <w:t xml:space="preserve">　 </w:t>
      </w:r>
    </w:p>
    <w:p w:rsidR="00AA59E7" w:rsidRDefault="00CF3094">
      <w:pPr>
        <w:spacing w:line="360" w:lineRule="auto"/>
        <w:ind w:firstLineChars="600" w:firstLine="1446"/>
        <w:jc w:val="right"/>
      </w:pPr>
      <w:r>
        <w:rPr>
          <w:rFonts w:ascii="宋体" w:hAnsi="宋体" w:hint="eastAsia"/>
          <w:b/>
          <w:bCs/>
          <w:sz w:val="24"/>
          <w:szCs w:val="24"/>
        </w:rPr>
        <w:t>摩根基金管理（中国）有限公司</w:t>
      </w:r>
    </w:p>
    <w:p w:rsidR="00AA59E7" w:rsidRDefault="00CF3094">
      <w:pPr>
        <w:spacing w:line="360" w:lineRule="auto"/>
        <w:ind w:firstLineChars="600" w:firstLine="1446"/>
        <w:jc w:val="right"/>
      </w:pPr>
      <w:r>
        <w:rPr>
          <w:rFonts w:ascii="宋体" w:hAnsi="宋体" w:hint="eastAsia"/>
          <w:b/>
          <w:bCs/>
          <w:sz w:val="24"/>
          <w:szCs w:val="24"/>
        </w:rPr>
        <w:t>2025年4月22日</w:t>
      </w:r>
    </w:p>
    <w:sectPr w:rsidR="00AA59E7">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E7" w:rsidRDefault="00CF3094">
      <w:pPr>
        <w:rPr>
          <w:szCs w:val="21"/>
        </w:rPr>
      </w:pPr>
      <w:r>
        <w:rPr>
          <w:szCs w:val="21"/>
        </w:rPr>
        <w:separator/>
      </w:r>
      <w:r>
        <w:rPr>
          <w:szCs w:val="21"/>
        </w:rPr>
        <w:t xml:space="preserve"> </w:t>
      </w:r>
    </w:p>
  </w:endnote>
  <w:endnote w:type="continuationSeparator" w:id="0">
    <w:p w:rsidR="00AA59E7" w:rsidRDefault="00CF309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E7" w:rsidRDefault="00CF3094">
    <w:pPr>
      <w:pStyle w:val="aa"/>
      <w:framePr w:wrap="around" w:vAnchor="text" w:hAnchor="margin" w:xAlign="right" w:y="1"/>
      <w:rPr>
        <w:rStyle w:val="af9"/>
      </w:rPr>
    </w:pPr>
    <w:r>
      <w:fldChar w:fldCharType="begin"/>
    </w:r>
    <w:r>
      <w:rPr>
        <w:rStyle w:val="af9"/>
      </w:rPr>
      <w:instrText xml:space="preserve">PAGE  </w:instrText>
    </w:r>
    <w:r>
      <w:fldChar w:fldCharType="end"/>
    </w:r>
  </w:p>
  <w:p w:rsidR="00AA59E7" w:rsidRDefault="00AA59E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E7" w:rsidRDefault="00CF3094">
    <w:pPr>
      <w:pStyle w:val="aa"/>
      <w:framePr w:wrap="around" w:vAnchor="text" w:hAnchor="margin" w:xAlign="right" w:y="1"/>
      <w:rPr>
        <w:rStyle w:val="af9"/>
      </w:rPr>
    </w:pPr>
    <w:r>
      <w:rPr>
        <w:rStyle w:val="af9"/>
      </w:rPr>
      <w:t xml:space="preserve">  </w:t>
    </w:r>
  </w:p>
  <w:p w:rsidR="00AA59E7" w:rsidRDefault="00CF3094">
    <w:pPr>
      <w:jc w:val="center"/>
      <w:rPr>
        <w:rFonts w:ascii="宋体" w:hAnsi="宋体"/>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sidR="009A3C0B">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sidR="009A3C0B">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E7" w:rsidRDefault="00CF3094">
      <w:pPr>
        <w:rPr>
          <w:szCs w:val="21"/>
        </w:rPr>
      </w:pPr>
      <w:r>
        <w:rPr>
          <w:szCs w:val="21"/>
        </w:rPr>
        <w:separator/>
      </w:r>
      <w:r>
        <w:rPr>
          <w:szCs w:val="21"/>
        </w:rPr>
        <w:t xml:space="preserve"> </w:t>
      </w:r>
    </w:p>
  </w:footnote>
  <w:footnote w:type="continuationSeparator" w:id="0">
    <w:p w:rsidR="00AA59E7" w:rsidRDefault="00CF309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E7" w:rsidRDefault="00CF3094">
    <w:pPr>
      <w:pStyle w:val="a8"/>
      <w:pBdr>
        <w:between w:val="single" w:sz="4" w:space="1" w:color="4F81BD"/>
      </w:pBdr>
      <w:spacing w:line="276" w:lineRule="auto"/>
      <w:jc w:val="right"/>
    </w:pPr>
    <w:r>
      <w:rPr>
        <w:rFonts w:ascii="宋体" w:hAnsi="宋体" w:hint="eastAsia"/>
        <w:bCs/>
      </w:rPr>
      <w:t>摩根欧洲动力策略股票型证券投资基金(QDII)2025年第1季度报告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9E7" w:rsidRDefault="00AA59E7">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94"/>
    <w:rsid w:val="009A3C0B"/>
    <w:rsid w:val="00AA59E7"/>
    <w:rsid w:val="00CF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4"/>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5"/>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6"/>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b/>
      <w:bCs/>
      <w:kern w:val="2"/>
      <w:sz w:val="32"/>
      <w:szCs w:val="32"/>
    </w:rPr>
  </w:style>
  <w:style w:type="paragraph" w:styleId="ae">
    <w:name w:val="Subtitle"/>
    <w:basedOn w:val="2"/>
    <w:next w:val="3"/>
    <w:link w:val="17"/>
    <w:qFormat/>
    <w:pPr>
      <w:spacing w:before="240" w:after="60" w:line="312" w:lineRule="auto"/>
      <w:jc w:val="left"/>
    </w:pPr>
    <w:rPr>
      <w:rFonts w:cs="Times New Roman"/>
      <w:bCs w:val="0"/>
      <w:kern w:val="28"/>
      <w:sz w:val="24"/>
    </w:rPr>
  </w:style>
  <w:style w:type="character" w:customStyle="1" w:styleId="af">
    <w:name w:val="副标题 字符"/>
    <w:basedOn w:val="a0"/>
    <w:rPr>
      <w:rFonts w:asciiTheme="minorHAnsi" w:eastAsiaTheme="minorEastAsia" w:hAnsiTheme="minorHAnsi" w:cstheme="minorBidi"/>
      <w:b/>
      <w:bCs/>
      <w:kern w:val="28"/>
      <w:sz w:val="32"/>
      <w:szCs w:val="32"/>
    </w:rPr>
  </w:style>
  <w:style w:type="paragraph" w:styleId="af0">
    <w:name w:val="Date"/>
    <w:basedOn w:val="a"/>
    <w:next w:val="a"/>
    <w:link w:val="18"/>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9"/>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a"/>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页眉 字符1"/>
    <w:basedOn w:val="a0"/>
    <w:link w:val="a8"/>
    <w:uiPriority w:val="99"/>
    <w:locked/>
    <w:rPr>
      <w:kern w:val="2"/>
      <w:sz w:val="18"/>
      <w:szCs w:val="18"/>
    </w:rPr>
  </w:style>
  <w:style w:type="character" w:customStyle="1" w:styleId="15">
    <w:name w:val="页脚 字符1"/>
    <w:basedOn w:val="a0"/>
    <w:link w:val="aa"/>
    <w:uiPriority w:val="99"/>
    <w:locked/>
    <w:rPr>
      <w:kern w:val="2"/>
      <w:sz w:val="18"/>
      <w:szCs w:val="18"/>
    </w:rPr>
  </w:style>
  <w:style w:type="character" w:customStyle="1" w:styleId="16">
    <w:name w:val="标题 字符1"/>
    <w:link w:val="ac"/>
    <w:uiPriority w:val="10"/>
    <w:locked/>
    <w:rPr>
      <w:rFonts w:ascii="Cambria" w:hAnsi="Cambria" w:cs="Times New Roman" w:hint="default"/>
      <w:b/>
      <w:bCs/>
      <w:sz w:val="32"/>
      <w:szCs w:val="32"/>
    </w:rPr>
  </w:style>
  <w:style w:type="character" w:customStyle="1" w:styleId="17">
    <w:name w:val="副标题 字符1"/>
    <w:link w:val="ae"/>
    <w:locked/>
    <w:rPr>
      <w:rFonts w:ascii="Cambria" w:eastAsia="宋体" w:hAnsi="Cambria" w:cs="Times New Roman" w:hint="default"/>
      <w:b/>
      <w:bCs w:val="0"/>
      <w:kern w:val="28"/>
      <w:sz w:val="24"/>
      <w:szCs w:val="32"/>
    </w:rPr>
  </w:style>
  <w:style w:type="character" w:customStyle="1" w:styleId="18">
    <w:name w:val="日期 字符1"/>
    <w:link w:val="af0"/>
    <w:locked/>
    <w:rPr>
      <w:rFonts w:ascii="宋体" w:eastAsia="宋体" w:hAnsi="宋体" w:hint="eastAsia"/>
      <w:kern w:val="2"/>
      <w:sz w:val="32"/>
    </w:rPr>
  </w:style>
  <w:style w:type="character" w:customStyle="1" w:styleId="19">
    <w:name w:val="文档结构图 字符1"/>
    <w:basedOn w:val="a0"/>
    <w:link w:val="af2"/>
    <w:locked/>
    <w:rPr>
      <w:rFonts w:ascii="宋体" w:eastAsia="宋体" w:hAnsi="宋体" w:hint="eastAsia"/>
      <w:kern w:val="2"/>
      <w:sz w:val="18"/>
      <w:szCs w:val="18"/>
    </w:rPr>
  </w:style>
  <w:style w:type="character" w:customStyle="1" w:styleId="1a">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semiHidden/>
    <w:unhideWhenUse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4196">
      <w:marLeft w:val="0"/>
      <w:marRight w:val="0"/>
      <w:marTop w:val="0"/>
      <w:marBottom w:val="0"/>
      <w:divBdr>
        <w:top w:val="none" w:sz="0" w:space="0" w:color="auto"/>
        <w:left w:val="none" w:sz="0" w:space="0" w:color="auto"/>
        <w:bottom w:val="none" w:sz="0" w:space="0" w:color="auto"/>
        <w:right w:val="none" w:sz="0" w:space="0" w:color="auto"/>
      </w:divBdr>
    </w:div>
    <w:div w:id="295719389">
      <w:marLeft w:val="0"/>
      <w:marRight w:val="0"/>
      <w:marTop w:val="0"/>
      <w:marBottom w:val="0"/>
      <w:divBdr>
        <w:top w:val="none" w:sz="0" w:space="0" w:color="auto"/>
        <w:left w:val="none" w:sz="0" w:space="0" w:color="auto"/>
        <w:bottom w:val="none" w:sz="0" w:space="0" w:color="auto"/>
        <w:right w:val="none" w:sz="0" w:space="0" w:color="auto"/>
      </w:divBdr>
    </w:div>
    <w:div w:id="490371041">
      <w:marLeft w:val="0"/>
      <w:marRight w:val="0"/>
      <w:marTop w:val="0"/>
      <w:marBottom w:val="0"/>
      <w:divBdr>
        <w:top w:val="none" w:sz="0" w:space="0" w:color="auto"/>
        <w:left w:val="none" w:sz="0" w:space="0" w:color="auto"/>
        <w:bottom w:val="none" w:sz="0" w:space="0" w:color="auto"/>
        <w:right w:val="none" w:sz="0" w:space="0" w:color="auto"/>
      </w:divBdr>
    </w:div>
    <w:div w:id="585575840">
      <w:marLeft w:val="0"/>
      <w:marRight w:val="0"/>
      <w:marTop w:val="0"/>
      <w:marBottom w:val="0"/>
      <w:divBdr>
        <w:top w:val="none" w:sz="0" w:space="0" w:color="auto"/>
        <w:left w:val="none" w:sz="0" w:space="0" w:color="auto"/>
        <w:bottom w:val="none" w:sz="0" w:space="0" w:color="auto"/>
        <w:right w:val="none" w:sz="0" w:space="0" w:color="auto"/>
      </w:divBdr>
    </w:div>
    <w:div w:id="779956428">
      <w:marLeft w:val="0"/>
      <w:marRight w:val="0"/>
      <w:marTop w:val="0"/>
      <w:marBottom w:val="0"/>
      <w:divBdr>
        <w:top w:val="none" w:sz="0" w:space="0" w:color="auto"/>
        <w:left w:val="none" w:sz="0" w:space="0" w:color="auto"/>
        <w:bottom w:val="none" w:sz="0" w:space="0" w:color="auto"/>
        <w:right w:val="none" w:sz="0" w:space="0" w:color="auto"/>
      </w:divBdr>
    </w:div>
    <w:div w:id="791439721">
      <w:marLeft w:val="0"/>
      <w:marRight w:val="0"/>
      <w:marTop w:val="0"/>
      <w:marBottom w:val="0"/>
      <w:divBdr>
        <w:top w:val="none" w:sz="0" w:space="0" w:color="auto"/>
        <w:left w:val="none" w:sz="0" w:space="0" w:color="auto"/>
        <w:bottom w:val="none" w:sz="0" w:space="0" w:color="auto"/>
        <w:right w:val="none" w:sz="0" w:space="0" w:color="auto"/>
      </w:divBdr>
    </w:div>
    <w:div w:id="797600517">
      <w:marLeft w:val="0"/>
      <w:marRight w:val="0"/>
      <w:marTop w:val="0"/>
      <w:marBottom w:val="0"/>
      <w:divBdr>
        <w:top w:val="none" w:sz="0" w:space="0" w:color="auto"/>
        <w:left w:val="none" w:sz="0" w:space="0" w:color="auto"/>
        <w:bottom w:val="none" w:sz="0" w:space="0" w:color="auto"/>
        <w:right w:val="none" w:sz="0" w:space="0" w:color="auto"/>
      </w:divBdr>
    </w:div>
    <w:div w:id="937324280">
      <w:marLeft w:val="0"/>
      <w:marRight w:val="0"/>
      <w:marTop w:val="0"/>
      <w:marBottom w:val="0"/>
      <w:divBdr>
        <w:top w:val="none" w:sz="0" w:space="0" w:color="auto"/>
        <w:left w:val="none" w:sz="0" w:space="0" w:color="auto"/>
        <w:bottom w:val="none" w:sz="0" w:space="0" w:color="auto"/>
        <w:right w:val="none" w:sz="0" w:space="0" w:color="auto"/>
      </w:divBdr>
    </w:div>
    <w:div w:id="961301785">
      <w:marLeft w:val="0"/>
      <w:marRight w:val="0"/>
      <w:marTop w:val="0"/>
      <w:marBottom w:val="0"/>
      <w:divBdr>
        <w:top w:val="none" w:sz="0" w:space="0" w:color="auto"/>
        <w:left w:val="none" w:sz="0" w:space="0" w:color="auto"/>
        <w:bottom w:val="none" w:sz="0" w:space="0" w:color="auto"/>
        <w:right w:val="none" w:sz="0" w:space="0" w:color="auto"/>
      </w:divBdr>
    </w:div>
    <w:div w:id="982731725">
      <w:marLeft w:val="0"/>
      <w:marRight w:val="0"/>
      <w:marTop w:val="0"/>
      <w:marBottom w:val="0"/>
      <w:divBdr>
        <w:top w:val="none" w:sz="0" w:space="0" w:color="auto"/>
        <w:left w:val="none" w:sz="0" w:space="0" w:color="auto"/>
        <w:bottom w:val="none" w:sz="0" w:space="0" w:color="auto"/>
        <w:right w:val="none" w:sz="0" w:space="0" w:color="auto"/>
      </w:divBdr>
    </w:div>
    <w:div w:id="1328053958">
      <w:marLeft w:val="0"/>
      <w:marRight w:val="0"/>
      <w:marTop w:val="0"/>
      <w:marBottom w:val="0"/>
      <w:divBdr>
        <w:top w:val="none" w:sz="0" w:space="0" w:color="auto"/>
        <w:left w:val="none" w:sz="0" w:space="0" w:color="auto"/>
        <w:bottom w:val="none" w:sz="0" w:space="0" w:color="auto"/>
        <w:right w:val="none" w:sz="0" w:space="0" w:color="auto"/>
      </w:divBdr>
      <w:divsChild>
        <w:div w:id="1353847471">
          <w:marLeft w:val="0"/>
          <w:marRight w:val="0"/>
          <w:marTop w:val="0"/>
          <w:marBottom w:val="0"/>
          <w:divBdr>
            <w:top w:val="none" w:sz="0" w:space="0" w:color="auto"/>
            <w:left w:val="none" w:sz="0" w:space="0" w:color="auto"/>
            <w:bottom w:val="none" w:sz="0" w:space="0" w:color="auto"/>
            <w:right w:val="none" w:sz="0" w:space="0" w:color="auto"/>
          </w:divBdr>
          <w:divsChild>
            <w:div w:id="6745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8004">
      <w:marLeft w:val="0"/>
      <w:marRight w:val="0"/>
      <w:marTop w:val="0"/>
      <w:marBottom w:val="0"/>
      <w:divBdr>
        <w:top w:val="none" w:sz="0" w:space="0" w:color="auto"/>
        <w:left w:val="none" w:sz="0" w:space="0" w:color="auto"/>
        <w:bottom w:val="none" w:sz="0" w:space="0" w:color="auto"/>
        <w:right w:val="none" w:sz="0" w:space="0" w:color="auto"/>
      </w:divBdr>
    </w:div>
    <w:div w:id="1697543500">
      <w:marLeft w:val="0"/>
      <w:marRight w:val="0"/>
      <w:marTop w:val="0"/>
      <w:marBottom w:val="0"/>
      <w:divBdr>
        <w:top w:val="none" w:sz="0" w:space="0" w:color="auto"/>
        <w:left w:val="none" w:sz="0" w:space="0" w:color="auto"/>
        <w:bottom w:val="none" w:sz="0" w:space="0" w:color="auto"/>
        <w:right w:val="none" w:sz="0" w:space="0" w:color="auto"/>
      </w:divBdr>
    </w:div>
    <w:div w:id="1736665020">
      <w:marLeft w:val="0"/>
      <w:marRight w:val="0"/>
      <w:marTop w:val="0"/>
      <w:marBottom w:val="0"/>
      <w:divBdr>
        <w:top w:val="none" w:sz="0" w:space="0" w:color="auto"/>
        <w:left w:val="none" w:sz="0" w:space="0" w:color="auto"/>
        <w:bottom w:val="none" w:sz="0" w:space="0" w:color="auto"/>
        <w:right w:val="none" w:sz="0" w:space="0" w:color="auto"/>
      </w:divBdr>
    </w:div>
    <w:div w:id="1805847216">
      <w:marLeft w:val="0"/>
      <w:marRight w:val="0"/>
      <w:marTop w:val="0"/>
      <w:marBottom w:val="0"/>
      <w:divBdr>
        <w:top w:val="none" w:sz="0" w:space="0" w:color="auto"/>
        <w:left w:val="none" w:sz="0" w:space="0" w:color="auto"/>
        <w:bottom w:val="none" w:sz="0" w:space="0" w:color="auto"/>
        <w:right w:val="none" w:sz="0" w:space="0" w:color="auto"/>
      </w:divBdr>
      <w:divsChild>
        <w:div w:id="303124205">
          <w:marLeft w:val="0"/>
          <w:marRight w:val="0"/>
          <w:marTop w:val="0"/>
          <w:marBottom w:val="0"/>
          <w:divBdr>
            <w:top w:val="none" w:sz="0" w:space="0" w:color="auto"/>
            <w:left w:val="none" w:sz="0" w:space="0" w:color="auto"/>
            <w:bottom w:val="none" w:sz="0" w:space="0" w:color="auto"/>
            <w:right w:val="none" w:sz="0" w:space="0" w:color="auto"/>
          </w:divBdr>
        </w:div>
      </w:divsChild>
    </w:div>
    <w:div w:id="1827555172">
      <w:marLeft w:val="0"/>
      <w:marRight w:val="0"/>
      <w:marTop w:val="0"/>
      <w:marBottom w:val="0"/>
      <w:divBdr>
        <w:top w:val="none" w:sz="0" w:space="0" w:color="auto"/>
        <w:left w:val="none" w:sz="0" w:space="0" w:color="auto"/>
        <w:bottom w:val="none" w:sz="0" w:space="0" w:color="auto"/>
        <w:right w:val="none" w:sz="0" w:space="0" w:color="auto"/>
      </w:divBdr>
    </w:div>
    <w:div w:id="1866207064">
      <w:marLeft w:val="0"/>
      <w:marRight w:val="0"/>
      <w:marTop w:val="0"/>
      <w:marBottom w:val="0"/>
      <w:divBdr>
        <w:top w:val="none" w:sz="0" w:space="0" w:color="auto"/>
        <w:left w:val="none" w:sz="0" w:space="0" w:color="auto"/>
        <w:bottom w:val="none" w:sz="0" w:space="0" w:color="auto"/>
        <w:right w:val="none" w:sz="0" w:space="0" w:color="auto"/>
      </w:divBdr>
      <w:divsChild>
        <w:div w:id="638847697">
          <w:marLeft w:val="0"/>
          <w:marRight w:val="0"/>
          <w:marTop w:val="0"/>
          <w:marBottom w:val="0"/>
          <w:divBdr>
            <w:top w:val="none" w:sz="0" w:space="0" w:color="auto"/>
            <w:left w:val="none" w:sz="0" w:space="0" w:color="auto"/>
            <w:bottom w:val="none" w:sz="0" w:space="0" w:color="auto"/>
            <w:right w:val="none" w:sz="0" w:space="0" w:color="auto"/>
          </w:divBdr>
        </w:div>
      </w:divsChild>
    </w:div>
    <w:div w:id="1936011622">
      <w:marLeft w:val="0"/>
      <w:marRight w:val="0"/>
      <w:marTop w:val="0"/>
      <w:marBottom w:val="0"/>
      <w:divBdr>
        <w:top w:val="none" w:sz="0" w:space="0" w:color="auto"/>
        <w:left w:val="none" w:sz="0" w:space="0" w:color="auto"/>
        <w:bottom w:val="none" w:sz="0" w:space="0" w:color="auto"/>
        <w:right w:val="none" w:sz="0" w:space="0" w:color="auto"/>
      </w:divBdr>
    </w:div>
    <w:div w:id="1958560174">
      <w:marLeft w:val="0"/>
      <w:marRight w:val="0"/>
      <w:marTop w:val="0"/>
      <w:marBottom w:val="0"/>
      <w:divBdr>
        <w:top w:val="none" w:sz="0" w:space="0" w:color="auto"/>
        <w:left w:val="none" w:sz="0" w:space="0" w:color="auto"/>
        <w:bottom w:val="none" w:sz="0" w:space="0" w:color="auto"/>
        <w:right w:val="none" w:sz="0" w:space="0" w:color="auto"/>
      </w:divBdr>
    </w:div>
    <w:div w:id="2001544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092B9-93A4-4646-A730-228093452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6311</Words>
  <Characters>3049</Characters>
  <Application>Microsoft Office Word</Application>
  <DocSecurity>0</DocSecurity>
  <Lines>25</Lines>
  <Paragraphs>18</Paragraphs>
  <ScaleCrop>false</ScaleCrop>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Alex.Huang@FA</cp:lastModifiedBy>
  <cp:revision>3</cp:revision>
  <dcterms:created xsi:type="dcterms:W3CDTF">2025-04-15T12:24:00Z</dcterms:created>
  <dcterms:modified xsi:type="dcterms:W3CDTF">2025-04-21T07:46:00Z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