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50C5472" w14:textId="77777777" w:rsidR="006E7CA1" w:rsidRDefault="006E7CA1">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75109292" w14:textId="77777777" w:rsidR="006E7CA1" w:rsidRDefault="006E7CA1">
      <w:pPr>
        <w:spacing w:line="360" w:lineRule="auto"/>
        <w:rPr>
          <w:rFonts w:ascii="宋体" w:hAnsi="宋体" w:hint="eastAsia"/>
          <w:sz w:val="48"/>
        </w:rPr>
      </w:pPr>
      <w:r>
        <w:rPr>
          <w:rFonts w:ascii="宋体" w:hAnsi="宋体" w:hint="eastAsia"/>
          <w:sz w:val="48"/>
        </w:rPr>
        <w:t xml:space="preserve">　 </w:t>
      </w:r>
    </w:p>
    <w:p w14:paraId="17D3E04E" w14:textId="77777777" w:rsidR="006E7CA1" w:rsidRDefault="006E7CA1">
      <w:pPr>
        <w:spacing w:line="360" w:lineRule="auto"/>
        <w:jc w:val="center"/>
      </w:pPr>
      <w:r>
        <w:rPr>
          <w:rFonts w:ascii="宋体" w:hAnsi="宋体" w:hint="eastAsia"/>
          <w:b/>
          <w:bCs/>
          <w:color w:val="000000" w:themeColor="text1"/>
          <w:sz w:val="48"/>
          <w:szCs w:val="30"/>
        </w:rPr>
        <w:t>摩根领先优选混合型证券投资基金</w:t>
      </w:r>
      <w:r>
        <w:rPr>
          <w:rFonts w:ascii="宋体" w:hAnsi="宋体" w:hint="eastAsia"/>
          <w:b/>
          <w:bCs/>
          <w:color w:val="000000" w:themeColor="text1"/>
          <w:sz w:val="48"/>
          <w:szCs w:val="30"/>
        </w:rPr>
        <w:br/>
        <w:t>2026年第1季度报告</w:t>
      </w:r>
    </w:p>
    <w:p w14:paraId="3650CE27" w14:textId="77777777" w:rsidR="006E7CA1" w:rsidRDefault="006E7CA1">
      <w:pPr>
        <w:spacing w:line="360" w:lineRule="auto"/>
        <w:jc w:val="center"/>
        <w:rPr>
          <w:rFonts w:ascii="宋体" w:hAnsi="宋体" w:hint="eastAsia"/>
          <w:sz w:val="28"/>
          <w:szCs w:val="30"/>
        </w:rPr>
      </w:pPr>
      <w:r>
        <w:rPr>
          <w:rFonts w:ascii="宋体" w:hAnsi="宋体" w:hint="eastAsia"/>
          <w:sz w:val="28"/>
          <w:szCs w:val="30"/>
        </w:rPr>
        <w:t xml:space="preserve">　 </w:t>
      </w:r>
    </w:p>
    <w:p w14:paraId="55018263" w14:textId="77777777" w:rsidR="006E7CA1" w:rsidRDefault="006E7CA1">
      <w:pPr>
        <w:spacing w:line="360" w:lineRule="auto"/>
        <w:jc w:val="center"/>
      </w:pPr>
      <w:r>
        <w:rPr>
          <w:rFonts w:ascii="宋体" w:hAnsi="宋体" w:hint="eastAsia"/>
          <w:b/>
          <w:bCs/>
          <w:sz w:val="28"/>
          <w:szCs w:val="30"/>
        </w:rPr>
        <w:t>2026年3月31日</w:t>
      </w:r>
    </w:p>
    <w:p w14:paraId="35F3F019" w14:textId="77777777" w:rsidR="006E7CA1" w:rsidRDefault="006E7CA1">
      <w:pPr>
        <w:spacing w:line="360" w:lineRule="auto"/>
        <w:jc w:val="center"/>
        <w:rPr>
          <w:rFonts w:ascii="宋体" w:hAnsi="宋体" w:hint="eastAsia"/>
          <w:sz w:val="28"/>
          <w:szCs w:val="30"/>
        </w:rPr>
      </w:pPr>
      <w:r>
        <w:rPr>
          <w:rFonts w:ascii="宋体" w:hAnsi="宋体" w:hint="eastAsia"/>
          <w:sz w:val="28"/>
          <w:szCs w:val="30"/>
        </w:rPr>
        <w:t xml:space="preserve">　 </w:t>
      </w:r>
    </w:p>
    <w:p w14:paraId="6A4ECAA4" w14:textId="77777777" w:rsidR="006E7CA1" w:rsidRDefault="006E7CA1">
      <w:pPr>
        <w:spacing w:line="360" w:lineRule="auto"/>
        <w:jc w:val="center"/>
        <w:rPr>
          <w:rFonts w:ascii="宋体" w:hAnsi="宋体" w:hint="eastAsia"/>
          <w:sz w:val="28"/>
          <w:szCs w:val="30"/>
        </w:rPr>
      </w:pPr>
      <w:r>
        <w:rPr>
          <w:rFonts w:ascii="宋体" w:hAnsi="宋体" w:hint="eastAsia"/>
          <w:sz w:val="28"/>
          <w:szCs w:val="30"/>
        </w:rPr>
        <w:t xml:space="preserve">　 </w:t>
      </w:r>
    </w:p>
    <w:p w14:paraId="6BC0F46E" w14:textId="77777777" w:rsidR="006E7CA1" w:rsidRDefault="006E7CA1">
      <w:pPr>
        <w:spacing w:line="360" w:lineRule="auto"/>
        <w:jc w:val="center"/>
        <w:rPr>
          <w:rFonts w:ascii="宋体" w:hAnsi="宋体" w:hint="eastAsia"/>
          <w:sz w:val="28"/>
          <w:szCs w:val="30"/>
        </w:rPr>
      </w:pPr>
      <w:r>
        <w:rPr>
          <w:rFonts w:ascii="宋体" w:hAnsi="宋体" w:hint="eastAsia"/>
          <w:sz w:val="28"/>
          <w:szCs w:val="30"/>
        </w:rPr>
        <w:t xml:space="preserve">　 </w:t>
      </w:r>
    </w:p>
    <w:p w14:paraId="646E0DA7" w14:textId="77777777" w:rsidR="006E7CA1" w:rsidRDefault="006E7CA1">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D0EBCDF" w14:textId="77777777" w:rsidR="006E7CA1" w:rsidRDefault="006E7CA1">
      <w:pPr>
        <w:spacing w:line="360" w:lineRule="auto"/>
        <w:jc w:val="center"/>
        <w:rPr>
          <w:rFonts w:ascii="宋体" w:hAnsi="宋体" w:hint="eastAsia"/>
          <w:sz w:val="28"/>
          <w:szCs w:val="30"/>
        </w:rPr>
      </w:pPr>
      <w:r>
        <w:rPr>
          <w:rFonts w:ascii="宋体" w:hAnsi="宋体" w:hint="eastAsia"/>
          <w:sz w:val="28"/>
          <w:szCs w:val="30"/>
        </w:rPr>
        <w:t xml:space="preserve">　 </w:t>
      </w:r>
    </w:p>
    <w:p w14:paraId="6970A4DB" w14:textId="77777777" w:rsidR="006E7CA1" w:rsidRDefault="006E7CA1">
      <w:pPr>
        <w:spacing w:line="360" w:lineRule="auto"/>
        <w:jc w:val="center"/>
        <w:rPr>
          <w:rFonts w:ascii="宋体" w:hAnsi="宋体" w:hint="eastAsia"/>
          <w:sz w:val="28"/>
          <w:szCs w:val="30"/>
        </w:rPr>
      </w:pPr>
      <w:r>
        <w:rPr>
          <w:rFonts w:ascii="宋体" w:hAnsi="宋体" w:hint="eastAsia"/>
          <w:sz w:val="28"/>
          <w:szCs w:val="30"/>
        </w:rPr>
        <w:t xml:space="preserve">　 </w:t>
      </w:r>
    </w:p>
    <w:p w14:paraId="21714A7D" w14:textId="77777777" w:rsidR="006E7CA1" w:rsidRDefault="006E7CA1">
      <w:pPr>
        <w:spacing w:line="360" w:lineRule="auto"/>
        <w:jc w:val="center"/>
        <w:rPr>
          <w:rFonts w:ascii="宋体" w:hAnsi="宋体" w:hint="eastAsia"/>
          <w:sz w:val="28"/>
          <w:szCs w:val="30"/>
        </w:rPr>
      </w:pPr>
      <w:r>
        <w:rPr>
          <w:rFonts w:ascii="宋体" w:hAnsi="宋体" w:hint="eastAsia"/>
          <w:sz w:val="28"/>
          <w:szCs w:val="30"/>
        </w:rPr>
        <w:t xml:space="preserve">　 </w:t>
      </w:r>
    </w:p>
    <w:p w14:paraId="12436A97" w14:textId="77777777" w:rsidR="006E7CA1" w:rsidRDefault="006E7CA1">
      <w:pPr>
        <w:spacing w:line="360" w:lineRule="auto"/>
        <w:jc w:val="center"/>
        <w:rPr>
          <w:rFonts w:ascii="宋体" w:hAnsi="宋体" w:hint="eastAsia"/>
          <w:sz w:val="28"/>
          <w:szCs w:val="30"/>
        </w:rPr>
      </w:pPr>
      <w:r>
        <w:rPr>
          <w:rFonts w:ascii="宋体" w:hAnsi="宋体" w:hint="eastAsia"/>
          <w:sz w:val="28"/>
          <w:szCs w:val="30"/>
        </w:rPr>
        <w:t xml:space="preserve">　 </w:t>
      </w:r>
    </w:p>
    <w:p w14:paraId="3F5CD9C7" w14:textId="77777777" w:rsidR="006E7CA1" w:rsidRDefault="006E7CA1">
      <w:pPr>
        <w:spacing w:line="360" w:lineRule="auto"/>
        <w:jc w:val="center"/>
        <w:rPr>
          <w:rFonts w:ascii="宋体" w:hAnsi="宋体" w:hint="eastAsia"/>
          <w:sz w:val="28"/>
          <w:szCs w:val="30"/>
        </w:rPr>
      </w:pPr>
      <w:r>
        <w:rPr>
          <w:rFonts w:ascii="宋体" w:hAnsi="宋体" w:hint="eastAsia"/>
          <w:sz w:val="28"/>
          <w:szCs w:val="30"/>
        </w:rPr>
        <w:t xml:space="preserve">　 </w:t>
      </w:r>
    </w:p>
    <w:p w14:paraId="681B869A" w14:textId="77777777" w:rsidR="006E7CA1" w:rsidRDefault="006E7CA1">
      <w:pPr>
        <w:spacing w:line="360" w:lineRule="auto"/>
        <w:jc w:val="center"/>
        <w:rPr>
          <w:rFonts w:ascii="宋体" w:hAnsi="宋体" w:hint="eastAsia"/>
          <w:sz w:val="28"/>
          <w:szCs w:val="30"/>
        </w:rPr>
      </w:pPr>
      <w:r>
        <w:rPr>
          <w:rFonts w:ascii="宋体" w:hAnsi="宋体" w:hint="eastAsia"/>
          <w:sz w:val="28"/>
          <w:szCs w:val="30"/>
        </w:rPr>
        <w:t xml:space="preserve">　 </w:t>
      </w:r>
    </w:p>
    <w:p w14:paraId="03079D96" w14:textId="77777777" w:rsidR="006E7CA1" w:rsidRDefault="006E7CA1">
      <w:pPr>
        <w:spacing w:line="360" w:lineRule="auto"/>
        <w:jc w:val="center"/>
        <w:rPr>
          <w:rFonts w:ascii="宋体" w:hAnsi="宋体" w:hint="eastAsia"/>
          <w:sz w:val="28"/>
          <w:szCs w:val="30"/>
        </w:rPr>
      </w:pPr>
      <w:r>
        <w:rPr>
          <w:rFonts w:ascii="宋体" w:hAnsi="宋体" w:hint="eastAsia"/>
          <w:sz w:val="28"/>
          <w:szCs w:val="30"/>
        </w:rPr>
        <w:t xml:space="preserve">　 </w:t>
      </w:r>
    </w:p>
    <w:p w14:paraId="56353C96" w14:textId="77777777" w:rsidR="006E7CA1" w:rsidRDefault="006E7CA1">
      <w:pPr>
        <w:spacing w:line="360" w:lineRule="auto"/>
        <w:ind w:firstLineChars="800" w:firstLine="2249"/>
        <w:jc w:val="left"/>
      </w:pPr>
      <w:r>
        <w:rPr>
          <w:rFonts w:ascii="宋体" w:hAnsi="宋体" w:hint="eastAsia"/>
          <w:b/>
          <w:bCs/>
          <w:sz w:val="28"/>
          <w:szCs w:val="30"/>
        </w:rPr>
        <w:t>基金管理人：摩根基金管理（中国）有限公司</w:t>
      </w:r>
    </w:p>
    <w:p w14:paraId="53623011" w14:textId="77777777" w:rsidR="006E7CA1" w:rsidRDefault="006E7CA1">
      <w:pPr>
        <w:spacing w:line="360" w:lineRule="auto"/>
        <w:ind w:firstLineChars="800" w:firstLine="2249"/>
        <w:jc w:val="left"/>
      </w:pPr>
      <w:r>
        <w:rPr>
          <w:rFonts w:ascii="宋体" w:hAnsi="宋体" w:hint="eastAsia"/>
          <w:b/>
          <w:bCs/>
          <w:sz w:val="28"/>
          <w:szCs w:val="30"/>
        </w:rPr>
        <w:t>基金托管人：中国建设银行股份有限公司</w:t>
      </w:r>
    </w:p>
    <w:p w14:paraId="78DAEA64" w14:textId="77777777" w:rsidR="006E7CA1" w:rsidRDefault="006E7CA1">
      <w:pPr>
        <w:spacing w:line="360" w:lineRule="auto"/>
        <w:ind w:firstLineChars="800" w:firstLine="2249"/>
        <w:jc w:val="left"/>
      </w:pPr>
      <w:r>
        <w:rPr>
          <w:rFonts w:ascii="宋体" w:hAnsi="宋体" w:hint="eastAsia"/>
          <w:b/>
          <w:bCs/>
          <w:sz w:val="28"/>
          <w:szCs w:val="30"/>
        </w:rPr>
        <w:t>报告送出日期：2026年4月22日</w:t>
      </w:r>
    </w:p>
    <w:p w14:paraId="015F05F4" w14:textId="77777777" w:rsidR="006E7CA1" w:rsidRDefault="006E7CA1">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5740C6D" w14:textId="77777777" w:rsidR="006E7CA1" w:rsidRDefault="006E7CA1">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基金托管人中国建设银行股份有限公司根据本基金合同规定，于2026年4月21日复核了本报告中的财务指标、净值表现和投资组合报告等内容，保证复核内容不存在虚假记载、误导性陈述或者重大遗漏。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400D8093" w14:textId="77777777" w:rsidR="006E7CA1" w:rsidRDefault="006E7CA1">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696E54" w14:paraId="628C50A8" w14:textId="77777777">
        <w:trPr>
          <w:divId w:val="113155522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610A5793" w14:textId="77777777" w:rsidR="006E7CA1" w:rsidRDefault="006E7CA1">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4CE89E0" w14:textId="77777777" w:rsidR="006E7CA1" w:rsidRDefault="006E7CA1">
            <w:pPr>
              <w:jc w:val="left"/>
            </w:pPr>
            <w:r>
              <w:rPr>
                <w:rFonts w:ascii="宋体" w:hAnsi="宋体" w:hint="eastAsia"/>
                <w:szCs w:val="24"/>
                <w:lang w:eastAsia="zh-Hans"/>
              </w:rPr>
              <w:t>摩根领先优选混合</w:t>
            </w:r>
            <w:r>
              <w:rPr>
                <w:rFonts w:ascii="宋体" w:hAnsi="宋体" w:hint="eastAsia"/>
                <w:lang w:eastAsia="zh-Hans"/>
              </w:rPr>
              <w:t xml:space="preserve"> </w:t>
            </w:r>
          </w:p>
        </w:tc>
      </w:tr>
      <w:tr w:rsidR="00696E54" w14:paraId="2DFDCC79" w14:textId="77777777">
        <w:trPr>
          <w:divId w:val="11315552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FF27A8" w14:textId="77777777" w:rsidR="006E7CA1" w:rsidRDefault="006E7CA1">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A11DB7" w14:textId="77777777" w:rsidR="006E7CA1" w:rsidRDefault="006E7CA1">
            <w:pPr>
              <w:jc w:val="left"/>
            </w:pPr>
            <w:r>
              <w:rPr>
                <w:rFonts w:ascii="宋体" w:hAnsi="宋体" w:hint="eastAsia"/>
                <w:lang w:eastAsia="zh-Hans"/>
              </w:rPr>
              <w:t>006890</w:t>
            </w:r>
          </w:p>
        </w:tc>
      </w:tr>
      <w:tr w:rsidR="00696E54" w14:paraId="415C7092" w14:textId="77777777">
        <w:trPr>
          <w:divId w:val="11315552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9A135F" w14:textId="77777777" w:rsidR="006E7CA1" w:rsidRDefault="006E7CA1">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E62669" w14:textId="77777777" w:rsidR="006E7CA1" w:rsidRDefault="006E7CA1">
            <w:pPr>
              <w:jc w:val="left"/>
            </w:pPr>
            <w:r>
              <w:rPr>
                <w:rFonts w:ascii="宋体" w:hAnsi="宋体" w:hint="eastAsia"/>
                <w:lang w:eastAsia="zh-Hans"/>
              </w:rPr>
              <w:t>契约型开放式</w:t>
            </w:r>
          </w:p>
        </w:tc>
      </w:tr>
      <w:tr w:rsidR="00696E54" w14:paraId="2DE0B197" w14:textId="77777777">
        <w:trPr>
          <w:divId w:val="11315552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57767F" w14:textId="77777777" w:rsidR="006E7CA1" w:rsidRDefault="006E7CA1">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069975D" w14:textId="77777777" w:rsidR="006E7CA1" w:rsidRDefault="006E7CA1">
            <w:pPr>
              <w:jc w:val="left"/>
            </w:pPr>
            <w:r>
              <w:rPr>
                <w:rFonts w:ascii="宋体" w:hAnsi="宋体" w:hint="eastAsia"/>
                <w:lang w:eastAsia="zh-Hans"/>
              </w:rPr>
              <w:t>2019年3月20日</w:t>
            </w:r>
          </w:p>
        </w:tc>
      </w:tr>
      <w:tr w:rsidR="00696E54" w14:paraId="269FA5CE" w14:textId="77777777">
        <w:trPr>
          <w:divId w:val="11315552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09A96D" w14:textId="77777777" w:rsidR="006E7CA1" w:rsidRDefault="006E7CA1">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DB57D96" w14:textId="77777777" w:rsidR="006E7CA1" w:rsidRDefault="006E7CA1">
            <w:pPr>
              <w:jc w:val="left"/>
            </w:pPr>
            <w:r>
              <w:rPr>
                <w:rFonts w:ascii="宋体" w:hAnsi="宋体" w:hint="eastAsia"/>
                <w:lang w:eastAsia="zh-Hans"/>
              </w:rPr>
              <w:t>16,928,380.82</w:t>
            </w:r>
            <w:r>
              <w:rPr>
                <w:rFonts w:hint="eastAsia"/>
              </w:rPr>
              <w:t>份</w:t>
            </w:r>
            <w:r>
              <w:rPr>
                <w:rFonts w:ascii="宋体" w:hAnsi="宋体" w:hint="eastAsia"/>
                <w:lang w:eastAsia="zh-Hans"/>
              </w:rPr>
              <w:t xml:space="preserve"> </w:t>
            </w:r>
          </w:p>
        </w:tc>
      </w:tr>
      <w:tr w:rsidR="00696E54" w14:paraId="60AAF697" w14:textId="77777777">
        <w:trPr>
          <w:divId w:val="11315552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5A8A028" w14:textId="77777777" w:rsidR="006E7CA1" w:rsidRDefault="006E7CA1">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1513F2" w14:textId="77777777" w:rsidR="006E7CA1" w:rsidRDefault="006E7CA1">
            <w:pPr>
              <w:jc w:val="left"/>
            </w:pPr>
            <w:r>
              <w:rPr>
                <w:rFonts w:ascii="宋体" w:hAnsi="宋体" w:hint="eastAsia"/>
                <w:lang w:eastAsia="zh-Hans"/>
              </w:rPr>
              <w:t>本基金采用定量及定性研究方法，自上而下进行资产配置并优选在中国境内及香港市场上市的公司，通过严格的风险控制，力争实现基金资产的长期增值。</w:t>
            </w:r>
          </w:p>
        </w:tc>
      </w:tr>
      <w:tr w:rsidR="00696E54" w14:paraId="5CF6E50C" w14:textId="77777777">
        <w:trPr>
          <w:divId w:val="11315552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C2EA3B" w14:textId="77777777" w:rsidR="006E7CA1" w:rsidRDefault="006E7CA1">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5A09812" w14:textId="77777777" w:rsidR="006E7CA1" w:rsidRDefault="006E7CA1">
            <w:pPr>
              <w:jc w:val="left"/>
            </w:pPr>
            <w:r>
              <w:rPr>
                <w:rFonts w:ascii="宋体" w:hAnsi="宋体" w:hint="eastAsia"/>
                <w:lang w:eastAsia="zh-Hans"/>
              </w:rPr>
              <w:t>本基金的投资区域主要覆盖中国内地和香港市场，通过自上而下的区域配置和行业配置以及自下而上的个股选择挖掘投资机会。本基金主要投资于“领先”及“优选”类上市公司。具体而言，本基金将根据宏观环境、产业政策、行业景气度等优选成长空间较大且具有领先优势的行业，并通过自下而上的方式挖掘具有清晰商业模式、基本面良好、且具有持续竞争能力的优质公司。本基金还将考虑组合品种的估值风险和大类资产的系统风险，通过品种和仓位的动态调整降低资产波动的风险。</w:t>
            </w:r>
            <w:r>
              <w:rPr>
                <w:rFonts w:ascii="宋体" w:hAnsi="宋体" w:hint="eastAsia"/>
                <w:lang w:eastAsia="zh-Hans"/>
              </w:rPr>
              <w:br/>
              <w:t>1、　跨市场资产配置策略</w:t>
            </w:r>
            <w:r>
              <w:rPr>
                <w:rFonts w:ascii="宋体" w:hAnsi="宋体" w:hint="eastAsia"/>
                <w:lang w:eastAsia="zh-Hans"/>
              </w:rPr>
              <w:br/>
              <w:t>本基金综合考虑境内及香港市场的宏观经济环境、增长和通胀背景、跨市场的估值水平和流动性因素、相关公司所处的发展阶段、盈利前景和竞争环境以及其他影响投资组合回报及风险的重要要素将基金资产在中国境内及香港市场之间进行配置。另外，本基金将</w:t>
            </w:r>
            <w:r>
              <w:rPr>
                <w:rFonts w:ascii="宋体" w:hAnsi="宋体" w:hint="eastAsia"/>
                <w:lang w:eastAsia="zh-Hans"/>
              </w:rPr>
              <w:lastRenderedPageBreak/>
              <w:t>根据各类证券的风险收益特征的相对变化，适度的调整确定基金资产在股票、债券及现金等类别资产间的分配比例，动态优化投资组合。</w:t>
            </w:r>
            <w:r>
              <w:rPr>
                <w:rFonts w:ascii="宋体" w:hAnsi="宋体" w:hint="eastAsia"/>
                <w:lang w:eastAsia="zh-Hans"/>
              </w:rPr>
              <w:br/>
              <w:t>2、股票投资策略</w:t>
            </w:r>
            <w:r>
              <w:rPr>
                <w:rFonts w:ascii="宋体" w:hAnsi="宋体" w:hint="eastAsia"/>
                <w:lang w:eastAsia="zh-Hans"/>
              </w:rPr>
              <w:br/>
              <w:t>在境内，本基金将专注投资于影响国民经济的龙头行业、经济转型和产业升级过程中的重点行业和具备成长潜力的新兴行业。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w:t>
            </w:r>
            <w:r>
              <w:rPr>
                <w:rFonts w:ascii="宋体" w:hAnsi="宋体" w:hint="eastAsia"/>
                <w:lang w:eastAsia="zh-Hans"/>
              </w:rPr>
              <w:br/>
              <w:t>3、固定收益类投资策略</w:t>
            </w:r>
            <w:r>
              <w:rPr>
                <w:rFonts w:ascii="宋体" w:hAnsi="宋体" w:hint="eastAsia"/>
                <w:lang w:eastAsia="zh-Hans"/>
              </w:rPr>
              <w:br/>
              <w:t>对于固定收益类资产的选择，本基金将以价值分析为主线，在综合研究的基础上实施积极主动的组合管理，自上而下进行组合构建，自下而上进行个券选择。</w:t>
            </w:r>
            <w:r>
              <w:rPr>
                <w:rFonts w:ascii="宋体" w:hAnsi="宋体" w:hint="eastAsia"/>
                <w:lang w:eastAsia="zh-Hans"/>
              </w:rPr>
              <w:br/>
              <w:t>4、其他投资策略：包括可转换债券投资策略、中小企业私募债投资策略、股指期货投资策略、股票期权投资策略、资产支持证券投资策略、证券公司短期公司债券投资策略、权证投资策略、存托凭证投资策略。</w:t>
            </w:r>
          </w:p>
        </w:tc>
      </w:tr>
      <w:tr w:rsidR="00696E54" w14:paraId="765671E6" w14:textId="77777777">
        <w:trPr>
          <w:divId w:val="11315552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BDD687" w14:textId="77777777" w:rsidR="006E7CA1" w:rsidRDefault="006E7CA1">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DBB25D" w14:textId="77777777" w:rsidR="006E7CA1" w:rsidRDefault="006E7CA1">
            <w:pPr>
              <w:jc w:val="left"/>
            </w:pPr>
            <w:r>
              <w:rPr>
                <w:rFonts w:ascii="宋体" w:hAnsi="宋体" w:hint="eastAsia"/>
                <w:lang w:eastAsia="zh-Hans"/>
              </w:rPr>
              <w:t>沪深300指数收益率*40%+中证港股通综合指数收益率*30%+中债总指数收益率*30%</w:t>
            </w:r>
          </w:p>
        </w:tc>
      </w:tr>
      <w:tr w:rsidR="00696E54" w14:paraId="313A2902" w14:textId="77777777">
        <w:trPr>
          <w:divId w:val="11315552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5C75C5" w14:textId="77777777" w:rsidR="006E7CA1" w:rsidRDefault="006E7CA1">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1EF218" w14:textId="77777777" w:rsidR="006E7CA1" w:rsidRDefault="006E7CA1">
            <w:pPr>
              <w:jc w:val="left"/>
            </w:pPr>
            <w:r>
              <w:rPr>
                <w:rFonts w:ascii="宋体" w:hAnsi="宋体" w:hint="eastAsia"/>
                <w:lang w:eastAsia="zh-Hans"/>
              </w:rPr>
              <w:t>本基金属于混合型基金产品，预期风险和预期收益水平高于债券型基金和货币市场基金。</w:t>
            </w:r>
            <w:r>
              <w:rPr>
                <w:rFonts w:ascii="宋体" w:hAnsi="宋体" w:hint="eastAsia"/>
                <w:lang w:eastAsia="zh-Hans"/>
              </w:rPr>
              <w:br/>
              <w:t>本基金除了投资A股外，还可根据法律法规规定投资香港联合交易所上市的股票。除了需要承担与境内证券投资基金类似的市场波动风险等一般投资风险之外，本基金还面临汇率风险、香港市场风险等境外证券市场投资所面临的特别投资风险。</w:t>
            </w:r>
          </w:p>
        </w:tc>
      </w:tr>
      <w:tr w:rsidR="00696E54" w14:paraId="056636E5" w14:textId="77777777">
        <w:trPr>
          <w:divId w:val="11315552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F440499" w14:textId="77777777" w:rsidR="006E7CA1" w:rsidRDefault="006E7CA1">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F713761" w14:textId="77777777" w:rsidR="006E7CA1" w:rsidRDefault="006E7CA1">
            <w:pPr>
              <w:jc w:val="left"/>
            </w:pPr>
            <w:r>
              <w:rPr>
                <w:rFonts w:ascii="宋体" w:hAnsi="宋体" w:hint="eastAsia"/>
                <w:lang w:eastAsia="zh-Hans"/>
              </w:rPr>
              <w:t>摩根基金管理（中国）有限公司</w:t>
            </w:r>
          </w:p>
        </w:tc>
      </w:tr>
      <w:tr w:rsidR="00696E54" w14:paraId="2840D7F2" w14:textId="77777777">
        <w:trPr>
          <w:divId w:val="11315552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549A93" w14:textId="77777777" w:rsidR="006E7CA1" w:rsidRDefault="006E7CA1">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BAD9C2" w14:textId="77777777" w:rsidR="006E7CA1" w:rsidRDefault="006E7CA1">
            <w:pPr>
              <w:jc w:val="left"/>
            </w:pPr>
            <w:r>
              <w:rPr>
                <w:rFonts w:ascii="宋体" w:hAnsi="宋体" w:hint="eastAsia"/>
                <w:lang w:eastAsia="zh-Hans"/>
              </w:rPr>
              <w:t>中国建设银行股份有限公司</w:t>
            </w:r>
          </w:p>
        </w:tc>
      </w:tr>
      <w:tr w:rsidR="00696E54" w14:paraId="4AA41A77" w14:textId="77777777">
        <w:trPr>
          <w:divId w:val="113155522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AA92B1D" w14:textId="77777777" w:rsidR="006E7CA1" w:rsidRDefault="006E7CA1">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6E7ED53" w14:textId="77777777" w:rsidR="006E7CA1" w:rsidRDefault="006E7CA1">
            <w:pPr>
              <w:jc w:val="center"/>
            </w:pPr>
            <w:r>
              <w:rPr>
                <w:rFonts w:ascii="宋体" w:hAnsi="宋体" w:hint="eastAsia"/>
                <w:lang w:eastAsia="zh-Hans"/>
              </w:rPr>
              <w:t>摩根领先优选混合A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A88514F" w14:textId="77777777" w:rsidR="006E7CA1" w:rsidRDefault="006E7CA1">
            <w:pPr>
              <w:jc w:val="center"/>
            </w:pPr>
            <w:r>
              <w:rPr>
                <w:rFonts w:ascii="宋体" w:hAnsi="宋体" w:hint="eastAsia"/>
                <w:lang w:eastAsia="zh-Hans"/>
              </w:rPr>
              <w:t>摩根领先优选混合C</w:t>
            </w:r>
            <w:r>
              <w:rPr>
                <w:rFonts w:ascii="宋体" w:hAnsi="宋体" w:hint="eastAsia"/>
                <w:kern w:val="0"/>
                <w:sz w:val="20"/>
                <w:lang w:eastAsia="zh-Hans"/>
              </w:rPr>
              <w:t xml:space="preserve"> </w:t>
            </w:r>
          </w:p>
        </w:tc>
      </w:tr>
      <w:tr w:rsidR="00696E54" w14:paraId="6EB0743B" w14:textId="77777777">
        <w:trPr>
          <w:divId w:val="113155522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982E1C" w14:textId="77777777" w:rsidR="006E7CA1" w:rsidRDefault="006E7CA1">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2D2DAAB6" w14:textId="77777777" w:rsidR="006E7CA1" w:rsidRDefault="006E7CA1">
            <w:pPr>
              <w:jc w:val="center"/>
            </w:pPr>
            <w:r>
              <w:rPr>
                <w:rFonts w:ascii="宋体" w:hAnsi="宋体" w:hint="eastAsia"/>
                <w:lang w:eastAsia="zh-Hans"/>
              </w:rPr>
              <w:t>006890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BFAC6FB" w14:textId="77777777" w:rsidR="006E7CA1" w:rsidRDefault="006E7CA1">
            <w:pPr>
              <w:jc w:val="center"/>
            </w:pPr>
            <w:r>
              <w:rPr>
                <w:rFonts w:ascii="宋体" w:hAnsi="宋体" w:hint="eastAsia"/>
                <w:lang w:eastAsia="zh-Hans"/>
              </w:rPr>
              <w:t>017098</w:t>
            </w:r>
            <w:r>
              <w:rPr>
                <w:rFonts w:ascii="宋体" w:hAnsi="宋体" w:hint="eastAsia"/>
                <w:kern w:val="0"/>
                <w:sz w:val="20"/>
                <w:lang w:eastAsia="zh-Hans"/>
              </w:rPr>
              <w:t xml:space="preserve"> </w:t>
            </w:r>
          </w:p>
        </w:tc>
      </w:tr>
      <w:bookmarkEnd w:id="32"/>
      <w:bookmarkEnd w:id="33"/>
      <w:tr w:rsidR="00696E54" w14:paraId="5A8D7B65" w14:textId="77777777">
        <w:trPr>
          <w:divId w:val="113155522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267EE9A" w14:textId="77777777" w:rsidR="006E7CA1" w:rsidRDefault="006E7CA1">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394476" w14:textId="77777777" w:rsidR="006E7CA1" w:rsidRDefault="006E7CA1">
            <w:pPr>
              <w:jc w:val="center"/>
            </w:pPr>
            <w:r>
              <w:rPr>
                <w:rFonts w:ascii="宋体" w:hAnsi="宋体" w:hint="eastAsia"/>
                <w:lang w:eastAsia="zh-Hans"/>
              </w:rPr>
              <w:t>16,732,322.76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045DC0" w14:textId="77777777" w:rsidR="006E7CA1" w:rsidRDefault="006E7CA1">
            <w:pPr>
              <w:jc w:val="center"/>
            </w:pPr>
            <w:r>
              <w:rPr>
                <w:rFonts w:ascii="宋体" w:hAnsi="宋体" w:hint="eastAsia"/>
                <w:lang w:eastAsia="zh-Hans"/>
              </w:rPr>
              <w:t>196,058.06</w:t>
            </w:r>
            <w:r>
              <w:rPr>
                <w:rFonts w:hint="eastAsia"/>
              </w:rPr>
              <w:t>份</w:t>
            </w:r>
            <w:r>
              <w:rPr>
                <w:rFonts w:ascii="宋体" w:hAnsi="宋体" w:hint="eastAsia"/>
                <w:lang w:eastAsia="zh-Hans"/>
              </w:rPr>
              <w:t xml:space="preserve"> </w:t>
            </w:r>
          </w:p>
        </w:tc>
      </w:tr>
    </w:tbl>
    <w:p w14:paraId="00C3BA38" w14:textId="77777777" w:rsidR="006E7CA1" w:rsidRDefault="006E7CA1">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6FCBB8BA" w14:textId="77777777" w:rsidR="006E7CA1" w:rsidRDefault="006E7CA1">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757AB539" w14:textId="77777777" w:rsidR="006E7CA1" w:rsidRDefault="006E7CA1">
      <w:pPr>
        <w:jc w:val="right"/>
        <w:divId w:val="308638290"/>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696E54" w14:paraId="15D9D893" w14:textId="77777777">
        <w:trPr>
          <w:divId w:val="308638290"/>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F87489C" w14:textId="77777777" w:rsidR="006E7CA1" w:rsidRDefault="006E7CA1">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03F98116" w14:textId="77777777" w:rsidR="006E7CA1" w:rsidRDefault="006E7CA1">
            <w:pPr>
              <w:pStyle w:val="a5"/>
              <w:jc w:val="center"/>
              <w:rPr>
                <w:rFonts w:hint="eastAsia"/>
              </w:rPr>
            </w:pPr>
            <w:r>
              <w:rPr>
                <w:rFonts w:hint="eastAsia"/>
                <w:kern w:val="2"/>
                <w:sz w:val="21"/>
                <w:szCs w:val="24"/>
                <w:lang w:eastAsia="zh-Hans"/>
              </w:rPr>
              <w:t xml:space="preserve">报告期（2026年1月1日 - 2026年3月31日） </w:t>
            </w:r>
          </w:p>
        </w:tc>
      </w:tr>
      <w:tr w:rsidR="00696E54" w14:paraId="5139D57A" w14:textId="77777777">
        <w:trPr>
          <w:divId w:val="308638290"/>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563FFD" w14:textId="77777777" w:rsidR="006E7CA1" w:rsidRDefault="006E7CA1">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44E1BCC7" w14:textId="77777777" w:rsidR="006E7CA1" w:rsidRDefault="006E7CA1">
            <w:pPr>
              <w:jc w:val="center"/>
            </w:pPr>
            <w:r>
              <w:rPr>
                <w:rFonts w:ascii="宋体" w:hAnsi="宋体" w:hint="eastAsia"/>
                <w:szCs w:val="24"/>
                <w:lang w:eastAsia="zh-Hans"/>
              </w:rPr>
              <w:t>摩根领先优选混合A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313FF67" w14:textId="77777777" w:rsidR="006E7CA1" w:rsidRDefault="006E7CA1">
            <w:pPr>
              <w:jc w:val="center"/>
            </w:pPr>
            <w:r>
              <w:rPr>
                <w:rFonts w:ascii="宋体" w:hAnsi="宋体" w:hint="eastAsia"/>
                <w:szCs w:val="24"/>
                <w:lang w:eastAsia="zh-Hans"/>
              </w:rPr>
              <w:t>摩根领先优选混合C</w:t>
            </w:r>
          </w:p>
        </w:tc>
      </w:tr>
      <w:tr w:rsidR="00696E54" w14:paraId="38ECFE68" w14:textId="77777777">
        <w:trPr>
          <w:divId w:val="3086382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2BF98F7" w14:textId="77777777" w:rsidR="006E7CA1" w:rsidRDefault="006E7CA1">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B5C07EE" w14:textId="77777777" w:rsidR="006E7CA1" w:rsidRDefault="006E7CA1">
            <w:pPr>
              <w:jc w:val="right"/>
            </w:pPr>
            <w:r>
              <w:rPr>
                <w:rFonts w:ascii="宋体" w:hAnsi="宋体" w:hint="eastAsia"/>
                <w:szCs w:val="24"/>
                <w:lang w:eastAsia="zh-Hans"/>
              </w:rPr>
              <w:t>-492,286.70</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A92B40" w14:textId="77777777" w:rsidR="006E7CA1" w:rsidRDefault="006E7CA1">
            <w:pPr>
              <w:jc w:val="right"/>
            </w:pPr>
            <w:r>
              <w:rPr>
                <w:rFonts w:ascii="宋体" w:hAnsi="宋体" w:hint="eastAsia"/>
                <w:szCs w:val="24"/>
                <w:lang w:eastAsia="zh-Hans"/>
              </w:rPr>
              <w:t>-5,157.59</w:t>
            </w:r>
          </w:p>
        </w:tc>
      </w:tr>
      <w:tr w:rsidR="00696E54" w14:paraId="15740744" w14:textId="77777777">
        <w:trPr>
          <w:divId w:val="3086382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E8B28C" w14:textId="77777777" w:rsidR="006E7CA1" w:rsidRDefault="006E7CA1">
            <w:pPr>
              <w:pStyle w:val="a5"/>
              <w:rPr>
                <w:rFonts w:hint="eastAsia"/>
              </w:rPr>
            </w:pPr>
            <w:r>
              <w:rPr>
                <w:rFonts w:hint="eastAsia"/>
                <w:kern w:val="2"/>
                <w:sz w:val="21"/>
              </w:rPr>
              <w:lastRenderedPageBreak/>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8168BBC" w14:textId="77777777" w:rsidR="006E7CA1" w:rsidRDefault="006E7CA1">
            <w:pPr>
              <w:jc w:val="right"/>
            </w:pPr>
            <w:r>
              <w:rPr>
                <w:rFonts w:ascii="宋体" w:hAnsi="宋体" w:hint="eastAsia"/>
                <w:szCs w:val="24"/>
                <w:lang w:eastAsia="zh-Hans"/>
              </w:rPr>
              <w:t>-983,540.84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FB9445" w14:textId="77777777" w:rsidR="006E7CA1" w:rsidRDefault="006E7CA1">
            <w:pPr>
              <w:jc w:val="right"/>
            </w:pPr>
            <w:r>
              <w:rPr>
                <w:rFonts w:ascii="宋体" w:hAnsi="宋体" w:hint="eastAsia"/>
                <w:szCs w:val="24"/>
                <w:lang w:eastAsia="zh-Hans"/>
              </w:rPr>
              <w:t>-10,872.35</w:t>
            </w:r>
          </w:p>
        </w:tc>
      </w:tr>
      <w:tr w:rsidR="00696E54" w14:paraId="7476B581" w14:textId="77777777">
        <w:trPr>
          <w:divId w:val="3086382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F477A45" w14:textId="77777777" w:rsidR="006E7CA1" w:rsidRDefault="006E7CA1">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2A763F" w14:textId="77777777" w:rsidR="006E7CA1" w:rsidRDefault="006E7CA1">
            <w:pPr>
              <w:jc w:val="right"/>
            </w:pPr>
            <w:r>
              <w:rPr>
                <w:rFonts w:ascii="宋体" w:hAnsi="宋体" w:hint="eastAsia"/>
                <w:szCs w:val="24"/>
                <w:lang w:eastAsia="zh-Hans"/>
              </w:rPr>
              <w:t>-0.0523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C0705CF" w14:textId="77777777" w:rsidR="006E7CA1" w:rsidRDefault="006E7CA1">
            <w:pPr>
              <w:jc w:val="right"/>
            </w:pPr>
            <w:r>
              <w:rPr>
                <w:rFonts w:ascii="宋体" w:hAnsi="宋体" w:hint="eastAsia"/>
                <w:szCs w:val="24"/>
                <w:lang w:eastAsia="zh-Hans"/>
              </w:rPr>
              <w:t>-0.0557</w:t>
            </w:r>
          </w:p>
        </w:tc>
      </w:tr>
      <w:tr w:rsidR="00696E54" w14:paraId="3E71E0B1" w14:textId="77777777">
        <w:trPr>
          <w:divId w:val="3086382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91E17DE" w14:textId="77777777" w:rsidR="006E7CA1" w:rsidRDefault="006E7CA1">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28658D1" w14:textId="77777777" w:rsidR="006E7CA1" w:rsidRDefault="006E7CA1">
            <w:pPr>
              <w:jc w:val="right"/>
            </w:pPr>
            <w:r>
              <w:rPr>
                <w:rFonts w:ascii="宋体" w:hAnsi="宋体" w:hint="eastAsia"/>
                <w:szCs w:val="24"/>
                <w:lang w:eastAsia="zh-Hans"/>
              </w:rPr>
              <w:t>17,246,730.04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0A3A78" w14:textId="77777777" w:rsidR="006E7CA1" w:rsidRDefault="006E7CA1">
            <w:pPr>
              <w:jc w:val="right"/>
            </w:pPr>
            <w:r>
              <w:rPr>
                <w:rFonts w:ascii="宋体" w:hAnsi="宋体" w:hint="eastAsia"/>
                <w:szCs w:val="24"/>
                <w:lang w:eastAsia="zh-Hans"/>
              </w:rPr>
              <w:t>198,485.47</w:t>
            </w:r>
          </w:p>
        </w:tc>
      </w:tr>
      <w:tr w:rsidR="00696E54" w14:paraId="2844321C" w14:textId="77777777">
        <w:trPr>
          <w:divId w:val="308638290"/>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C5AAA3" w14:textId="77777777" w:rsidR="006E7CA1" w:rsidRDefault="006E7CA1">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2FFBDF" w14:textId="77777777" w:rsidR="006E7CA1" w:rsidRDefault="006E7CA1">
            <w:pPr>
              <w:jc w:val="right"/>
            </w:pPr>
            <w:r>
              <w:rPr>
                <w:rFonts w:ascii="宋体" w:hAnsi="宋体" w:hint="eastAsia"/>
                <w:szCs w:val="24"/>
                <w:lang w:eastAsia="zh-Hans"/>
              </w:rPr>
              <w:t>1.0307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DE4685" w14:textId="77777777" w:rsidR="006E7CA1" w:rsidRDefault="006E7CA1">
            <w:pPr>
              <w:jc w:val="right"/>
            </w:pPr>
            <w:r>
              <w:rPr>
                <w:rFonts w:ascii="宋体" w:hAnsi="宋体" w:hint="eastAsia"/>
                <w:szCs w:val="24"/>
                <w:lang w:eastAsia="zh-Hans"/>
              </w:rPr>
              <w:t>1.0124</w:t>
            </w:r>
          </w:p>
        </w:tc>
      </w:tr>
    </w:tbl>
    <w:p w14:paraId="5B43352F" w14:textId="77777777" w:rsidR="006E7CA1" w:rsidRDefault="006E7CA1">
      <w:pPr>
        <w:wordWrap w:val="0"/>
        <w:spacing w:line="360" w:lineRule="auto"/>
        <w:jc w:val="left"/>
        <w:divId w:val="1741050931"/>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3C5C442F" w14:textId="77777777" w:rsidR="006E7CA1" w:rsidRDefault="006E7CA1">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3AB09F6F" w14:textId="77777777" w:rsidR="006E7CA1" w:rsidRDefault="006E7CA1">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24E12F6E" w14:textId="77777777" w:rsidR="006E7CA1" w:rsidRDefault="006E7CA1">
      <w:pPr>
        <w:spacing w:line="360" w:lineRule="auto"/>
        <w:jc w:val="center"/>
        <w:divId w:val="163085631"/>
      </w:pPr>
      <w:r>
        <w:rPr>
          <w:rFonts w:ascii="宋体" w:hAnsi="宋体" w:hint="eastAsia"/>
        </w:rPr>
        <w:t>摩根领先优选混合A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96E54" w14:paraId="04CAAF34" w14:textId="77777777">
        <w:trPr>
          <w:divId w:val="163085631"/>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DE55B16" w14:textId="77777777" w:rsidR="006E7CA1" w:rsidRDefault="006E7CA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2E449D0" w14:textId="77777777" w:rsidR="006E7CA1" w:rsidRDefault="006E7CA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AF07CEA" w14:textId="77777777" w:rsidR="006E7CA1" w:rsidRDefault="006E7CA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F4FA5E" w14:textId="77777777" w:rsidR="006E7CA1" w:rsidRDefault="006E7CA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35CE6E" w14:textId="77777777" w:rsidR="006E7CA1" w:rsidRDefault="006E7CA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D031E" w14:textId="77777777" w:rsidR="006E7CA1" w:rsidRDefault="006E7CA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5AD4F5F" w14:textId="77777777" w:rsidR="006E7CA1" w:rsidRDefault="006E7CA1">
            <w:pPr>
              <w:spacing w:line="360" w:lineRule="auto"/>
              <w:jc w:val="center"/>
            </w:pPr>
            <w:r>
              <w:rPr>
                <w:rFonts w:ascii="宋体" w:hAnsi="宋体" w:hint="eastAsia"/>
              </w:rPr>
              <w:t xml:space="preserve">②－④ </w:t>
            </w:r>
          </w:p>
        </w:tc>
      </w:tr>
      <w:tr w:rsidR="00696E54" w14:paraId="41BCE5F4" w14:textId="77777777">
        <w:trPr>
          <w:divId w:val="1630856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02080" w14:textId="77777777" w:rsidR="006E7CA1" w:rsidRDefault="006E7CA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BBAB2" w14:textId="77777777" w:rsidR="006E7CA1" w:rsidRDefault="006E7CA1">
            <w:pPr>
              <w:spacing w:line="360" w:lineRule="auto"/>
              <w:jc w:val="right"/>
            </w:pPr>
            <w:r>
              <w:rPr>
                <w:rFonts w:ascii="宋体" w:hAnsi="宋体" w:hint="eastAsia"/>
              </w:rPr>
              <w:t xml:space="preserve">-6.87%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962399" w14:textId="77777777" w:rsidR="006E7CA1" w:rsidRDefault="006E7CA1">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E04B78" w14:textId="77777777" w:rsidR="006E7CA1" w:rsidRDefault="006E7CA1">
            <w:pPr>
              <w:spacing w:line="360" w:lineRule="auto"/>
              <w:jc w:val="right"/>
            </w:pPr>
            <w:r>
              <w:rPr>
                <w:rFonts w:ascii="宋体" w:hAnsi="宋体" w:hint="eastAsia"/>
              </w:rPr>
              <w:t xml:space="preserve">-3.39%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BC1ED9" w14:textId="77777777" w:rsidR="006E7CA1" w:rsidRDefault="006E7CA1">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DF84605" w14:textId="77777777" w:rsidR="006E7CA1" w:rsidRDefault="006E7CA1">
            <w:pPr>
              <w:spacing w:line="360" w:lineRule="auto"/>
              <w:jc w:val="right"/>
            </w:pPr>
            <w:r>
              <w:rPr>
                <w:rFonts w:ascii="宋体" w:hAnsi="宋体" w:hint="eastAsia"/>
              </w:rPr>
              <w:t xml:space="preserve">-3.48%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309D5" w14:textId="77777777" w:rsidR="006E7CA1" w:rsidRDefault="006E7CA1">
            <w:pPr>
              <w:spacing w:line="360" w:lineRule="auto"/>
              <w:jc w:val="right"/>
            </w:pPr>
            <w:r>
              <w:rPr>
                <w:rFonts w:ascii="宋体" w:hAnsi="宋体" w:hint="eastAsia"/>
              </w:rPr>
              <w:t xml:space="preserve">0.75% </w:t>
            </w:r>
          </w:p>
        </w:tc>
      </w:tr>
      <w:tr w:rsidR="00696E54" w14:paraId="68EFCF6C" w14:textId="77777777">
        <w:trPr>
          <w:divId w:val="1630856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CE969D" w14:textId="77777777" w:rsidR="006E7CA1" w:rsidRDefault="006E7CA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4B7C3" w14:textId="77777777" w:rsidR="006E7CA1" w:rsidRDefault="006E7CA1">
            <w:pPr>
              <w:spacing w:line="360" w:lineRule="auto"/>
              <w:jc w:val="right"/>
            </w:pPr>
            <w:r>
              <w:rPr>
                <w:rFonts w:ascii="宋体" w:hAnsi="宋体" w:hint="eastAsia"/>
              </w:rPr>
              <w:t xml:space="preserve">-4.18%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BA8C8F" w14:textId="77777777" w:rsidR="006E7CA1" w:rsidRDefault="006E7CA1">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EFFD2" w14:textId="77777777" w:rsidR="006E7CA1" w:rsidRDefault="006E7CA1">
            <w:pPr>
              <w:spacing w:line="360" w:lineRule="auto"/>
              <w:jc w:val="right"/>
            </w:pPr>
            <w:r>
              <w:rPr>
                <w:rFonts w:ascii="宋体" w:hAnsi="宋体" w:hint="eastAsia"/>
              </w:rPr>
              <w:t xml:space="preserve">-5.54%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990C21" w14:textId="77777777" w:rsidR="006E7CA1" w:rsidRDefault="006E7CA1">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B733D1B" w14:textId="77777777" w:rsidR="006E7CA1" w:rsidRDefault="006E7CA1">
            <w:pPr>
              <w:spacing w:line="360" w:lineRule="auto"/>
              <w:jc w:val="right"/>
            </w:pPr>
            <w:r>
              <w:rPr>
                <w:rFonts w:ascii="宋体" w:hAnsi="宋体" w:hint="eastAsia"/>
              </w:rPr>
              <w:t xml:space="preserve">1.36%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C1CF6" w14:textId="77777777" w:rsidR="006E7CA1" w:rsidRDefault="006E7CA1">
            <w:pPr>
              <w:spacing w:line="360" w:lineRule="auto"/>
              <w:jc w:val="right"/>
            </w:pPr>
            <w:r>
              <w:rPr>
                <w:rFonts w:ascii="宋体" w:hAnsi="宋体" w:hint="eastAsia"/>
              </w:rPr>
              <w:t xml:space="preserve">0.66% </w:t>
            </w:r>
          </w:p>
        </w:tc>
      </w:tr>
      <w:tr w:rsidR="00696E54" w14:paraId="79CA39E8" w14:textId="77777777">
        <w:trPr>
          <w:divId w:val="1630856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F55C11" w14:textId="77777777" w:rsidR="006E7CA1" w:rsidRDefault="006E7CA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D9DF5B" w14:textId="77777777" w:rsidR="006E7CA1" w:rsidRDefault="006E7CA1">
            <w:pPr>
              <w:spacing w:line="360" w:lineRule="auto"/>
              <w:jc w:val="right"/>
            </w:pPr>
            <w:r>
              <w:rPr>
                <w:rFonts w:ascii="宋体" w:hAnsi="宋体" w:hint="eastAsia"/>
              </w:rPr>
              <w:t xml:space="preserve">11.72%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A5E1B" w14:textId="77777777" w:rsidR="006E7CA1" w:rsidRDefault="006E7CA1">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D9068D" w14:textId="77777777" w:rsidR="006E7CA1" w:rsidRDefault="006E7CA1">
            <w:pPr>
              <w:spacing w:line="360" w:lineRule="auto"/>
              <w:jc w:val="right"/>
            </w:pPr>
            <w:r>
              <w:rPr>
                <w:rFonts w:ascii="宋体" w:hAnsi="宋体" w:hint="eastAsia"/>
              </w:rPr>
              <w:t xml:space="preserve">6.75%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DD39C5" w14:textId="77777777" w:rsidR="006E7CA1" w:rsidRDefault="006E7CA1">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CFE1FCC" w14:textId="77777777" w:rsidR="006E7CA1" w:rsidRDefault="006E7CA1">
            <w:pPr>
              <w:spacing w:line="360" w:lineRule="auto"/>
              <w:jc w:val="right"/>
            </w:pPr>
            <w:r>
              <w:rPr>
                <w:rFonts w:ascii="宋体" w:hAnsi="宋体" w:hint="eastAsia"/>
              </w:rPr>
              <w:t xml:space="preserve">4.97%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697CC" w14:textId="77777777" w:rsidR="006E7CA1" w:rsidRDefault="006E7CA1">
            <w:pPr>
              <w:spacing w:line="360" w:lineRule="auto"/>
              <w:jc w:val="right"/>
            </w:pPr>
            <w:r>
              <w:rPr>
                <w:rFonts w:ascii="宋体" w:hAnsi="宋体" w:hint="eastAsia"/>
              </w:rPr>
              <w:t xml:space="preserve">0.74% </w:t>
            </w:r>
          </w:p>
        </w:tc>
      </w:tr>
      <w:tr w:rsidR="00696E54" w14:paraId="3A753A6D" w14:textId="77777777">
        <w:trPr>
          <w:divId w:val="1630856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C8073" w14:textId="77777777" w:rsidR="006E7CA1" w:rsidRDefault="006E7CA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78AFB2" w14:textId="77777777" w:rsidR="006E7CA1" w:rsidRDefault="006E7CA1">
            <w:pPr>
              <w:spacing w:line="360" w:lineRule="auto"/>
              <w:jc w:val="right"/>
            </w:pPr>
            <w:r>
              <w:rPr>
                <w:rFonts w:ascii="宋体" w:hAnsi="宋体" w:hint="eastAsia"/>
              </w:rPr>
              <w:t xml:space="preserve">-6.78%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F8F310" w14:textId="77777777" w:rsidR="006E7CA1" w:rsidRDefault="006E7CA1">
            <w:pPr>
              <w:spacing w:line="360" w:lineRule="auto"/>
              <w:jc w:val="right"/>
            </w:pPr>
            <w:r>
              <w:rPr>
                <w:rFonts w:ascii="宋体" w:hAnsi="宋体" w:hint="eastAsia"/>
              </w:rPr>
              <w:t xml:space="preserve">1.52%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919DE2" w14:textId="77777777" w:rsidR="006E7CA1" w:rsidRDefault="006E7CA1">
            <w:pPr>
              <w:spacing w:line="360" w:lineRule="auto"/>
              <w:jc w:val="right"/>
            </w:pPr>
            <w:r>
              <w:rPr>
                <w:rFonts w:ascii="宋体" w:hAnsi="宋体" w:hint="eastAsia"/>
              </w:rPr>
              <w:t xml:space="preserve">12.25%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629E3F" w14:textId="77777777" w:rsidR="006E7CA1" w:rsidRDefault="006E7CA1">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25DCB1A" w14:textId="77777777" w:rsidR="006E7CA1" w:rsidRDefault="006E7CA1">
            <w:pPr>
              <w:spacing w:line="360" w:lineRule="auto"/>
              <w:jc w:val="right"/>
            </w:pPr>
            <w:r>
              <w:rPr>
                <w:rFonts w:ascii="宋体" w:hAnsi="宋体" w:hint="eastAsia"/>
              </w:rPr>
              <w:t xml:space="preserve">-19.03%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4573B9" w14:textId="77777777" w:rsidR="006E7CA1" w:rsidRDefault="006E7CA1">
            <w:pPr>
              <w:spacing w:line="360" w:lineRule="auto"/>
              <w:jc w:val="right"/>
            </w:pPr>
            <w:r>
              <w:rPr>
                <w:rFonts w:ascii="宋体" w:hAnsi="宋体" w:hint="eastAsia"/>
              </w:rPr>
              <w:t xml:space="preserve">0.77% </w:t>
            </w:r>
          </w:p>
        </w:tc>
      </w:tr>
      <w:tr w:rsidR="00696E54" w14:paraId="42D708F2" w14:textId="77777777">
        <w:trPr>
          <w:divId w:val="1630856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4F469B" w14:textId="77777777" w:rsidR="006E7CA1" w:rsidRDefault="006E7CA1">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548E71" w14:textId="77777777" w:rsidR="006E7CA1" w:rsidRDefault="006E7CA1">
            <w:pPr>
              <w:spacing w:line="360" w:lineRule="auto"/>
              <w:jc w:val="right"/>
            </w:pPr>
            <w:r>
              <w:rPr>
                <w:rFonts w:ascii="宋体" w:hAnsi="宋体" w:hint="eastAsia"/>
              </w:rPr>
              <w:t xml:space="preserve">-32.29%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92845" w14:textId="77777777" w:rsidR="006E7CA1" w:rsidRDefault="006E7CA1">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AA0C9" w14:textId="77777777" w:rsidR="006E7CA1" w:rsidRDefault="006E7CA1">
            <w:pPr>
              <w:spacing w:line="360" w:lineRule="auto"/>
              <w:jc w:val="right"/>
            </w:pPr>
            <w:r>
              <w:rPr>
                <w:rFonts w:ascii="宋体" w:hAnsi="宋体" w:hint="eastAsia"/>
              </w:rPr>
              <w:t xml:space="preserve">-5.63%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B6EE99" w14:textId="77777777" w:rsidR="006E7CA1" w:rsidRDefault="006E7CA1">
            <w:pPr>
              <w:spacing w:line="360" w:lineRule="auto"/>
              <w:jc w:val="right"/>
            </w:pPr>
            <w:r>
              <w:rPr>
                <w:rFonts w:ascii="宋体" w:hAnsi="宋体" w:hint="eastAsia"/>
              </w:rPr>
              <w:t xml:space="preserve">0.79%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1EC110C" w14:textId="77777777" w:rsidR="006E7CA1" w:rsidRDefault="006E7CA1">
            <w:pPr>
              <w:spacing w:line="360" w:lineRule="auto"/>
              <w:jc w:val="right"/>
            </w:pPr>
            <w:r>
              <w:rPr>
                <w:rFonts w:ascii="宋体" w:hAnsi="宋体" w:hint="eastAsia"/>
              </w:rPr>
              <w:t xml:space="preserve">-26.66%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56BE80" w14:textId="77777777" w:rsidR="006E7CA1" w:rsidRDefault="006E7CA1">
            <w:pPr>
              <w:spacing w:line="360" w:lineRule="auto"/>
              <w:jc w:val="right"/>
            </w:pPr>
            <w:r>
              <w:rPr>
                <w:rFonts w:ascii="宋体" w:hAnsi="宋体" w:hint="eastAsia"/>
              </w:rPr>
              <w:t xml:space="preserve">0.70% </w:t>
            </w:r>
          </w:p>
        </w:tc>
      </w:tr>
      <w:tr w:rsidR="00696E54" w14:paraId="730F6379" w14:textId="77777777">
        <w:trPr>
          <w:divId w:val="163085631"/>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7EFA97" w14:textId="77777777" w:rsidR="006E7CA1" w:rsidRDefault="006E7CA1">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0420D" w14:textId="77777777" w:rsidR="006E7CA1" w:rsidRDefault="006E7CA1">
            <w:pPr>
              <w:spacing w:line="360" w:lineRule="auto"/>
              <w:jc w:val="right"/>
            </w:pPr>
            <w:r>
              <w:rPr>
                <w:rFonts w:ascii="宋体" w:hAnsi="宋体" w:hint="eastAsia"/>
              </w:rPr>
              <w:t xml:space="preserve">15.23%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2ECB4" w14:textId="77777777" w:rsidR="006E7CA1" w:rsidRDefault="006E7CA1">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CF7227" w14:textId="77777777" w:rsidR="006E7CA1" w:rsidRDefault="006E7CA1">
            <w:pPr>
              <w:spacing w:line="360" w:lineRule="auto"/>
              <w:jc w:val="right"/>
            </w:pPr>
            <w:r>
              <w:rPr>
                <w:rFonts w:ascii="宋体" w:hAnsi="宋体" w:hint="eastAsia"/>
              </w:rPr>
              <w:t xml:space="preserve">9.09%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5B4E49" w14:textId="77777777" w:rsidR="006E7CA1" w:rsidRDefault="006E7CA1">
            <w:pPr>
              <w:spacing w:line="360" w:lineRule="auto"/>
              <w:jc w:val="right"/>
            </w:pPr>
            <w:r>
              <w:rPr>
                <w:rFonts w:ascii="宋体" w:hAnsi="宋体" w:hint="eastAsia"/>
              </w:rPr>
              <w:t xml:space="preserve">0.80%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7D713C6" w14:textId="77777777" w:rsidR="006E7CA1" w:rsidRDefault="006E7CA1">
            <w:pPr>
              <w:spacing w:line="360" w:lineRule="auto"/>
              <w:jc w:val="right"/>
            </w:pPr>
            <w:r>
              <w:rPr>
                <w:rFonts w:ascii="宋体" w:hAnsi="宋体" w:hint="eastAsia"/>
              </w:rPr>
              <w:t xml:space="preserve">6.14%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E50D2" w14:textId="77777777" w:rsidR="006E7CA1" w:rsidRDefault="006E7CA1">
            <w:pPr>
              <w:spacing w:line="360" w:lineRule="auto"/>
              <w:jc w:val="right"/>
            </w:pPr>
            <w:r>
              <w:rPr>
                <w:rFonts w:ascii="宋体" w:hAnsi="宋体" w:hint="eastAsia"/>
              </w:rPr>
              <w:t xml:space="preserve">0.67% </w:t>
            </w:r>
          </w:p>
        </w:tc>
      </w:tr>
    </w:tbl>
    <w:p w14:paraId="30681B55" w14:textId="77777777" w:rsidR="006E7CA1" w:rsidRDefault="006E7CA1">
      <w:pPr>
        <w:spacing w:line="360" w:lineRule="auto"/>
        <w:jc w:val="center"/>
        <w:divId w:val="1167480556"/>
      </w:pPr>
      <w:r>
        <w:rPr>
          <w:rFonts w:ascii="宋体" w:hAnsi="宋体" w:hint="eastAsia"/>
        </w:rPr>
        <w:t>摩根领先优选混合C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696E54" w14:paraId="2D843759" w14:textId="77777777">
        <w:trPr>
          <w:divId w:val="1167480556"/>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ED67D1" w14:textId="77777777" w:rsidR="006E7CA1" w:rsidRDefault="006E7CA1">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2B491E5" w14:textId="77777777" w:rsidR="006E7CA1" w:rsidRDefault="006E7CA1">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44DD748" w14:textId="77777777" w:rsidR="006E7CA1" w:rsidRDefault="006E7CA1">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48BDDF" w14:textId="77777777" w:rsidR="006E7CA1" w:rsidRDefault="006E7CA1">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6A8F03F" w14:textId="77777777" w:rsidR="006E7CA1" w:rsidRDefault="006E7CA1">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1591BB" w14:textId="77777777" w:rsidR="006E7CA1" w:rsidRDefault="006E7CA1">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8847B8B" w14:textId="77777777" w:rsidR="006E7CA1" w:rsidRDefault="006E7CA1">
            <w:pPr>
              <w:spacing w:line="360" w:lineRule="auto"/>
              <w:jc w:val="center"/>
            </w:pPr>
            <w:r>
              <w:rPr>
                <w:rFonts w:ascii="宋体" w:hAnsi="宋体" w:hint="eastAsia"/>
              </w:rPr>
              <w:t xml:space="preserve">②－④ </w:t>
            </w:r>
          </w:p>
        </w:tc>
      </w:tr>
      <w:tr w:rsidR="00696E54" w14:paraId="59F4EC16" w14:textId="77777777">
        <w:trPr>
          <w:divId w:val="11674805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C1F7B" w14:textId="77777777" w:rsidR="006E7CA1" w:rsidRDefault="006E7CA1">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609CD5" w14:textId="77777777" w:rsidR="006E7CA1" w:rsidRDefault="006E7CA1">
            <w:pPr>
              <w:spacing w:line="360" w:lineRule="auto"/>
              <w:jc w:val="right"/>
            </w:pPr>
            <w:r>
              <w:rPr>
                <w:rFonts w:ascii="宋体" w:hAnsi="宋体" w:hint="eastAsia"/>
              </w:rPr>
              <w:t xml:space="preserve">-7.00%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6D677B" w14:textId="77777777" w:rsidR="006E7CA1" w:rsidRDefault="006E7CA1">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793D4" w14:textId="77777777" w:rsidR="006E7CA1" w:rsidRDefault="006E7CA1">
            <w:pPr>
              <w:spacing w:line="360" w:lineRule="auto"/>
              <w:jc w:val="right"/>
            </w:pPr>
            <w:r>
              <w:rPr>
                <w:rFonts w:ascii="宋体" w:hAnsi="宋体" w:hint="eastAsia"/>
              </w:rPr>
              <w:t xml:space="preserve">-3.39%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5F040F" w14:textId="77777777" w:rsidR="006E7CA1" w:rsidRDefault="006E7CA1">
            <w:pPr>
              <w:spacing w:line="360" w:lineRule="auto"/>
              <w:jc w:val="right"/>
            </w:pPr>
            <w:r>
              <w:rPr>
                <w:rFonts w:ascii="宋体" w:hAnsi="宋体" w:hint="eastAsia"/>
              </w:rPr>
              <w:t xml:space="preserve">0.73%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2B7755" w14:textId="77777777" w:rsidR="006E7CA1" w:rsidRDefault="006E7CA1">
            <w:pPr>
              <w:spacing w:line="360" w:lineRule="auto"/>
              <w:jc w:val="right"/>
            </w:pPr>
            <w:r>
              <w:rPr>
                <w:rFonts w:ascii="宋体" w:hAnsi="宋体" w:hint="eastAsia"/>
              </w:rPr>
              <w:t xml:space="preserve">-3.61%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DE773" w14:textId="77777777" w:rsidR="006E7CA1" w:rsidRDefault="006E7CA1">
            <w:pPr>
              <w:spacing w:line="360" w:lineRule="auto"/>
              <w:jc w:val="right"/>
            </w:pPr>
            <w:r>
              <w:rPr>
                <w:rFonts w:ascii="宋体" w:hAnsi="宋体" w:hint="eastAsia"/>
              </w:rPr>
              <w:t xml:space="preserve">0.75% </w:t>
            </w:r>
          </w:p>
        </w:tc>
      </w:tr>
      <w:tr w:rsidR="00696E54" w14:paraId="7F25832F" w14:textId="77777777">
        <w:trPr>
          <w:divId w:val="11674805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11E282" w14:textId="77777777" w:rsidR="006E7CA1" w:rsidRDefault="006E7CA1">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B58E3" w14:textId="77777777" w:rsidR="006E7CA1" w:rsidRDefault="006E7CA1">
            <w:pPr>
              <w:spacing w:line="360" w:lineRule="auto"/>
              <w:jc w:val="right"/>
            </w:pPr>
            <w:r>
              <w:rPr>
                <w:rFonts w:ascii="宋体" w:hAnsi="宋体" w:hint="eastAsia"/>
              </w:rPr>
              <w:t xml:space="preserve">-4.47%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DD720" w14:textId="77777777" w:rsidR="006E7CA1" w:rsidRDefault="006E7CA1">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32DE96" w14:textId="77777777" w:rsidR="006E7CA1" w:rsidRDefault="006E7CA1">
            <w:pPr>
              <w:spacing w:line="360" w:lineRule="auto"/>
              <w:jc w:val="right"/>
            </w:pPr>
            <w:r>
              <w:rPr>
                <w:rFonts w:ascii="宋体" w:hAnsi="宋体" w:hint="eastAsia"/>
              </w:rPr>
              <w:t xml:space="preserve">-5.54%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91F2EA" w14:textId="77777777" w:rsidR="006E7CA1" w:rsidRDefault="006E7CA1">
            <w:pPr>
              <w:spacing w:line="360" w:lineRule="auto"/>
              <w:jc w:val="right"/>
            </w:pPr>
            <w:r>
              <w:rPr>
                <w:rFonts w:ascii="宋体" w:hAnsi="宋体" w:hint="eastAsia"/>
              </w:rPr>
              <w:t xml:space="preserve">0.70%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320CD5C" w14:textId="77777777" w:rsidR="006E7CA1" w:rsidRDefault="006E7CA1">
            <w:pPr>
              <w:spacing w:line="360" w:lineRule="auto"/>
              <w:jc w:val="right"/>
            </w:pPr>
            <w:r>
              <w:rPr>
                <w:rFonts w:ascii="宋体" w:hAnsi="宋体" w:hint="eastAsia"/>
              </w:rPr>
              <w:t xml:space="preserve">1.07%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2E770" w14:textId="77777777" w:rsidR="006E7CA1" w:rsidRDefault="006E7CA1">
            <w:pPr>
              <w:spacing w:line="360" w:lineRule="auto"/>
              <w:jc w:val="right"/>
            </w:pPr>
            <w:r>
              <w:rPr>
                <w:rFonts w:ascii="宋体" w:hAnsi="宋体" w:hint="eastAsia"/>
              </w:rPr>
              <w:t xml:space="preserve">0.66% </w:t>
            </w:r>
          </w:p>
        </w:tc>
      </w:tr>
      <w:tr w:rsidR="00696E54" w14:paraId="7DCEEDC5" w14:textId="77777777">
        <w:trPr>
          <w:divId w:val="11674805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6AE90" w14:textId="77777777" w:rsidR="006E7CA1" w:rsidRDefault="006E7CA1">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03BA55" w14:textId="77777777" w:rsidR="006E7CA1" w:rsidRDefault="006E7CA1">
            <w:pPr>
              <w:spacing w:line="360" w:lineRule="auto"/>
              <w:jc w:val="right"/>
            </w:pPr>
            <w:r>
              <w:rPr>
                <w:rFonts w:ascii="宋体" w:hAnsi="宋体" w:hint="eastAsia"/>
              </w:rPr>
              <w:t xml:space="preserve">11.06%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01790" w14:textId="77777777" w:rsidR="006E7CA1" w:rsidRDefault="006E7CA1">
            <w:pPr>
              <w:spacing w:line="360" w:lineRule="auto"/>
              <w:jc w:val="right"/>
            </w:pPr>
            <w:r>
              <w:rPr>
                <w:rFonts w:ascii="宋体" w:hAnsi="宋体" w:hint="eastAsia"/>
              </w:rPr>
              <w:t xml:space="preserve">1.49%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4AA21" w14:textId="77777777" w:rsidR="006E7CA1" w:rsidRDefault="006E7CA1">
            <w:pPr>
              <w:spacing w:line="360" w:lineRule="auto"/>
              <w:jc w:val="right"/>
            </w:pPr>
            <w:r>
              <w:rPr>
                <w:rFonts w:ascii="宋体" w:hAnsi="宋体" w:hint="eastAsia"/>
              </w:rPr>
              <w:t xml:space="preserve">6.75%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FA462" w14:textId="77777777" w:rsidR="006E7CA1" w:rsidRDefault="006E7CA1">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B208C3" w14:textId="77777777" w:rsidR="006E7CA1" w:rsidRDefault="006E7CA1">
            <w:pPr>
              <w:spacing w:line="360" w:lineRule="auto"/>
              <w:jc w:val="right"/>
            </w:pPr>
            <w:r>
              <w:rPr>
                <w:rFonts w:ascii="宋体" w:hAnsi="宋体" w:hint="eastAsia"/>
              </w:rPr>
              <w:t xml:space="preserve">4.31%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06ED6B" w14:textId="77777777" w:rsidR="006E7CA1" w:rsidRDefault="006E7CA1">
            <w:pPr>
              <w:spacing w:line="360" w:lineRule="auto"/>
              <w:jc w:val="right"/>
            </w:pPr>
            <w:r>
              <w:rPr>
                <w:rFonts w:ascii="宋体" w:hAnsi="宋体" w:hint="eastAsia"/>
              </w:rPr>
              <w:t xml:space="preserve">0.74% </w:t>
            </w:r>
          </w:p>
        </w:tc>
      </w:tr>
      <w:tr w:rsidR="00696E54" w14:paraId="0A5FAB7F" w14:textId="77777777">
        <w:trPr>
          <w:divId w:val="11674805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849ED9" w14:textId="77777777" w:rsidR="006E7CA1" w:rsidRDefault="006E7CA1">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CE9D1C" w14:textId="77777777" w:rsidR="006E7CA1" w:rsidRDefault="006E7CA1">
            <w:pPr>
              <w:spacing w:line="360" w:lineRule="auto"/>
              <w:jc w:val="right"/>
            </w:pPr>
            <w:r>
              <w:rPr>
                <w:rFonts w:ascii="宋体" w:hAnsi="宋体" w:hint="eastAsia"/>
              </w:rPr>
              <w:t xml:space="preserve">-8.44%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6E1071" w14:textId="77777777" w:rsidR="006E7CA1" w:rsidRDefault="006E7CA1">
            <w:pPr>
              <w:spacing w:line="360" w:lineRule="auto"/>
              <w:jc w:val="right"/>
            </w:pPr>
            <w:r>
              <w:rPr>
                <w:rFonts w:ascii="宋体" w:hAnsi="宋体" w:hint="eastAsia"/>
              </w:rPr>
              <w:t xml:space="preserve">1.52%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798DA7" w14:textId="77777777" w:rsidR="006E7CA1" w:rsidRDefault="006E7CA1">
            <w:pPr>
              <w:spacing w:line="360" w:lineRule="auto"/>
              <w:jc w:val="right"/>
            </w:pPr>
            <w:r>
              <w:rPr>
                <w:rFonts w:ascii="宋体" w:hAnsi="宋体" w:hint="eastAsia"/>
              </w:rPr>
              <w:t xml:space="preserve">12.25%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3C07E7" w14:textId="77777777" w:rsidR="006E7CA1" w:rsidRDefault="006E7CA1">
            <w:pPr>
              <w:spacing w:line="360" w:lineRule="auto"/>
              <w:jc w:val="right"/>
            </w:pPr>
            <w:r>
              <w:rPr>
                <w:rFonts w:ascii="宋体" w:hAnsi="宋体" w:hint="eastAsia"/>
              </w:rPr>
              <w:t xml:space="preserve">0.75%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07E04B" w14:textId="77777777" w:rsidR="006E7CA1" w:rsidRDefault="006E7CA1">
            <w:pPr>
              <w:spacing w:line="360" w:lineRule="auto"/>
              <w:jc w:val="right"/>
            </w:pPr>
            <w:r>
              <w:rPr>
                <w:rFonts w:ascii="宋体" w:hAnsi="宋体" w:hint="eastAsia"/>
              </w:rPr>
              <w:t xml:space="preserve">-20.69%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459A4" w14:textId="77777777" w:rsidR="006E7CA1" w:rsidRDefault="006E7CA1">
            <w:pPr>
              <w:spacing w:line="360" w:lineRule="auto"/>
              <w:jc w:val="right"/>
            </w:pPr>
            <w:r>
              <w:rPr>
                <w:rFonts w:ascii="宋体" w:hAnsi="宋体" w:hint="eastAsia"/>
              </w:rPr>
              <w:t xml:space="preserve">0.77% </w:t>
            </w:r>
          </w:p>
        </w:tc>
      </w:tr>
      <w:tr w:rsidR="00696E54" w14:paraId="7B70401F" w14:textId="77777777">
        <w:trPr>
          <w:divId w:val="1167480556"/>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42D31E" w14:textId="77777777" w:rsidR="006E7CA1" w:rsidRDefault="006E7CA1">
            <w:pPr>
              <w:spacing w:line="360" w:lineRule="auto"/>
              <w:jc w:val="center"/>
            </w:pPr>
            <w:r>
              <w:rPr>
                <w:rFonts w:ascii="宋体" w:hAnsi="宋体" w:hint="eastAsia"/>
              </w:rPr>
              <w:lastRenderedPageBreak/>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9E9A8" w14:textId="77777777" w:rsidR="006E7CA1" w:rsidRDefault="006E7CA1">
            <w:pPr>
              <w:spacing w:line="360" w:lineRule="auto"/>
              <w:jc w:val="right"/>
            </w:pPr>
            <w:r>
              <w:rPr>
                <w:rFonts w:ascii="宋体" w:hAnsi="宋体" w:hint="eastAsia"/>
              </w:rPr>
              <w:t xml:space="preserve">-9.45%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758573" w14:textId="77777777" w:rsidR="006E7CA1" w:rsidRDefault="006E7CA1">
            <w:pPr>
              <w:spacing w:line="360" w:lineRule="auto"/>
              <w:jc w:val="right"/>
            </w:pPr>
            <w:r>
              <w:rPr>
                <w:rFonts w:ascii="宋体" w:hAnsi="宋体" w:hint="eastAsia"/>
              </w:rPr>
              <w:t xml:space="preserve">1.47%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D75FF" w14:textId="77777777" w:rsidR="006E7CA1" w:rsidRDefault="006E7CA1">
            <w:pPr>
              <w:spacing w:line="360" w:lineRule="auto"/>
              <w:jc w:val="right"/>
            </w:pPr>
            <w:r>
              <w:rPr>
                <w:rFonts w:ascii="宋体" w:hAnsi="宋体" w:hint="eastAsia"/>
              </w:rPr>
              <w:t xml:space="preserve">19.42%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48A82" w14:textId="77777777" w:rsidR="006E7CA1" w:rsidRDefault="006E7CA1">
            <w:pPr>
              <w:spacing w:line="360" w:lineRule="auto"/>
              <w:jc w:val="right"/>
            </w:pPr>
            <w:r>
              <w:rPr>
                <w:rFonts w:ascii="宋体" w:hAnsi="宋体" w:hint="eastAsia"/>
              </w:rPr>
              <w:t xml:space="preserve">0.74%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2727305" w14:textId="77777777" w:rsidR="006E7CA1" w:rsidRDefault="006E7CA1">
            <w:pPr>
              <w:spacing w:line="360" w:lineRule="auto"/>
              <w:jc w:val="right"/>
            </w:pPr>
            <w:r>
              <w:rPr>
                <w:rFonts w:ascii="宋体" w:hAnsi="宋体" w:hint="eastAsia"/>
              </w:rPr>
              <w:t xml:space="preserve">-28.87%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B35FD6" w14:textId="77777777" w:rsidR="006E7CA1" w:rsidRDefault="006E7CA1">
            <w:pPr>
              <w:spacing w:line="360" w:lineRule="auto"/>
              <w:jc w:val="right"/>
            </w:pPr>
            <w:r>
              <w:rPr>
                <w:rFonts w:ascii="宋体" w:hAnsi="宋体" w:hint="eastAsia"/>
              </w:rPr>
              <w:t xml:space="preserve">0.73% </w:t>
            </w:r>
          </w:p>
        </w:tc>
      </w:tr>
    </w:tbl>
    <w:p w14:paraId="1C58EBFC" w14:textId="77777777" w:rsidR="006E7CA1" w:rsidRDefault="006E7CA1">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1A61ECCE" w14:textId="1D0EE3A3" w:rsidR="006E7CA1" w:rsidRDefault="00174E2A">
      <w:pPr>
        <w:spacing w:line="360" w:lineRule="auto"/>
        <w:jc w:val="left"/>
        <w:divId w:val="2032879102"/>
      </w:pPr>
      <w:bookmarkStart w:id="70" w:name="m07_04_07_09"/>
      <w:bookmarkStart w:id="71" w:name="m07_04_07_09_tab"/>
      <w:r>
        <w:rPr>
          <w:rFonts w:ascii="宋体" w:hAnsi="宋体" w:hint="eastAsia"/>
          <w:noProof/>
        </w:rPr>
        <w:drawing>
          <wp:inline distT="0" distB="0" distL="0" distR="0" wp14:anchorId="5F3FB1D7" wp14:editId="299665D7">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39C64E8A" w14:textId="7A3DE6A3" w:rsidR="006E7CA1" w:rsidRDefault="00174E2A">
      <w:pPr>
        <w:spacing w:line="360" w:lineRule="auto"/>
        <w:jc w:val="left"/>
        <w:divId w:val="1175265997"/>
      </w:pPr>
      <w:r>
        <w:rPr>
          <w:rFonts w:ascii="宋体" w:hAnsi="宋体" w:hint="eastAsia"/>
          <w:noProof/>
        </w:rPr>
        <w:drawing>
          <wp:inline distT="0" distB="0" distL="0" distR="0" wp14:anchorId="33C5F5A6" wp14:editId="4C6DB3A7">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7BFC45A" w14:textId="77777777" w:rsidR="006E7CA1" w:rsidRDefault="006E7CA1">
      <w:pPr>
        <w:spacing w:line="360" w:lineRule="auto"/>
      </w:pPr>
      <w:r>
        <w:rPr>
          <w:rFonts w:ascii="宋体" w:hAnsi="宋体" w:hint="eastAsia"/>
        </w:rPr>
        <w:t>注：</w:t>
      </w:r>
      <w:r>
        <w:rPr>
          <w:rFonts w:ascii="宋体" w:hAnsi="宋体" w:hint="eastAsia"/>
          <w:lang w:eastAsia="zh-Hans"/>
        </w:rPr>
        <w:t>本基金合同生效日为2019年3月20日，图示的时间段为合同生效日至本报告期末。</w:t>
      </w:r>
      <w:r>
        <w:rPr>
          <w:rFonts w:ascii="宋体" w:hAnsi="宋体" w:hint="eastAsia"/>
          <w:lang w:eastAsia="zh-Hans"/>
        </w:rPr>
        <w:br/>
        <w:t xml:space="preserve">　　本基金自 2022年11月11日起增加C类份额，相关数据按实际存续期计算。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62DC575B" w14:textId="77777777" w:rsidR="006E7CA1" w:rsidRDefault="006E7CA1">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lastRenderedPageBreak/>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3A1033C6" w14:textId="77777777" w:rsidR="006E7CA1" w:rsidRDefault="006E7CA1">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696E54" w14:paraId="77757729" w14:textId="77777777">
        <w:trPr>
          <w:divId w:val="403525781"/>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9EF41F" w14:textId="77777777" w:rsidR="006E7CA1" w:rsidRDefault="006E7CA1">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07FDC9" w14:textId="77777777" w:rsidR="006E7CA1" w:rsidRDefault="006E7CA1">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9FEE85" w14:textId="77777777" w:rsidR="006E7CA1" w:rsidRDefault="006E7CA1">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8E50BD" w14:textId="77777777" w:rsidR="006E7CA1" w:rsidRDefault="006E7CA1">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C3621" w14:textId="77777777" w:rsidR="006E7CA1" w:rsidRDefault="006E7CA1">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696E54" w14:paraId="77C15B7A" w14:textId="77777777">
        <w:trPr>
          <w:divId w:val="403525781"/>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6964AA" w14:textId="77777777" w:rsidR="006E7CA1" w:rsidRDefault="006E7CA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47C8DE" w14:textId="77777777" w:rsidR="006E7CA1" w:rsidRDefault="006E7CA1">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F1B0E8" w14:textId="77777777" w:rsidR="006E7CA1" w:rsidRDefault="006E7CA1">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1CA055" w14:textId="77777777" w:rsidR="006E7CA1" w:rsidRDefault="006E7CA1">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3F8D82" w14:textId="77777777" w:rsidR="006E7CA1" w:rsidRDefault="006E7CA1">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489A5" w14:textId="77777777" w:rsidR="006E7CA1" w:rsidRDefault="006E7CA1">
            <w:pPr>
              <w:widowControl/>
              <w:jc w:val="left"/>
            </w:pPr>
          </w:p>
        </w:tc>
      </w:tr>
      <w:tr w:rsidR="00696E54" w14:paraId="623304DB" w14:textId="77777777">
        <w:trPr>
          <w:divId w:val="403525781"/>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F3DAC" w14:textId="77777777" w:rsidR="006E7CA1" w:rsidRDefault="006E7CA1">
            <w:pPr>
              <w:jc w:val="center"/>
            </w:pPr>
            <w:r>
              <w:rPr>
                <w:rFonts w:ascii="宋体" w:hAnsi="宋体" w:hint="eastAsia"/>
                <w:szCs w:val="24"/>
                <w:lang w:eastAsia="zh-Hans"/>
              </w:rPr>
              <w:t>徐项楠</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DCE1E" w14:textId="77777777" w:rsidR="006E7CA1" w:rsidRDefault="006E7CA1">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E93E8C" w14:textId="77777777" w:rsidR="006E7CA1" w:rsidRDefault="006E7CA1">
            <w:pPr>
              <w:jc w:val="center"/>
            </w:pPr>
            <w:r>
              <w:rPr>
                <w:rFonts w:ascii="宋体" w:hAnsi="宋体" w:hint="eastAsia"/>
                <w:szCs w:val="24"/>
                <w:lang w:eastAsia="zh-Hans"/>
              </w:rPr>
              <w:t>2023年3月3日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15F0C" w14:textId="77777777" w:rsidR="006E7CA1" w:rsidRDefault="006E7CA1">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80F34" w14:textId="77777777" w:rsidR="006E7CA1" w:rsidRDefault="006E7CA1">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BE813" w14:textId="77777777" w:rsidR="006E7CA1" w:rsidRDefault="006E7CA1">
            <w:pPr>
              <w:jc w:val="left"/>
            </w:pPr>
            <w:r>
              <w:rPr>
                <w:rFonts w:ascii="宋体" w:hAnsi="宋体" w:hint="eastAsia"/>
                <w:szCs w:val="24"/>
                <w:lang w:eastAsia="zh-Hans"/>
              </w:rPr>
              <w:t>徐项楠先生曾任中海基金管理有限公司行业分析师，中银基金管理有限公司高级分析师。2017年5月加入摩根基金管理（中国）有限公司（原上投摩根基金管理有限公司），历任研究员、行业专家、行业专家/基金经理助理，现任高级基金经理。</w:t>
            </w:r>
          </w:p>
        </w:tc>
      </w:tr>
    </w:tbl>
    <w:p w14:paraId="5A4E2B3C" w14:textId="77777777" w:rsidR="006E7CA1" w:rsidRDefault="006E7CA1">
      <w:pPr>
        <w:wordWrap w:val="0"/>
        <w:spacing w:line="360" w:lineRule="auto"/>
        <w:jc w:val="left"/>
        <w:divId w:val="2135247616"/>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3DD894C" w14:textId="77777777" w:rsidR="006E7CA1" w:rsidRDefault="006E7CA1">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64E8DCAF" w14:textId="77777777" w:rsidR="006E7CA1" w:rsidRDefault="006E7CA1">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546708A1" w14:textId="77777777" w:rsidR="006E7CA1" w:rsidRDefault="006E7CA1">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0FC2E747" w14:textId="77777777" w:rsidR="006E7CA1" w:rsidRDefault="006E7CA1">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432F39A7" w14:textId="77777777" w:rsidR="006E7CA1" w:rsidRDefault="006E7CA1">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lastRenderedPageBreak/>
        <w:t xml:space="preserve">　　报告期内，通过对不同投资组合之间的收益率差异比较、对同向交易和反向交易的交易时机和交易价差监控分析，未发现整体公平交易执行出现异常的情况。</w:t>
      </w:r>
    </w:p>
    <w:p w14:paraId="05C3919D" w14:textId="77777777" w:rsidR="006E7CA1" w:rsidRDefault="006E7CA1">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3AB5F4A0" w14:textId="77777777" w:rsidR="006E7CA1" w:rsidRDefault="006E7CA1">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17667A1" w14:textId="77777777" w:rsidR="006E7CA1" w:rsidRDefault="006E7CA1">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66726C98" w14:textId="77777777" w:rsidR="006E7CA1" w:rsidRDefault="006E7CA1">
      <w:pPr>
        <w:spacing w:line="360" w:lineRule="auto"/>
        <w:ind w:firstLineChars="200" w:firstLine="420"/>
        <w:jc w:val="left"/>
      </w:pPr>
      <w:r>
        <w:rPr>
          <w:rFonts w:ascii="宋体" w:hAnsi="宋体" w:cs="宋体" w:hint="eastAsia"/>
          <w:color w:val="000000"/>
          <w:kern w:val="0"/>
        </w:rPr>
        <w:t>2026年一季度经济动能较2025年四季度改善，油价影响初现。生产端来看，春节错位支撑下，1-2月工业增加值、服务业生产指数累计同比分别为6.3%、5.2%，较2025年四季度</w:t>
      </w:r>
      <w:proofErr w:type="gramStart"/>
      <w:r>
        <w:rPr>
          <w:rFonts w:ascii="宋体" w:hAnsi="宋体" w:cs="宋体" w:hint="eastAsia"/>
          <w:color w:val="000000"/>
          <w:kern w:val="0"/>
        </w:rPr>
        <w:t>同比回升</w:t>
      </w:r>
      <w:proofErr w:type="gramEnd"/>
      <w:r>
        <w:rPr>
          <w:rFonts w:ascii="宋体" w:hAnsi="宋体" w:cs="宋体" w:hint="eastAsia"/>
          <w:color w:val="000000"/>
          <w:kern w:val="0"/>
        </w:rPr>
        <w:t>1.3、0.6个百分点。但是3月起，中东冲突导致油价大幅上升，使得3月PMI环比上升幅度小幅弱于季节性。需求端来看，内外需皆边际有所上升，但外需仍然显著强于内需。春节相对偏晚支撑了1-2月出口同比增速，但春节效应以外，在海外需求边际改善、关税降低的滞后效应以及AI等产业趋势等因素拉动下，出口动能仍然显著上升。1-2月出口累计同比21.8%，较2025年四季度上升18个百分点。内需方面，春节假期消费释放叠加以旧换新政策接续，1-</w:t>
      </w:r>
      <w:proofErr w:type="gramStart"/>
      <w:r>
        <w:rPr>
          <w:rFonts w:ascii="宋体" w:hAnsi="宋体" w:cs="宋体" w:hint="eastAsia"/>
          <w:color w:val="000000"/>
          <w:kern w:val="0"/>
        </w:rPr>
        <w:t>2月社零总额</w:t>
      </w:r>
      <w:proofErr w:type="gramEnd"/>
      <w:r>
        <w:rPr>
          <w:rFonts w:ascii="宋体" w:hAnsi="宋体" w:cs="宋体" w:hint="eastAsia"/>
          <w:color w:val="000000"/>
          <w:kern w:val="0"/>
        </w:rPr>
        <w:t>同比增长2.8%，较2025年四季度上升1.1个百分点。投资增速由负转正，1-2月固定资产投资累计同比上升1.8%，主要由建安投资驱动。分行业来看，三大项投资增速皆有所改善。虽然京沪等一线城市进一步放松房地产政策，房地产销量有所上升，但是全国层面房地产销售仍然偏弱，或因土地购置费带动，开发投资同比降幅由2025年的17.2%收窄至11.1%。财政政策前置发力，1-2月基建投资增速较2025年显著提升。出口韧性支撑下，1-2月制造业投资同比上升3.1%，较2025年上升2.5个百分点。价格方面，1-2月CPI、PPI同比分别为0.8%、-1.2%，皆较2025年四季度边际改善。油价上涨影响下，3月PMI原材料购进价格、出厂价格指数分别环比上升9.1、4.8个百分点至65.9%、55.4%。受中东冲突影响，市场整体先上后下、小幅下跌，沪深300下跌3.9%，创业</w:t>
      </w:r>
      <w:proofErr w:type="gramStart"/>
      <w:r>
        <w:rPr>
          <w:rFonts w:ascii="宋体" w:hAnsi="宋体" w:cs="宋体" w:hint="eastAsia"/>
          <w:color w:val="000000"/>
          <w:kern w:val="0"/>
        </w:rPr>
        <w:t>板指数</w:t>
      </w:r>
      <w:proofErr w:type="gramEnd"/>
      <w:r>
        <w:rPr>
          <w:rFonts w:ascii="宋体" w:hAnsi="宋体" w:cs="宋体" w:hint="eastAsia"/>
          <w:color w:val="000000"/>
          <w:kern w:val="0"/>
        </w:rPr>
        <w:t>下跌0.6%。从行业表现来看，煤炭、石油石化、电力及公用事业等</w:t>
      </w:r>
      <w:proofErr w:type="gramStart"/>
      <w:r>
        <w:rPr>
          <w:rFonts w:ascii="宋体" w:hAnsi="宋体" w:cs="宋体" w:hint="eastAsia"/>
          <w:color w:val="000000"/>
          <w:kern w:val="0"/>
        </w:rPr>
        <w:t>行业涨幅</w:t>
      </w:r>
      <w:proofErr w:type="gramEnd"/>
      <w:r>
        <w:rPr>
          <w:rFonts w:ascii="宋体" w:hAnsi="宋体" w:cs="宋体" w:hint="eastAsia"/>
          <w:color w:val="000000"/>
          <w:kern w:val="0"/>
        </w:rPr>
        <w:t>居前，综合金融、非银行金融、消费者服务等行业表现相对靠后。报告期内，本基金聚焦了A股、港股的优质龙头公司，尤其重点布局了受益于AI科技浪潮带动的国内科技公司。</w:t>
      </w:r>
      <w:r>
        <w:rPr>
          <w:rFonts w:ascii="宋体" w:hAnsi="宋体" w:cs="宋体" w:hint="eastAsia"/>
          <w:color w:val="000000"/>
          <w:kern w:val="0"/>
        </w:rPr>
        <w:br/>
        <w:t xml:space="preserve">　　展望2026年二季度，我们保持谨慎乐观。外部来看，短期核心变量仍是中东冲突的走向。温和情形下，能源供给冲击或相对短暂，油价或也将有所回落，海外滞胀风险下降，中</w:t>
      </w:r>
      <w:proofErr w:type="gramStart"/>
      <w:r>
        <w:rPr>
          <w:rFonts w:ascii="宋体" w:hAnsi="宋体" w:cs="宋体" w:hint="eastAsia"/>
          <w:color w:val="000000"/>
          <w:kern w:val="0"/>
        </w:rPr>
        <w:t>国外需仍</w:t>
      </w:r>
      <w:r>
        <w:rPr>
          <w:rFonts w:ascii="宋体" w:hAnsi="宋体" w:cs="宋体" w:hint="eastAsia"/>
          <w:color w:val="000000"/>
          <w:kern w:val="0"/>
        </w:rPr>
        <w:lastRenderedPageBreak/>
        <w:t>有</w:t>
      </w:r>
      <w:proofErr w:type="gramEnd"/>
      <w:r>
        <w:rPr>
          <w:rFonts w:ascii="宋体" w:hAnsi="宋体" w:cs="宋体" w:hint="eastAsia"/>
          <w:color w:val="000000"/>
          <w:kern w:val="0"/>
        </w:rPr>
        <w:t>一定支撑，出口的供给端相对优势或也将进一步显现，支撑中国出口份额，使得中国整体出口仍然保持较高增速。内部来看，央行或将维持总量货币政策不变，更多采用结构性货币政策，加强与财政政策的协同，针对受能源供给冲击较大的部门提供更多定向支持。叠加中国相对较低的对外能源依存度以及近年来加速的能源结构转型，虽然内部消费、投资可能受到油价上涨的一定负面影响，但整体受损程度或相对可控。风险情形下，中东冲突加剧，油价继续冲高且在中期内保持高位，海外短期滞胀风险上升，欧美央行或加息以抑制通胀，或将提升中期</w:t>
      </w:r>
      <w:proofErr w:type="gramStart"/>
      <w:r>
        <w:rPr>
          <w:rFonts w:ascii="宋体" w:hAnsi="宋体" w:cs="宋体" w:hint="eastAsia"/>
          <w:color w:val="000000"/>
          <w:kern w:val="0"/>
        </w:rPr>
        <w:t>内海外</w:t>
      </w:r>
      <w:proofErr w:type="gramEnd"/>
      <w:r>
        <w:rPr>
          <w:rFonts w:ascii="宋体" w:hAnsi="宋体" w:cs="宋体" w:hint="eastAsia"/>
          <w:color w:val="000000"/>
          <w:kern w:val="0"/>
        </w:rPr>
        <w:t>经济衰退风险，加大中国出口下行压力。此外，国内货币政策被动收紧的可能性也将上升，加大内需下行压力。行业上，我们认为伴随着AI带来的科技浪潮日新月异，AI产业增长空间仍然巨大。另外，新一代年轻人消费观的改善，带来了这个群体消费跨期主观偏好的显著提升，从而带动消费行业的部分机会。我们认为消费方向仍面临众多不确定性，但好在估值水平已释放一定下行风险。策略上，我们认为科技投资为主线，叠加底部布局优质的顺经济周期相关方向或是较好的配置思路。未来我们将继续严格按照基金契约的要求重点投资相关行业中具有相对估值优势、增长前景确定的优质公司。我们将加强对上市公司基本面的研究力度，筛选出具有长期竞争力的优秀公司，力争为持有人创造较好回报。</w:t>
      </w:r>
    </w:p>
    <w:p w14:paraId="4EBCECA4" w14:textId="77777777" w:rsidR="006E7CA1" w:rsidRDefault="006E7CA1">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0CF3F39" w14:textId="77777777" w:rsidR="006E7CA1" w:rsidRDefault="006E7CA1">
      <w:pPr>
        <w:spacing w:line="360" w:lineRule="auto"/>
        <w:ind w:firstLineChars="200" w:firstLine="420"/>
      </w:pPr>
      <w:r>
        <w:rPr>
          <w:rFonts w:ascii="宋体" w:hAnsi="宋体" w:hint="eastAsia"/>
        </w:rPr>
        <w:t>本报告期摩根领先优选混合A份额净值增长率为：-6.87%，同期业绩比较基准收益率为：-3.39%；</w:t>
      </w:r>
      <w:r>
        <w:rPr>
          <w:rFonts w:ascii="宋体" w:hAnsi="宋体" w:hint="eastAsia"/>
        </w:rPr>
        <w:br/>
        <w:t xml:space="preserve">　　摩根领先优选混合C份额净值增长率为：-7.00%，同期业绩比较基准收益率为：-3.39%。</w:t>
      </w:r>
    </w:p>
    <w:p w14:paraId="69B939E8" w14:textId="77777777" w:rsidR="006E7CA1" w:rsidRDefault="006E7CA1">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01EF6F13" w14:textId="77777777" w:rsidR="006E7CA1" w:rsidRDefault="006E7CA1">
      <w:pPr>
        <w:spacing w:line="360" w:lineRule="auto"/>
        <w:ind w:firstLineChars="200" w:firstLine="420"/>
        <w:jc w:val="left"/>
      </w:pPr>
      <w:r>
        <w:rPr>
          <w:rFonts w:ascii="宋体" w:hAnsi="宋体" w:hint="eastAsia"/>
        </w:rPr>
        <w:t xml:space="preserve">截至本报告期末,本基金有连续超过二十个工作日出现基金资产净值低于五千万元的情形，相应解决方案已报送中国证监会。 </w:t>
      </w:r>
    </w:p>
    <w:p w14:paraId="5984CDB2" w14:textId="77777777" w:rsidR="006E7CA1" w:rsidRDefault="006E7CA1">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56D3FC6F" w14:textId="77777777" w:rsidR="006E7CA1" w:rsidRDefault="006E7CA1">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696E54" w14:paraId="3471CA8D" w14:textId="77777777">
        <w:trPr>
          <w:divId w:val="99491568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8805D8" w14:textId="77777777" w:rsidR="006E7CA1" w:rsidRDefault="006E7CA1">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0654E8F1" w14:textId="77777777" w:rsidR="006E7CA1" w:rsidRDefault="006E7CA1">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0279253E" w14:textId="77777777" w:rsidR="006E7CA1" w:rsidRDefault="006E7CA1">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C967E22" w14:textId="77777777" w:rsidR="006E7CA1" w:rsidRDefault="006E7CA1">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696E54" w14:paraId="53969C18" w14:textId="77777777">
        <w:trPr>
          <w:divId w:val="9949156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7458DF" w14:textId="77777777" w:rsidR="006E7CA1" w:rsidRDefault="006E7CA1">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668207B9" w14:textId="77777777" w:rsidR="006E7CA1" w:rsidRDefault="006E7CA1">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6F4490" w14:textId="77777777" w:rsidR="006E7CA1" w:rsidRDefault="006E7CA1">
            <w:pPr>
              <w:jc w:val="right"/>
            </w:pPr>
            <w:r>
              <w:rPr>
                <w:rFonts w:ascii="宋体" w:hAnsi="宋体" w:hint="eastAsia"/>
                <w:szCs w:val="24"/>
                <w:lang w:eastAsia="zh-Hans"/>
              </w:rPr>
              <w:t>15,973,035.94</w:t>
            </w:r>
          </w:p>
        </w:tc>
        <w:tc>
          <w:tcPr>
            <w:tcW w:w="1333" w:type="pct"/>
            <w:tcBorders>
              <w:top w:val="single" w:sz="4" w:space="0" w:color="auto"/>
              <w:left w:val="nil"/>
              <w:bottom w:val="single" w:sz="4" w:space="0" w:color="auto"/>
              <w:right w:val="single" w:sz="4" w:space="0" w:color="auto"/>
            </w:tcBorders>
            <w:vAlign w:val="center"/>
            <w:hideMark/>
          </w:tcPr>
          <w:p w14:paraId="38A6018F" w14:textId="77777777" w:rsidR="006E7CA1" w:rsidRDefault="006E7CA1">
            <w:pPr>
              <w:jc w:val="right"/>
            </w:pPr>
            <w:r>
              <w:rPr>
                <w:rFonts w:ascii="宋体" w:hAnsi="宋体" w:hint="eastAsia"/>
                <w:szCs w:val="24"/>
                <w:lang w:eastAsia="zh-Hans"/>
              </w:rPr>
              <w:t>91.36</w:t>
            </w:r>
          </w:p>
        </w:tc>
      </w:tr>
      <w:tr w:rsidR="00696E54" w14:paraId="5DCC8AF0" w14:textId="77777777">
        <w:trPr>
          <w:divId w:val="9949156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3EF3A0E" w14:textId="77777777" w:rsidR="006E7CA1" w:rsidRDefault="006E7CA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1B931629" w14:textId="77777777" w:rsidR="006E7CA1" w:rsidRDefault="006E7CA1">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4C5EC06" w14:textId="77777777" w:rsidR="006E7CA1" w:rsidRDefault="006E7CA1">
            <w:pPr>
              <w:jc w:val="right"/>
            </w:pPr>
            <w:r>
              <w:rPr>
                <w:rFonts w:ascii="宋体" w:hAnsi="宋体" w:hint="eastAsia"/>
                <w:szCs w:val="24"/>
                <w:lang w:eastAsia="zh-Hans"/>
              </w:rPr>
              <w:t>15,973,035.94</w:t>
            </w:r>
          </w:p>
        </w:tc>
        <w:tc>
          <w:tcPr>
            <w:tcW w:w="1333" w:type="pct"/>
            <w:tcBorders>
              <w:top w:val="single" w:sz="4" w:space="0" w:color="auto"/>
              <w:left w:val="nil"/>
              <w:bottom w:val="single" w:sz="4" w:space="0" w:color="auto"/>
              <w:right w:val="single" w:sz="4" w:space="0" w:color="auto"/>
            </w:tcBorders>
            <w:vAlign w:val="center"/>
            <w:hideMark/>
          </w:tcPr>
          <w:p w14:paraId="67FC86CE" w14:textId="77777777" w:rsidR="006E7CA1" w:rsidRDefault="006E7CA1">
            <w:pPr>
              <w:jc w:val="right"/>
            </w:pPr>
            <w:r>
              <w:rPr>
                <w:rFonts w:ascii="宋体" w:hAnsi="宋体" w:hint="eastAsia"/>
                <w:szCs w:val="24"/>
                <w:lang w:eastAsia="zh-Hans"/>
              </w:rPr>
              <w:t>91.36</w:t>
            </w:r>
          </w:p>
        </w:tc>
      </w:tr>
      <w:tr w:rsidR="00696E54" w14:paraId="66EA8DE1" w14:textId="77777777">
        <w:trPr>
          <w:divId w:val="9949156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AFB0DEE" w14:textId="77777777" w:rsidR="006E7CA1" w:rsidRDefault="006E7CA1">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5C5216C9" w14:textId="77777777" w:rsidR="006E7CA1" w:rsidRDefault="006E7CA1">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41071E" w14:textId="77777777" w:rsidR="006E7CA1" w:rsidRDefault="006E7CA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DBAEB87" w14:textId="77777777" w:rsidR="006E7CA1" w:rsidRDefault="006E7CA1">
            <w:pPr>
              <w:jc w:val="right"/>
            </w:pPr>
            <w:r>
              <w:rPr>
                <w:rFonts w:ascii="宋体" w:hAnsi="宋体" w:hint="eastAsia"/>
                <w:szCs w:val="24"/>
                <w:lang w:eastAsia="zh-Hans"/>
              </w:rPr>
              <w:t>-</w:t>
            </w:r>
          </w:p>
        </w:tc>
      </w:tr>
      <w:tr w:rsidR="00696E54" w14:paraId="19BBE5C5" w14:textId="77777777">
        <w:trPr>
          <w:divId w:val="9949156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51E9E6" w14:textId="77777777" w:rsidR="006E7CA1" w:rsidRDefault="006E7CA1">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1486EB62" w14:textId="77777777" w:rsidR="006E7CA1" w:rsidRDefault="006E7CA1">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00C561" w14:textId="77777777" w:rsidR="006E7CA1" w:rsidRDefault="006E7CA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3A0C540" w14:textId="77777777" w:rsidR="006E7CA1" w:rsidRDefault="006E7CA1">
            <w:pPr>
              <w:jc w:val="right"/>
            </w:pPr>
            <w:r>
              <w:rPr>
                <w:rFonts w:ascii="宋体" w:hAnsi="宋体" w:hint="eastAsia"/>
                <w:szCs w:val="24"/>
                <w:lang w:eastAsia="zh-Hans"/>
              </w:rPr>
              <w:t>-</w:t>
            </w:r>
          </w:p>
        </w:tc>
      </w:tr>
      <w:tr w:rsidR="00696E54" w14:paraId="1D95FDAA" w14:textId="77777777">
        <w:trPr>
          <w:divId w:val="9949156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86A6EE9" w14:textId="77777777" w:rsidR="006E7CA1" w:rsidRDefault="006E7CA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62DD144" w14:textId="77777777" w:rsidR="006E7CA1" w:rsidRDefault="006E7CA1">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6C1D168" w14:textId="77777777" w:rsidR="006E7CA1" w:rsidRDefault="006E7CA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48B42FE" w14:textId="77777777" w:rsidR="006E7CA1" w:rsidRDefault="006E7CA1">
            <w:pPr>
              <w:jc w:val="right"/>
            </w:pPr>
            <w:r>
              <w:rPr>
                <w:rFonts w:ascii="宋体" w:hAnsi="宋体" w:hint="eastAsia"/>
                <w:szCs w:val="24"/>
                <w:lang w:eastAsia="zh-Hans"/>
              </w:rPr>
              <w:t>-</w:t>
            </w:r>
          </w:p>
        </w:tc>
      </w:tr>
      <w:tr w:rsidR="00696E54" w14:paraId="2D928EF3" w14:textId="77777777">
        <w:trPr>
          <w:divId w:val="9949156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E31321C" w14:textId="77777777" w:rsidR="006E7CA1" w:rsidRDefault="006E7CA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05C1D5C" w14:textId="77777777" w:rsidR="006E7CA1" w:rsidRDefault="006E7CA1">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DF2D4F" w14:textId="77777777" w:rsidR="006E7CA1" w:rsidRDefault="006E7CA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4DA1634" w14:textId="77777777" w:rsidR="006E7CA1" w:rsidRDefault="006E7CA1">
            <w:pPr>
              <w:jc w:val="right"/>
            </w:pPr>
            <w:r>
              <w:rPr>
                <w:rFonts w:ascii="宋体" w:hAnsi="宋体" w:hint="eastAsia"/>
                <w:szCs w:val="24"/>
                <w:lang w:eastAsia="zh-Hans"/>
              </w:rPr>
              <w:t>-</w:t>
            </w:r>
          </w:p>
        </w:tc>
      </w:tr>
      <w:tr w:rsidR="00696E54" w14:paraId="2A42F0D4" w14:textId="77777777">
        <w:trPr>
          <w:divId w:val="9949156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A82D3BF" w14:textId="77777777" w:rsidR="006E7CA1" w:rsidRDefault="006E7CA1">
            <w:pPr>
              <w:jc w:val="center"/>
            </w:pPr>
            <w:r>
              <w:rPr>
                <w:rFonts w:ascii="宋体" w:hAnsi="宋体" w:hint="eastAsia"/>
                <w:color w:val="000000"/>
                <w:lang w:eastAsia="zh-Hans"/>
              </w:rPr>
              <w:lastRenderedPageBreak/>
              <w:t>4</w:t>
            </w:r>
          </w:p>
        </w:tc>
        <w:tc>
          <w:tcPr>
            <w:tcW w:w="1979" w:type="pct"/>
            <w:tcBorders>
              <w:top w:val="single" w:sz="4" w:space="0" w:color="auto"/>
              <w:left w:val="nil"/>
              <w:bottom w:val="single" w:sz="4" w:space="0" w:color="auto"/>
              <w:right w:val="single" w:sz="4" w:space="0" w:color="auto"/>
            </w:tcBorders>
            <w:vAlign w:val="center"/>
            <w:hideMark/>
          </w:tcPr>
          <w:p w14:paraId="38022D90" w14:textId="77777777" w:rsidR="006E7CA1" w:rsidRDefault="006E7CA1">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69ACBB9" w14:textId="77777777" w:rsidR="006E7CA1" w:rsidRDefault="006E7CA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B864CF4" w14:textId="77777777" w:rsidR="006E7CA1" w:rsidRDefault="006E7CA1">
            <w:pPr>
              <w:jc w:val="right"/>
            </w:pPr>
            <w:r>
              <w:rPr>
                <w:rFonts w:ascii="宋体" w:hAnsi="宋体" w:hint="eastAsia"/>
                <w:szCs w:val="24"/>
                <w:lang w:eastAsia="zh-Hans"/>
              </w:rPr>
              <w:t>-</w:t>
            </w:r>
          </w:p>
        </w:tc>
      </w:tr>
      <w:tr w:rsidR="00696E54" w14:paraId="1D53C0EB" w14:textId="77777777">
        <w:trPr>
          <w:divId w:val="9949156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51DB3BB" w14:textId="77777777" w:rsidR="006E7CA1" w:rsidRDefault="006E7CA1">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3F84E80C" w14:textId="77777777" w:rsidR="006E7CA1" w:rsidRDefault="006E7CA1">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C6E967" w14:textId="77777777" w:rsidR="006E7CA1" w:rsidRDefault="006E7CA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1F4F47A" w14:textId="77777777" w:rsidR="006E7CA1" w:rsidRDefault="006E7CA1">
            <w:pPr>
              <w:jc w:val="right"/>
            </w:pPr>
            <w:r>
              <w:rPr>
                <w:rFonts w:ascii="宋体" w:hAnsi="宋体" w:hint="eastAsia"/>
                <w:szCs w:val="24"/>
                <w:lang w:eastAsia="zh-Hans"/>
              </w:rPr>
              <w:t>-</w:t>
            </w:r>
          </w:p>
        </w:tc>
      </w:tr>
      <w:tr w:rsidR="00696E54" w14:paraId="56583983" w14:textId="77777777">
        <w:trPr>
          <w:divId w:val="9949156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11CAD9F" w14:textId="77777777" w:rsidR="006E7CA1" w:rsidRDefault="006E7CA1">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343D73B8" w14:textId="77777777" w:rsidR="006E7CA1" w:rsidRDefault="006E7CA1">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8D3435" w14:textId="77777777" w:rsidR="006E7CA1" w:rsidRDefault="006E7CA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818B158" w14:textId="77777777" w:rsidR="006E7CA1" w:rsidRDefault="006E7CA1">
            <w:pPr>
              <w:jc w:val="right"/>
            </w:pPr>
            <w:r>
              <w:rPr>
                <w:rFonts w:ascii="宋体" w:hAnsi="宋体" w:hint="eastAsia"/>
                <w:szCs w:val="24"/>
                <w:lang w:eastAsia="zh-Hans"/>
              </w:rPr>
              <w:t>-</w:t>
            </w:r>
          </w:p>
        </w:tc>
      </w:tr>
      <w:tr w:rsidR="00696E54" w14:paraId="2866263A" w14:textId="77777777">
        <w:trPr>
          <w:divId w:val="9949156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1A32771" w14:textId="77777777" w:rsidR="006E7CA1" w:rsidRDefault="006E7CA1">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B2CCD27" w14:textId="77777777" w:rsidR="006E7CA1" w:rsidRDefault="006E7CA1">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0C7265D" w14:textId="77777777" w:rsidR="006E7CA1" w:rsidRDefault="006E7CA1">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317856B" w14:textId="77777777" w:rsidR="006E7CA1" w:rsidRDefault="006E7CA1">
            <w:pPr>
              <w:jc w:val="right"/>
            </w:pPr>
            <w:r>
              <w:rPr>
                <w:rFonts w:ascii="宋体" w:hAnsi="宋体" w:hint="eastAsia"/>
                <w:szCs w:val="24"/>
                <w:lang w:eastAsia="zh-Hans"/>
              </w:rPr>
              <w:t>-</w:t>
            </w:r>
          </w:p>
        </w:tc>
      </w:tr>
      <w:tr w:rsidR="00696E54" w14:paraId="3406DB3B" w14:textId="77777777">
        <w:trPr>
          <w:divId w:val="9949156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1D53611" w14:textId="77777777" w:rsidR="006E7CA1" w:rsidRDefault="006E7CA1">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1B881075" w14:textId="77777777" w:rsidR="006E7CA1" w:rsidRDefault="006E7CA1">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DEC09BB" w14:textId="77777777" w:rsidR="006E7CA1" w:rsidRDefault="006E7CA1">
            <w:pPr>
              <w:jc w:val="right"/>
            </w:pPr>
            <w:r>
              <w:rPr>
                <w:rFonts w:ascii="宋体" w:hAnsi="宋体" w:hint="eastAsia"/>
                <w:szCs w:val="24"/>
                <w:lang w:eastAsia="zh-Hans"/>
              </w:rPr>
              <w:t>1,261,876.79</w:t>
            </w:r>
          </w:p>
        </w:tc>
        <w:tc>
          <w:tcPr>
            <w:tcW w:w="1333" w:type="pct"/>
            <w:tcBorders>
              <w:top w:val="single" w:sz="4" w:space="0" w:color="auto"/>
              <w:left w:val="nil"/>
              <w:bottom w:val="single" w:sz="4" w:space="0" w:color="auto"/>
              <w:right w:val="single" w:sz="4" w:space="0" w:color="auto"/>
            </w:tcBorders>
            <w:vAlign w:val="center"/>
            <w:hideMark/>
          </w:tcPr>
          <w:p w14:paraId="733E31BB" w14:textId="77777777" w:rsidR="006E7CA1" w:rsidRDefault="006E7CA1">
            <w:pPr>
              <w:jc w:val="right"/>
            </w:pPr>
            <w:r>
              <w:rPr>
                <w:rFonts w:ascii="宋体" w:hAnsi="宋体" w:hint="eastAsia"/>
                <w:szCs w:val="24"/>
                <w:lang w:eastAsia="zh-Hans"/>
              </w:rPr>
              <w:t>7.22</w:t>
            </w:r>
          </w:p>
        </w:tc>
      </w:tr>
      <w:tr w:rsidR="00696E54" w14:paraId="014D118C" w14:textId="77777777">
        <w:trPr>
          <w:divId w:val="9949156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6152980" w14:textId="77777777" w:rsidR="006E7CA1" w:rsidRDefault="006E7CA1">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4E5B66A" w14:textId="77777777" w:rsidR="006E7CA1" w:rsidRDefault="006E7CA1">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93F313" w14:textId="77777777" w:rsidR="006E7CA1" w:rsidRDefault="006E7CA1">
            <w:pPr>
              <w:jc w:val="right"/>
            </w:pPr>
            <w:r>
              <w:rPr>
                <w:rFonts w:ascii="宋体" w:hAnsi="宋体" w:hint="eastAsia"/>
                <w:szCs w:val="24"/>
                <w:lang w:eastAsia="zh-Hans"/>
              </w:rPr>
              <w:t>248,439.45</w:t>
            </w:r>
          </w:p>
        </w:tc>
        <w:tc>
          <w:tcPr>
            <w:tcW w:w="1333" w:type="pct"/>
            <w:tcBorders>
              <w:top w:val="single" w:sz="4" w:space="0" w:color="auto"/>
              <w:left w:val="nil"/>
              <w:bottom w:val="single" w:sz="4" w:space="0" w:color="auto"/>
              <w:right w:val="single" w:sz="4" w:space="0" w:color="auto"/>
            </w:tcBorders>
            <w:vAlign w:val="center"/>
            <w:hideMark/>
          </w:tcPr>
          <w:p w14:paraId="65E0EF66" w14:textId="77777777" w:rsidR="006E7CA1" w:rsidRDefault="006E7CA1">
            <w:pPr>
              <w:jc w:val="right"/>
            </w:pPr>
            <w:r>
              <w:rPr>
                <w:rFonts w:ascii="宋体" w:hAnsi="宋体" w:hint="eastAsia"/>
                <w:szCs w:val="24"/>
                <w:lang w:eastAsia="zh-Hans"/>
              </w:rPr>
              <w:t>1.42</w:t>
            </w:r>
          </w:p>
        </w:tc>
      </w:tr>
      <w:tr w:rsidR="00696E54" w14:paraId="50907C18" w14:textId="77777777">
        <w:trPr>
          <w:divId w:val="9949156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4A6D425" w14:textId="77777777" w:rsidR="006E7CA1" w:rsidRDefault="006E7CA1">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F255055" w14:textId="77777777" w:rsidR="006E7CA1" w:rsidRDefault="006E7CA1">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879764" w14:textId="77777777" w:rsidR="006E7CA1" w:rsidRDefault="006E7CA1">
            <w:pPr>
              <w:jc w:val="right"/>
            </w:pPr>
            <w:r>
              <w:rPr>
                <w:rFonts w:ascii="宋体" w:hAnsi="宋体" w:hint="eastAsia"/>
                <w:szCs w:val="24"/>
                <w:lang w:eastAsia="zh-Hans"/>
              </w:rPr>
              <w:t>17,483,352.18</w:t>
            </w:r>
          </w:p>
        </w:tc>
        <w:tc>
          <w:tcPr>
            <w:tcW w:w="1333" w:type="pct"/>
            <w:tcBorders>
              <w:top w:val="single" w:sz="4" w:space="0" w:color="auto"/>
              <w:left w:val="nil"/>
              <w:bottom w:val="single" w:sz="4" w:space="0" w:color="auto"/>
              <w:right w:val="single" w:sz="4" w:space="0" w:color="auto"/>
            </w:tcBorders>
            <w:vAlign w:val="center"/>
            <w:hideMark/>
          </w:tcPr>
          <w:p w14:paraId="5DC7AEF9" w14:textId="77777777" w:rsidR="006E7CA1" w:rsidRDefault="006E7CA1">
            <w:pPr>
              <w:jc w:val="right"/>
            </w:pPr>
            <w:r>
              <w:rPr>
                <w:rFonts w:ascii="宋体" w:hAnsi="宋体" w:hint="eastAsia"/>
                <w:szCs w:val="24"/>
                <w:lang w:eastAsia="zh-Hans"/>
              </w:rPr>
              <w:t>100.00</w:t>
            </w:r>
          </w:p>
        </w:tc>
      </w:tr>
    </w:tbl>
    <w:p w14:paraId="51F5854D" w14:textId="77777777" w:rsidR="006E7CA1" w:rsidRDefault="006E7CA1">
      <w:pPr>
        <w:spacing w:line="360" w:lineRule="auto"/>
        <w:jc w:val="left"/>
        <w:divId w:val="336344175"/>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机制投资的港股公允价值为人民币4,958,125.38元,占期末净值比例为28.42%。</w:t>
      </w:r>
    </w:p>
    <w:p w14:paraId="5307B9FB" w14:textId="77777777" w:rsidR="006E7CA1" w:rsidRDefault="006E7CA1">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6A76B84F" w14:textId="77777777" w:rsidR="006E7CA1" w:rsidRDefault="006E7CA1">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696E54" w14:paraId="67247B37" w14:textId="77777777">
        <w:trPr>
          <w:divId w:val="601378927"/>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7899EA4" w14:textId="77777777" w:rsidR="006E7CA1" w:rsidRDefault="006E7CA1">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2597E1A8" w14:textId="77777777" w:rsidR="006E7CA1" w:rsidRDefault="006E7CA1">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4EB8A8F8" w14:textId="77777777" w:rsidR="006E7CA1" w:rsidRDefault="006E7CA1">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1D37221D" w14:textId="77777777" w:rsidR="006E7CA1" w:rsidRDefault="006E7CA1">
            <w:pPr>
              <w:jc w:val="center"/>
            </w:pPr>
            <w:r>
              <w:rPr>
                <w:rFonts w:ascii="宋体" w:hAnsi="宋体" w:hint="eastAsia"/>
                <w:color w:val="000000"/>
              </w:rPr>
              <w:t xml:space="preserve">占基金资产净值比例（%） </w:t>
            </w:r>
          </w:p>
        </w:tc>
      </w:tr>
      <w:tr w:rsidR="00696E54" w14:paraId="370E904E"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97CE29" w14:textId="77777777" w:rsidR="006E7CA1" w:rsidRDefault="006E7CA1">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CCEB49" w14:textId="77777777" w:rsidR="006E7CA1" w:rsidRDefault="006E7CA1">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6B3B0B" w14:textId="77777777" w:rsidR="006E7CA1" w:rsidRDefault="006E7CA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C4E192" w14:textId="77777777" w:rsidR="006E7CA1" w:rsidRDefault="006E7CA1">
            <w:pPr>
              <w:jc w:val="right"/>
            </w:pPr>
            <w:r>
              <w:rPr>
                <w:rFonts w:ascii="宋体" w:hAnsi="宋体" w:hint="eastAsia"/>
                <w:szCs w:val="24"/>
                <w:lang w:eastAsia="zh-Hans"/>
              </w:rPr>
              <w:t>-</w:t>
            </w:r>
          </w:p>
        </w:tc>
      </w:tr>
      <w:tr w:rsidR="00696E54" w14:paraId="43F176CF"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C2DA40" w14:textId="77777777" w:rsidR="006E7CA1" w:rsidRDefault="006E7CA1">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3BA1E5" w14:textId="77777777" w:rsidR="006E7CA1" w:rsidRDefault="006E7CA1">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4BE7D19" w14:textId="77777777" w:rsidR="006E7CA1" w:rsidRDefault="006E7CA1">
            <w:pPr>
              <w:jc w:val="right"/>
            </w:pPr>
            <w:r>
              <w:rPr>
                <w:rFonts w:ascii="宋体" w:hAnsi="宋体" w:hint="eastAsia"/>
                <w:szCs w:val="24"/>
                <w:lang w:eastAsia="zh-Hans"/>
              </w:rPr>
              <w:t>973,956.00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AD1F6AF" w14:textId="77777777" w:rsidR="006E7CA1" w:rsidRDefault="006E7CA1">
            <w:pPr>
              <w:jc w:val="right"/>
            </w:pPr>
            <w:r>
              <w:rPr>
                <w:rFonts w:ascii="宋体" w:hAnsi="宋体" w:hint="eastAsia"/>
                <w:szCs w:val="24"/>
                <w:lang w:eastAsia="zh-Hans"/>
              </w:rPr>
              <w:t>5.58</w:t>
            </w:r>
          </w:p>
        </w:tc>
      </w:tr>
      <w:tr w:rsidR="00696E54" w14:paraId="6FFA9D66"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167B7DF" w14:textId="77777777" w:rsidR="006E7CA1" w:rsidRDefault="006E7CA1">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305A33B" w14:textId="77777777" w:rsidR="006E7CA1" w:rsidRDefault="006E7CA1">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A53D145" w14:textId="77777777" w:rsidR="006E7CA1" w:rsidRDefault="006E7CA1">
            <w:pPr>
              <w:jc w:val="right"/>
            </w:pPr>
            <w:r>
              <w:rPr>
                <w:rFonts w:ascii="宋体" w:hAnsi="宋体" w:hint="eastAsia"/>
                <w:szCs w:val="24"/>
                <w:lang w:eastAsia="zh-Hans"/>
              </w:rPr>
              <w:t>9,700,888.26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C901ECD" w14:textId="77777777" w:rsidR="006E7CA1" w:rsidRDefault="006E7CA1">
            <w:pPr>
              <w:jc w:val="right"/>
            </w:pPr>
            <w:r>
              <w:rPr>
                <w:rFonts w:ascii="宋体" w:hAnsi="宋体" w:hint="eastAsia"/>
                <w:szCs w:val="24"/>
                <w:lang w:eastAsia="zh-Hans"/>
              </w:rPr>
              <w:t>55.61</w:t>
            </w:r>
          </w:p>
        </w:tc>
      </w:tr>
      <w:tr w:rsidR="00696E54" w14:paraId="0B87DE97"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C7546DD" w14:textId="77777777" w:rsidR="006E7CA1" w:rsidRDefault="006E7CA1">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A2C9362" w14:textId="77777777" w:rsidR="006E7CA1" w:rsidRDefault="006E7CA1">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B1EDD42" w14:textId="77777777" w:rsidR="006E7CA1" w:rsidRDefault="006E7CA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A1B11D4" w14:textId="77777777" w:rsidR="006E7CA1" w:rsidRDefault="006E7CA1">
            <w:pPr>
              <w:jc w:val="right"/>
            </w:pPr>
            <w:r>
              <w:rPr>
                <w:rFonts w:ascii="宋体" w:hAnsi="宋体" w:hint="eastAsia"/>
                <w:szCs w:val="24"/>
                <w:lang w:eastAsia="zh-Hans"/>
              </w:rPr>
              <w:t>-</w:t>
            </w:r>
          </w:p>
        </w:tc>
      </w:tr>
      <w:tr w:rsidR="00696E54" w14:paraId="0FC64341"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7301E5" w14:textId="77777777" w:rsidR="006E7CA1" w:rsidRDefault="006E7CA1">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51CB37D" w14:textId="77777777" w:rsidR="006E7CA1" w:rsidRDefault="006E7CA1">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91EA1A5" w14:textId="77777777" w:rsidR="006E7CA1" w:rsidRDefault="006E7CA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72C0B9D" w14:textId="77777777" w:rsidR="006E7CA1" w:rsidRDefault="006E7CA1">
            <w:pPr>
              <w:jc w:val="right"/>
            </w:pPr>
            <w:r>
              <w:rPr>
                <w:rFonts w:ascii="宋体" w:hAnsi="宋体" w:hint="eastAsia"/>
                <w:szCs w:val="24"/>
                <w:lang w:eastAsia="zh-Hans"/>
              </w:rPr>
              <w:t>-</w:t>
            </w:r>
          </w:p>
        </w:tc>
      </w:tr>
      <w:tr w:rsidR="00696E54" w14:paraId="2813611F"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40ED773" w14:textId="77777777" w:rsidR="006E7CA1" w:rsidRDefault="006E7CA1">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86C3185" w14:textId="77777777" w:rsidR="006E7CA1" w:rsidRDefault="006E7CA1">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B46D85" w14:textId="77777777" w:rsidR="006E7CA1" w:rsidRDefault="006E7CA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9DA559D" w14:textId="77777777" w:rsidR="006E7CA1" w:rsidRDefault="006E7CA1">
            <w:pPr>
              <w:jc w:val="right"/>
            </w:pPr>
            <w:r>
              <w:rPr>
                <w:rFonts w:ascii="宋体" w:hAnsi="宋体" w:hint="eastAsia"/>
                <w:szCs w:val="24"/>
                <w:lang w:eastAsia="zh-Hans"/>
              </w:rPr>
              <w:t>-</w:t>
            </w:r>
          </w:p>
        </w:tc>
      </w:tr>
      <w:tr w:rsidR="00696E54" w14:paraId="30636D5E"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A81AA1F" w14:textId="77777777" w:rsidR="006E7CA1" w:rsidRDefault="006E7CA1">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682228" w14:textId="77777777" w:rsidR="006E7CA1" w:rsidRDefault="006E7CA1">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4F32987" w14:textId="77777777" w:rsidR="006E7CA1" w:rsidRDefault="006E7CA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8D0773" w14:textId="77777777" w:rsidR="006E7CA1" w:rsidRDefault="006E7CA1">
            <w:pPr>
              <w:jc w:val="right"/>
            </w:pPr>
            <w:r>
              <w:rPr>
                <w:rFonts w:ascii="宋体" w:hAnsi="宋体" w:hint="eastAsia"/>
                <w:szCs w:val="24"/>
                <w:lang w:eastAsia="zh-Hans"/>
              </w:rPr>
              <w:t>-</w:t>
            </w:r>
          </w:p>
        </w:tc>
      </w:tr>
      <w:tr w:rsidR="00696E54" w14:paraId="19FB552A"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1677787" w14:textId="77777777" w:rsidR="006E7CA1" w:rsidRDefault="006E7CA1">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96161B7" w14:textId="77777777" w:rsidR="006E7CA1" w:rsidRDefault="006E7CA1">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EE8412" w14:textId="77777777" w:rsidR="006E7CA1" w:rsidRDefault="006E7CA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44D712B" w14:textId="77777777" w:rsidR="006E7CA1" w:rsidRDefault="006E7CA1">
            <w:pPr>
              <w:jc w:val="right"/>
            </w:pPr>
            <w:r>
              <w:rPr>
                <w:rFonts w:ascii="宋体" w:hAnsi="宋体" w:hint="eastAsia"/>
                <w:szCs w:val="24"/>
                <w:lang w:eastAsia="zh-Hans"/>
              </w:rPr>
              <w:t>-</w:t>
            </w:r>
          </w:p>
        </w:tc>
      </w:tr>
      <w:tr w:rsidR="00696E54" w14:paraId="24A4025E"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9FEFE3A" w14:textId="77777777" w:rsidR="006E7CA1" w:rsidRDefault="006E7CA1">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66BEC56" w14:textId="77777777" w:rsidR="006E7CA1" w:rsidRDefault="006E7CA1">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5565CFC" w14:textId="77777777" w:rsidR="006E7CA1" w:rsidRDefault="006E7CA1">
            <w:pPr>
              <w:jc w:val="right"/>
            </w:pPr>
            <w:r>
              <w:rPr>
                <w:rFonts w:ascii="宋体" w:hAnsi="宋体" w:hint="eastAsia"/>
                <w:szCs w:val="24"/>
                <w:lang w:eastAsia="zh-Hans"/>
              </w:rPr>
              <w:t>340,066.30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D39FCCD" w14:textId="77777777" w:rsidR="006E7CA1" w:rsidRDefault="006E7CA1">
            <w:pPr>
              <w:jc w:val="right"/>
            </w:pPr>
            <w:r>
              <w:rPr>
                <w:rFonts w:ascii="宋体" w:hAnsi="宋体" w:hint="eastAsia"/>
                <w:szCs w:val="24"/>
                <w:lang w:eastAsia="zh-Hans"/>
              </w:rPr>
              <w:t>1.95</w:t>
            </w:r>
          </w:p>
        </w:tc>
      </w:tr>
      <w:tr w:rsidR="00696E54" w14:paraId="3CEF48F7"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FB84F9" w14:textId="77777777" w:rsidR="006E7CA1" w:rsidRDefault="006E7CA1">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6292078" w14:textId="77777777" w:rsidR="006E7CA1" w:rsidRDefault="006E7CA1">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2CF7788" w14:textId="77777777" w:rsidR="006E7CA1" w:rsidRDefault="006E7CA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C297160" w14:textId="77777777" w:rsidR="006E7CA1" w:rsidRDefault="006E7CA1">
            <w:pPr>
              <w:jc w:val="right"/>
            </w:pPr>
            <w:r>
              <w:rPr>
                <w:rFonts w:ascii="宋体" w:hAnsi="宋体" w:hint="eastAsia"/>
                <w:szCs w:val="24"/>
                <w:lang w:eastAsia="zh-Hans"/>
              </w:rPr>
              <w:t>-</w:t>
            </w:r>
          </w:p>
        </w:tc>
      </w:tr>
      <w:tr w:rsidR="00696E54" w14:paraId="3E68FA5C"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2CF0472" w14:textId="77777777" w:rsidR="006E7CA1" w:rsidRDefault="006E7CA1">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EA65A7" w14:textId="77777777" w:rsidR="006E7CA1" w:rsidRDefault="006E7CA1">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D4A8226" w14:textId="77777777" w:rsidR="006E7CA1" w:rsidRDefault="006E7CA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6FB46A" w14:textId="77777777" w:rsidR="006E7CA1" w:rsidRDefault="006E7CA1">
            <w:pPr>
              <w:jc w:val="right"/>
            </w:pPr>
            <w:r>
              <w:rPr>
                <w:rFonts w:ascii="宋体" w:hAnsi="宋体" w:hint="eastAsia"/>
                <w:szCs w:val="24"/>
                <w:lang w:eastAsia="zh-Hans"/>
              </w:rPr>
              <w:t>-</w:t>
            </w:r>
          </w:p>
        </w:tc>
      </w:tr>
      <w:tr w:rsidR="00696E54" w14:paraId="0B6AA1C8"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C596992" w14:textId="77777777" w:rsidR="006E7CA1" w:rsidRDefault="006E7CA1">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D33F12F" w14:textId="77777777" w:rsidR="006E7CA1" w:rsidRDefault="006E7CA1">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CB88E88" w14:textId="77777777" w:rsidR="006E7CA1" w:rsidRDefault="006E7CA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F40FE5A" w14:textId="77777777" w:rsidR="006E7CA1" w:rsidRDefault="006E7CA1">
            <w:pPr>
              <w:jc w:val="right"/>
            </w:pPr>
            <w:r>
              <w:rPr>
                <w:rFonts w:ascii="宋体" w:hAnsi="宋体" w:hint="eastAsia"/>
                <w:szCs w:val="24"/>
                <w:lang w:eastAsia="zh-Hans"/>
              </w:rPr>
              <w:t>-</w:t>
            </w:r>
          </w:p>
        </w:tc>
      </w:tr>
      <w:tr w:rsidR="00696E54" w14:paraId="3417C74A"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4CD3C64" w14:textId="77777777" w:rsidR="006E7CA1" w:rsidRDefault="006E7CA1">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928DCA" w14:textId="77777777" w:rsidR="006E7CA1" w:rsidRDefault="006E7CA1">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564079" w14:textId="77777777" w:rsidR="006E7CA1" w:rsidRDefault="006E7CA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4F41D60" w14:textId="77777777" w:rsidR="006E7CA1" w:rsidRDefault="006E7CA1">
            <w:pPr>
              <w:jc w:val="right"/>
            </w:pPr>
            <w:r>
              <w:rPr>
                <w:rFonts w:ascii="宋体" w:hAnsi="宋体" w:hint="eastAsia"/>
                <w:szCs w:val="24"/>
                <w:lang w:eastAsia="zh-Hans"/>
              </w:rPr>
              <w:t>-</w:t>
            </w:r>
          </w:p>
        </w:tc>
      </w:tr>
      <w:tr w:rsidR="00696E54" w14:paraId="5658C054"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F452C71" w14:textId="77777777" w:rsidR="006E7CA1" w:rsidRDefault="006E7CA1">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C69442" w14:textId="77777777" w:rsidR="006E7CA1" w:rsidRDefault="006E7CA1">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C32A46F" w14:textId="77777777" w:rsidR="006E7CA1" w:rsidRDefault="006E7CA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DB04EC" w14:textId="77777777" w:rsidR="006E7CA1" w:rsidRDefault="006E7CA1">
            <w:pPr>
              <w:jc w:val="right"/>
            </w:pPr>
            <w:r>
              <w:rPr>
                <w:rFonts w:ascii="宋体" w:hAnsi="宋体" w:hint="eastAsia"/>
                <w:szCs w:val="24"/>
                <w:lang w:eastAsia="zh-Hans"/>
              </w:rPr>
              <w:t>-</w:t>
            </w:r>
          </w:p>
        </w:tc>
      </w:tr>
      <w:tr w:rsidR="00696E54" w14:paraId="3303252E"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5D73441" w14:textId="77777777" w:rsidR="006E7CA1" w:rsidRDefault="006E7CA1">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BFC5E01" w14:textId="77777777" w:rsidR="006E7CA1" w:rsidRDefault="006E7CA1">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BAF35A4" w14:textId="77777777" w:rsidR="006E7CA1" w:rsidRDefault="006E7CA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A98FEB" w14:textId="77777777" w:rsidR="006E7CA1" w:rsidRDefault="006E7CA1">
            <w:pPr>
              <w:jc w:val="right"/>
            </w:pPr>
            <w:r>
              <w:rPr>
                <w:rFonts w:ascii="宋体" w:hAnsi="宋体" w:hint="eastAsia"/>
                <w:szCs w:val="24"/>
                <w:lang w:eastAsia="zh-Hans"/>
              </w:rPr>
              <w:t>-</w:t>
            </w:r>
          </w:p>
        </w:tc>
      </w:tr>
      <w:tr w:rsidR="00696E54" w14:paraId="57565933"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AB62477" w14:textId="77777777" w:rsidR="006E7CA1" w:rsidRDefault="006E7CA1">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8A19909" w14:textId="77777777" w:rsidR="006E7CA1" w:rsidRDefault="006E7CA1">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A78C3C3" w14:textId="77777777" w:rsidR="006E7CA1" w:rsidRDefault="006E7CA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FAF359" w14:textId="77777777" w:rsidR="006E7CA1" w:rsidRDefault="006E7CA1">
            <w:pPr>
              <w:jc w:val="right"/>
            </w:pPr>
            <w:r>
              <w:rPr>
                <w:rFonts w:ascii="宋体" w:hAnsi="宋体" w:hint="eastAsia"/>
                <w:szCs w:val="24"/>
                <w:lang w:eastAsia="zh-Hans"/>
              </w:rPr>
              <w:t>-</w:t>
            </w:r>
          </w:p>
        </w:tc>
      </w:tr>
      <w:tr w:rsidR="00696E54" w14:paraId="440C0E2A"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A8D863" w14:textId="77777777" w:rsidR="006E7CA1" w:rsidRDefault="006E7CA1">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6822628" w14:textId="77777777" w:rsidR="006E7CA1" w:rsidRDefault="006E7CA1">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9FE9E5B" w14:textId="77777777" w:rsidR="006E7CA1" w:rsidRDefault="006E7CA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80DCA05" w14:textId="77777777" w:rsidR="006E7CA1" w:rsidRDefault="006E7CA1">
            <w:pPr>
              <w:jc w:val="right"/>
            </w:pPr>
            <w:r>
              <w:rPr>
                <w:rFonts w:ascii="宋体" w:hAnsi="宋体" w:hint="eastAsia"/>
                <w:szCs w:val="24"/>
                <w:lang w:eastAsia="zh-Hans"/>
              </w:rPr>
              <w:t>-</w:t>
            </w:r>
          </w:p>
        </w:tc>
      </w:tr>
      <w:tr w:rsidR="00696E54" w14:paraId="455F8C2A"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D882DE9" w14:textId="77777777" w:rsidR="006E7CA1" w:rsidRDefault="006E7CA1">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561685" w14:textId="77777777" w:rsidR="006E7CA1" w:rsidRDefault="006E7CA1">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DAA9BBF" w14:textId="77777777" w:rsidR="006E7CA1" w:rsidRDefault="006E7CA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525C766" w14:textId="77777777" w:rsidR="006E7CA1" w:rsidRDefault="006E7CA1">
            <w:pPr>
              <w:jc w:val="right"/>
            </w:pPr>
            <w:r>
              <w:rPr>
                <w:rFonts w:ascii="宋体" w:hAnsi="宋体" w:hint="eastAsia"/>
                <w:szCs w:val="24"/>
                <w:lang w:eastAsia="zh-Hans"/>
              </w:rPr>
              <w:t>-</w:t>
            </w:r>
          </w:p>
        </w:tc>
      </w:tr>
      <w:tr w:rsidR="00696E54" w14:paraId="269E1F5D"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9107B0" w14:textId="77777777" w:rsidR="006E7CA1" w:rsidRDefault="006E7CA1">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FE0E260" w14:textId="77777777" w:rsidR="006E7CA1" w:rsidRDefault="006E7CA1">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1594508" w14:textId="77777777" w:rsidR="006E7CA1" w:rsidRDefault="006E7CA1">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BA1AAC" w14:textId="77777777" w:rsidR="006E7CA1" w:rsidRDefault="006E7CA1">
            <w:pPr>
              <w:jc w:val="right"/>
            </w:pPr>
            <w:r>
              <w:rPr>
                <w:rFonts w:ascii="宋体" w:hAnsi="宋体" w:hint="eastAsia"/>
                <w:szCs w:val="24"/>
                <w:lang w:eastAsia="zh-Hans"/>
              </w:rPr>
              <w:t>-</w:t>
            </w:r>
          </w:p>
        </w:tc>
      </w:tr>
      <w:tr w:rsidR="00696E54" w14:paraId="70135990" w14:textId="77777777">
        <w:trPr>
          <w:divId w:val="601378927"/>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B25F553" w14:textId="77777777" w:rsidR="006E7CA1" w:rsidRDefault="006E7CA1">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A413005" w14:textId="77777777" w:rsidR="006E7CA1" w:rsidRDefault="006E7CA1">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DBF280" w14:textId="77777777" w:rsidR="006E7CA1" w:rsidRDefault="006E7CA1">
            <w:pPr>
              <w:jc w:val="right"/>
            </w:pPr>
            <w:r>
              <w:rPr>
                <w:rFonts w:ascii="宋体" w:hAnsi="宋体" w:hint="eastAsia"/>
                <w:szCs w:val="24"/>
                <w:lang w:eastAsia="zh-Hans"/>
              </w:rPr>
              <w:t>11,014,910.56</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DF30BA9" w14:textId="77777777" w:rsidR="006E7CA1" w:rsidRDefault="006E7CA1">
            <w:pPr>
              <w:jc w:val="right"/>
            </w:pPr>
            <w:r>
              <w:rPr>
                <w:rFonts w:ascii="宋体" w:hAnsi="宋体" w:hint="eastAsia"/>
                <w:szCs w:val="24"/>
                <w:lang w:eastAsia="zh-Hans"/>
              </w:rPr>
              <w:t>63.14</w:t>
            </w:r>
          </w:p>
        </w:tc>
      </w:tr>
    </w:tbl>
    <w:p w14:paraId="315FDD3A" w14:textId="77777777" w:rsidR="006E7CA1" w:rsidRDefault="006E7CA1">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696E54" w14:paraId="1D586727" w14:textId="77777777">
        <w:trPr>
          <w:divId w:val="597056099"/>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5B6D3E9" w14:textId="77777777" w:rsidR="006E7CA1" w:rsidRDefault="006E7CA1">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1EC6352" w14:textId="77777777" w:rsidR="006E7CA1" w:rsidRDefault="006E7CA1">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4AAF3D1" w14:textId="77777777" w:rsidR="006E7CA1" w:rsidRDefault="006E7CA1">
            <w:pPr>
              <w:jc w:val="center"/>
            </w:pPr>
            <w:r>
              <w:rPr>
                <w:rFonts w:ascii="宋体" w:hAnsi="宋体" w:hint="eastAsia"/>
                <w:color w:val="000000"/>
              </w:rPr>
              <w:t xml:space="preserve">占基金资产净值比例（%） </w:t>
            </w:r>
          </w:p>
        </w:tc>
      </w:tr>
      <w:tr w:rsidR="00696E54" w14:paraId="42D47685" w14:textId="77777777">
        <w:trPr>
          <w:divId w:val="59705609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37A0EEB" w14:textId="77777777" w:rsidR="006E7CA1" w:rsidRDefault="006E7CA1">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C9B3FB6" w14:textId="77777777" w:rsidR="006E7CA1" w:rsidRDefault="006E7CA1">
            <w:pPr>
              <w:jc w:val="right"/>
            </w:pPr>
            <w:r>
              <w:rPr>
                <w:rFonts w:ascii="宋体" w:hAnsi="宋体" w:hint="eastAsia"/>
                <w:szCs w:val="24"/>
                <w:lang w:eastAsia="zh-Hans"/>
              </w:rPr>
              <w:t>1,134,325.87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AE80A00" w14:textId="77777777" w:rsidR="006E7CA1" w:rsidRDefault="006E7CA1">
            <w:pPr>
              <w:jc w:val="right"/>
            </w:pPr>
            <w:r>
              <w:rPr>
                <w:rFonts w:ascii="宋体" w:hAnsi="宋体" w:hint="eastAsia"/>
                <w:szCs w:val="24"/>
                <w:lang w:eastAsia="zh-Hans"/>
              </w:rPr>
              <w:t>6.50</w:t>
            </w:r>
          </w:p>
        </w:tc>
      </w:tr>
      <w:tr w:rsidR="00696E54" w14:paraId="656AEEC4" w14:textId="77777777">
        <w:trPr>
          <w:divId w:val="59705609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BD3A1F5" w14:textId="77777777" w:rsidR="006E7CA1" w:rsidRDefault="006E7CA1">
            <w:pPr>
              <w:jc w:val="left"/>
            </w:pPr>
            <w:r>
              <w:rPr>
                <w:rFonts w:ascii="宋体" w:hAnsi="宋体" w:hint="eastAsia"/>
                <w:szCs w:val="24"/>
                <w:lang w:eastAsia="zh-Hans"/>
              </w:rPr>
              <w:lastRenderedPageBreak/>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0F92572" w14:textId="77777777" w:rsidR="006E7CA1" w:rsidRDefault="006E7CA1">
            <w:pPr>
              <w:jc w:val="right"/>
            </w:pPr>
            <w:r>
              <w:rPr>
                <w:rFonts w:ascii="宋体" w:hAnsi="宋体" w:hint="eastAsia"/>
                <w:szCs w:val="24"/>
                <w:lang w:eastAsia="zh-Hans"/>
              </w:rPr>
              <w:t>1,874,758.02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11E608D" w14:textId="77777777" w:rsidR="006E7CA1" w:rsidRDefault="006E7CA1">
            <w:pPr>
              <w:jc w:val="right"/>
            </w:pPr>
            <w:r>
              <w:rPr>
                <w:rFonts w:ascii="宋体" w:hAnsi="宋体" w:hint="eastAsia"/>
                <w:szCs w:val="24"/>
                <w:lang w:eastAsia="zh-Hans"/>
              </w:rPr>
              <w:t>10.75</w:t>
            </w:r>
          </w:p>
        </w:tc>
      </w:tr>
      <w:tr w:rsidR="00696E54" w14:paraId="23F1D8CF" w14:textId="77777777">
        <w:trPr>
          <w:divId w:val="59705609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256C479" w14:textId="77777777" w:rsidR="006E7CA1" w:rsidRDefault="006E7CA1">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5BC25AE" w14:textId="77777777" w:rsidR="006E7CA1" w:rsidRDefault="006E7CA1">
            <w:pPr>
              <w:jc w:val="right"/>
            </w:pPr>
            <w:r>
              <w:rPr>
                <w:rFonts w:ascii="宋体" w:hAnsi="宋体" w:hint="eastAsia"/>
                <w:szCs w:val="24"/>
                <w:lang w:eastAsia="zh-Hans"/>
              </w:rPr>
              <w:t>226,388.38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DFE683D" w14:textId="77777777" w:rsidR="006E7CA1" w:rsidRDefault="006E7CA1">
            <w:pPr>
              <w:jc w:val="right"/>
            </w:pPr>
            <w:r>
              <w:rPr>
                <w:rFonts w:ascii="宋体" w:hAnsi="宋体" w:hint="eastAsia"/>
                <w:szCs w:val="24"/>
                <w:lang w:eastAsia="zh-Hans"/>
              </w:rPr>
              <w:t>1.30</w:t>
            </w:r>
          </w:p>
        </w:tc>
      </w:tr>
      <w:tr w:rsidR="00696E54" w14:paraId="05ACBEBA" w14:textId="77777777">
        <w:trPr>
          <w:divId w:val="59705609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0173F5D" w14:textId="77777777" w:rsidR="006E7CA1" w:rsidRDefault="006E7CA1">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6E6952B" w14:textId="77777777" w:rsidR="006E7CA1" w:rsidRDefault="006E7CA1">
            <w:pPr>
              <w:jc w:val="right"/>
            </w:pPr>
            <w:r>
              <w:rPr>
                <w:rFonts w:ascii="宋体" w:hAnsi="宋体" w:hint="eastAsia"/>
                <w:szCs w:val="24"/>
                <w:lang w:eastAsia="zh-Hans"/>
              </w:rPr>
              <w:t>355,140.15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6F59047" w14:textId="77777777" w:rsidR="006E7CA1" w:rsidRDefault="006E7CA1">
            <w:pPr>
              <w:jc w:val="right"/>
            </w:pPr>
            <w:r>
              <w:rPr>
                <w:rFonts w:ascii="宋体" w:hAnsi="宋体" w:hint="eastAsia"/>
                <w:szCs w:val="24"/>
                <w:lang w:eastAsia="zh-Hans"/>
              </w:rPr>
              <w:t>2.04</w:t>
            </w:r>
          </w:p>
        </w:tc>
      </w:tr>
      <w:tr w:rsidR="00696E54" w14:paraId="575CF386" w14:textId="77777777">
        <w:trPr>
          <w:divId w:val="59705609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F1D8B42" w14:textId="77777777" w:rsidR="006E7CA1" w:rsidRDefault="006E7CA1">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B744AD4" w14:textId="77777777" w:rsidR="006E7CA1" w:rsidRDefault="006E7CA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7677769" w14:textId="77777777" w:rsidR="006E7CA1" w:rsidRDefault="006E7CA1">
            <w:pPr>
              <w:jc w:val="right"/>
            </w:pPr>
            <w:r>
              <w:rPr>
                <w:rFonts w:ascii="宋体" w:hAnsi="宋体" w:hint="eastAsia"/>
                <w:szCs w:val="24"/>
                <w:lang w:eastAsia="zh-Hans"/>
              </w:rPr>
              <w:t>-</w:t>
            </w:r>
          </w:p>
        </w:tc>
      </w:tr>
      <w:tr w:rsidR="00696E54" w14:paraId="78542589" w14:textId="77777777">
        <w:trPr>
          <w:divId w:val="59705609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3F7499A" w14:textId="77777777" w:rsidR="006E7CA1" w:rsidRDefault="006E7CA1">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0CF5E54" w14:textId="77777777" w:rsidR="006E7CA1" w:rsidRDefault="006E7CA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E629E00" w14:textId="77777777" w:rsidR="006E7CA1" w:rsidRDefault="006E7CA1">
            <w:pPr>
              <w:jc w:val="right"/>
            </w:pPr>
            <w:r>
              <w:rPr>
                <w:rFonts w:ascii="宋体" w:hAnsi="宋体" w:hint="eastAsia"/>
                <w:szCs w:val="24"/>
                <w:lang w:eastAsia="zh-Hans"/>
              </w:rPr>
              <w:t>-</w:t>
            </w:r>
          </w:p>
        </w:tc>
      </w:tr>
      <w:tr w:rsidR="00696E54" w14:paraId="28EB0D9A" w14:textId="77777777">
        <w:trPr>
          <w:divId w:val="59705609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F30FA2C" w14:textId="77777777" w:rsidR="006E7CA1" w:rsidRDefault="006E7CA1">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4FA3823" w14:textId="77777777" w:rsidR="006E7CA1" w:rsidRDefault="006E7CA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E485B80" w14:textId="77777777" w:rsidR="006E7CA1" w:rsidRDefault="006E7CA1">
            <w:pPr>
              <w:jc w:val="right"/>
            </w:pPr>
            <w:r>
              <w:rPr>
                <w:rFonts w:ascii="宋体" w:hAnsi="宋体" w:hint="eastAsia"/>
                <w:szCs w:val="24"/>
                <w:lang w:eastAsia="zh-Hans"/>
              </w:rPr>
              <w:t>-</w:t>
            </w:r>
          </w:p>
        </w:tc>
      </w:tr>
      <w:tr w:rsidR="00696E54" w14:paraId="7F58FFC1" w14:textId="77777777">
        <w:trPr>
          <w:divId w:val="59705609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C758717" w14:textId="77777777" w:rsidR="006E7CA1" w:rsidRDefault="006E7CA1">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3CC5566" w14:textId="77777777" w:rsidR="006E7CA1" w:rsidRDefault="006E7CA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0F4EDF0" w14:textId="77777777" w:rsidR="006E7CA1" w:rsidRDefault="006E7CA1">
            <w:pPr>
              <w:jc w:val="right"/>
            </w:pPr>
            <w:r>
              <w:rPr>
                <w:rFonts w:ascii="宋体" w:hAnsi="宋体" w:hint="eastAsia"/>
                <w:szCs w:val="24"/>
                <w:lang w:eastAsia="zh-Hans"/>
              </w:rPr>
              <w:t>-</w:t>
            </w:r>
          </w:p>
        </w:tc>
      </w:tr>
      <w:tr w:rsidR="00696E54" w14:paraId="3E3AE284" w14:textId="77777777">
        <w:trPr>
          <w:divId w:val="59705609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4587ACA" w14:textId="77777777" w:rsidR="006E7CA1" w:rsidRDefault="006E7CA1">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16B4B9C" w14:textId="77777777" w:rsidR="006E7CA1" w:rsidRDefault="006E7CA1">
            <w:pPr>
              <w:jc w:val="right"/>
            </w:pPr>
            <w:r>
              <w:rPr>
                <w:rFonts w:ascii="宋体" w:hAnsi="宋体" w:hint="eastAsia"/>
                <w:szCs w:val="24"/>
                <w:lang w:eastAsia="zh-Hans"/>
              </w:rPr>
              <w:t>1,367,512.96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C406A4D" w14:textId="77777777" w:rsidR="006E7CA1" w:rsidRDefault="006E7CA1">
            <w:pPr>
              <w:jc w:val="right"/>
            </w:pPr>
            <w:r>
              <w:rPr>
                <w:rFonts w:ascii="宋体" w:hAnsi="宋体" w:hint="eastAsia"/>
                <w:szCs w:val="24"/>
                <w:lang w:eastAsia="zh-Hans"/>
              </w:rPr>
              <w:t>7.84</w:t>
            </w:r>
          </w:p>
        </w:tc>
      </w:tr>
      <w:tr w:rsidR="00696E54" w14:paraId="1F3E7926" w14:textId="77777777">
        <w:trPr>
          <w:divId w:val="59705609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410B3EC" w14:textId="77777777" w:rsidR="006E7CA1" w:rsidRDefault="006E7CA1">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FD359FF" w14:textId="77777777" w:rsidR="006E7CA1" w:rsidRDefault="006E7CA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A306FD1" w14:textId="77777777" w:rsidR="006E7CA1" w:rsidRDefault="006E7CA1">
            <w:pPr>
              <w:jc w:val="right"/>
            </w:pPr>
            <w:r>
              <w:rPr>
                <w:rFonts w:ascii="宋体" w:hAnsi="宋体" w:hint="eastAsia"/>
                <w:szCs w:val="24"/>
                <w:lang w:eastAsia="zh-Hans"/>
              </w:rPr>
              <w:t>-</w:t>
            </w:r>
          </w:p>
        </w:tc>
      </w:tr>
      <w:tr w:rsidR="00696E54" w14:paraId="70BB9009" w14:textId="77777777">
        <w:trPr>
          <w:divId w:val="59705609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ABA6093" w14:textId="77777777" w:rsidR="006E7CA1" w:rsidRDefault="006E7CA1">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B17C2F8" w14:textId="77777777" w:rsidR="006E7CA1" w:rsidRDefault="006E7CA1">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99F5638" w14:textId="77777777" w:rsidR="006E7CA1" w:rsidRDefault="006E7CA1">
            <w:pPr>
              <w:jc w:val="right"/>
            </w:pPr>
            <w:r>
              <w:rPr>
                <w:rFonts w:ascii="宋体" w:hAnsi="宋体" w:hint="eastAsia"/>
                <w:szCs w:val="24"/>
                <w:lang w:eastAsia="zh-Hans"/>
              </w:rPr>
              <w:t>-</w:t>
            </w:r>
          </w:p>
        </w:tc>
      </w:tr>
      <w:tr w:rsidR="00696E54" w14:paraId="6880F4E4" w14:textId="77777777">
        <w:trPr>
          <w:divId w:val="597056099"/>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691A679" w14:textId="77777777" w:rsidR="006E7CA1" w:rsidRDefault="006E7CA1">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CAC5DE0" w14:textId="77777777" w:rsidR="006E7CA1" w:rsidRDefault="006E7CA1">
            <w:pPr>
              <w:jc w:val="right"/>
            </w:pPr>
            <w:r>
              <w:rPr>
                <w:rFonts w:ascii="宋体" w:hAnsi="宋体" w:hint="eastAsia"/>
                <w:szCs w:val="24"/>
                <w:lang w:eastAsia="zh-Hans"/>
              </w:rPr>
              <w:t>4,958,125.38</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B9A461E" w14:textId="77777777" w:rsidR="006E7CA1" w:rsidRDefault="006E7CA1">
            <w:pPr>
              <w:jc w:val="right"/>
            </w:pPr>
            <w:r>
              <w:rPr>
                <w:rFonts w:ascii="宋体" w:hAnsi="宋体" w:hint="eastAsia"/>
                <w:szCs w:val="24"/>
                <w:lang w:eastAsia="zh-Hans"/>
              </w:rPr>
              <w:t>28.42</w:t>
            </w:r>
          </w:p>
        </w:tc>
      </w:tr>
    </w:tbl>
    <w:p w14:paraId="363FC2BE" w14:textId="77777777" w:rsidR="006E7CA1" w:rsidRDefault="006E7CA1">
      <w:pPr>
        <w:spacing w:line="360" w:lineRule="auto"/>
        <w:divId w:val="624895632"/>
      </w:pPr>
      <w:r>
        <w:rPr>
          <w:rFonts w:ascii="宋体" w:hAnsi="宋体" w:hint="eastAsia"/>
          <w:szCs w:val="21"/>
        </w:rPr>
        <w:t>注：</w:t>
      </w:r>
      <w:r>
        <w:rPr>
          <w:rFonts w:ascii="宋体" w:hAnsi="宋体" w:hint="eastAsia"/>
          <w:szCs w:val="21"/>
          <w:lang w:eastAsia="zh-Hans"/>
        </w:rPr>
        <w:t>以上分类采用全球行业分类标准（GICS）。</w:t>
      </w:r>
    </w:p>
    <w:p w14:paraId="471ECCCA" w14:textId="77777777" w:rsidR="006E7CA1" w:rsidRDefault="006E7CA1">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03A32C17" w14:textId="77777777" w:rsidR="006E7CA1" w:rsidRDefault="006E7CA1">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696E54" w14:paraId="0F54CE06" w14:textId="77777777">
        <w:trPr>
          <w:divId w:val="1937861701"/>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DF2581" w14:textId="77777777" w:rsidR="006E7CA1" w:rsidRDefault="006E7CA1">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AE93B6" w14:textId="77777777" w:rsidR="006E7CA1" w:rsidRDefault="006E7CA1">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65A2C1" w14:textId="77777777" w:rsidR="006E7CA1" w:rsidRDefault="006E7CA1">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621A6D8" w14:textId="77777777" w:rsidR="006E7CA1" w:rsidRDefault="006E7CA1">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40A996A" w14:textId="77777777" w:rsidR="006E7CA1" w:rsidRDefault="006E7CA1">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5AC5565" w14:textId="77777777" w:rsidR="006E7CA1" w:rsidRDefault="006E7CA1">
            <w:pPr>
              <w:jc w:val="center"/>
            </w:pPr>
            <w:r>
              <w:rPr>
                <w:rFonts w:ascii="宋体" w:hAnsi="宋体" w:hint="eastAsia"/>
                <w:color w:val="000000"/>
              </w:rPr>
              <w:t xml:space="preserve">占基金资产净值比例（%） </w:t>
            </w:r>
          </w:p>
        </w:tc>
      </w:tr>
      <w:tr w:rsidR="00696E54" w14:paraId="26967EA2" w14:textId="77777777">
        <w:trPr>
          <w:divId w:val="1937861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7076D9" w14:textId="77777777" w:rsidR="006E7CA1" w:rsidRDefault="006E7CA1">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C454A" w14:textId="77777777" w:rsidR="006E7CA1" w:rsidRDefault="006E7CA1">
            <w:pPr>
              <w:jc w:val="center"/>
            </w:pPr>
            <w:r>
              <w:rPr>
                <w:rFonts w:ascii="宋体" w:hAnsi="宋体" w:hint="eastAsia"/>
                <w:szCs w:val="24"/>
                <w:lang w:eastAsia="zh-Hans"/>
              </w:rPr>
              <w:t>09988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AF549" w14:textId="77777777" w:rsidR="006E7CA1" w:rsidRDefault="006E7CA1">
            <w:pPr>
              <w:jc w:val="center"/>
            </w:pPr>
            <w:r>
              <w:rPr>
                <w:rFonts w:ascii="宋体" w:hAnsi="宋体" w:hint="eastAsia"/>
                <w:szCs w:val="24"/>
                <w:lang w:eastAsia="zh-Hans"/>
              </w:rPr>
              <w:t>阿里巴巴-W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B0BD59" w14:textId="77777777" w:rsidR="006E7CA1" w:rsidRDefault="006E7CA1">
            <w:pPr>
              <w:jc w:val="right"/>
            </w:pPr>
            <w:r>
              <w:rPr>
                <w:rFonts w:ascii="宋体" w:hAnsi="宋体" w:hint="eastAsia"/>
                <w:szCs w:val="24"/>
                <w:lang w:eastAsia="zh-Hans"/>
              </w:rPr>
              <w:t>14,706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5CD246" w14:textId="77777777" w:rsidR="006E7CA1" w:rsidRDefault="006E7CA1">
            <w:pPr>
              <w:jc w:val="right"/>
            </w:pPr>
            <w:r>
              <w:rPr>
                <w:rFonts w:ascii="宋体" w:hAnsi="宋体" w:hint="eastAsia"/>
                <w:szCs w:val="24"/>
                <w:lang w:eastAsia="zh-Hans"/>
              </w:rPr>
              <w:t>1,545,174.86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FBCA8F" w14:textId="77777777" w:rsidR="006E7CA1" w:rsidRDefault="006E7CA1">
            <w:pPr>
              <w:jc w:val="right"/>
            </w:pPr>
            <w:r>
              <w:rPr>
                <w:rFonts w:ascii="宋体" w:hAnsi="宋体" w:hint="eastAsia"/>
                <w:szCs w:val="24"/>
                <w:lang w:eastAsia="zh-Hans"/>
              </w:rPr>
              <w:t>8.86</w:t>
            </w:r>
          </w:p>
        </w:tc>
      </w:tr>
      <w:tr w:rsidR="00696E54" w14:paraId="650D34C9" w14:textId="77777777">
        <w:trPr>
          <w:divId w:val="1937861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84C68B" w14:textId="77777777" w:rsidR="006E7CA1" w:rsidRDefault="006E7CA1">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1BD74" w14:textId="77777777" w:rsidR="006E7CA1" w:rsidRDefault="006E7CA1">
            <w:pPr>
              <w:jc w:val="center"/>
            </w:pPr>
            <w:r>
              <w:rPr>
                <w:rFonts w:ascii="宋体" w:hAnsi="宋体" w:hint="eastAsia"/>
                <w:szCs w:val="24"/>
                <w:lang w:eastAsia="zh-Hans"/>
              </w:rPr>
              <w:t>000933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DE7D4" w14:textId="77777777" w:rsidR="006E7CA1" w:rsidRDefault="006E7CA1">
            <w:pPr>
              <w:jc w:val="center"/>
            </w:pPr>
            <w:r>
              <w:rPr>
                <w:rFonts w:ascii="宋体" w:hAnsi="宋体" w:hint="eastAsia"/>
                <w:szCs w:val="24"/>
                <w:lang w:eastAsia="zh-Hans"/>
              </w:rPr>
              <w:t>神火股份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037DF0" w14:textId="77777777" w:rsidR="006E7CA1" w:rsidRDefault="006E7CA1">
            <w:pPr>
              <w:jc w:val="right"/>
            </w:pPr>
            <w:r>
              <w:rPr>
                <w:rFonts w:ascii="宋体" w:hAnsi="宋体" w:hint="eastAsia"/>
                <w:szCs w:val="24"/>
                <w:lang w:eastAsia="zh-Hans"/>
              </w:rPr>
              <w:t>48,300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035CCA" w14:textId="77777777" w:rsidR="006E7CA1" w:rsidRDefault="006E7CA1">
            <w:pPr>
              <w:jc w:val="right"/>
            </w:pPr>
            <w:r>
              <w:rPr>
                <w:rFonts w:ascii="宋体" w:hAnsi="宋体" w:hint="eastAsia"/>
                <w:szCs w:val="24"/>
                <w:lang w:eastAsia="zh-Hans"/>
              </w:rPr>
              <w:t>1,487,640.00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0BB436" w14:textId="77777777" w:rsidR="006E7CA1" w:rsidRDefault="006E7CA1">
            <w:pPr>
              <w:jc w:val="right"/>
            </w:pPr>
            <w:r>
              <w:rPr>
                <w:rFonts w:ascii="宋体" w:hAnsi="宋体" w:hint="eastAsia"/>
                <w:szCs w:val="24"/>
                <w:lang w:eastAsia="zh-Hans"/>
              </w:rPr>
              <w:t>8.53</w:t>
            </w:r>
          </w:p>
        </w:tc>
      </w:tr>
      <w:tr w:rsidR="00696E54" w14:paraId="6234C887" w14:textId="77777777">
        <w:trPr>
          <w:divId w:val="1937861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AEF390" w14:textId="77777777" w:rsidR="006E7CA1" w:rsidRDefault="006E7CA1">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C2AE69" w14:textId="77777777" w:rsidR="006E7CA1" w:rsidRDefault="006E7CA1">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A9B67C" w14:textId="77777777" w:rsidR="006E7CA1" w:rsidRDefault="006E7CA1">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CA5957" w14:textId="77777777" w:rsidR="006E7CA1" w:rsidRDefault="006E7CA1">
            <w:pPr>
              <w:jc w:val="right"/>
            </w:pPr>
            <w:r>
              <w:rPr>
                <w:rFonts w:ascii="宋体" w:hAnsi="宋体" w:hint="eastAsia"/>
                <w:szCs w:val="24"/>
                <w:lang w:eastAsia="zh-Hans"/>
              </w:rPr>
              <w:t>3,200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20B1D" w14:textId="77777777" w:rsidR="006E7CA1" w:rsidRDefault="006E7CA1">
            <w:pPr>
              <w:jc w:val="right"/>
            </w:pPr>
            <w:r>
              <w:rPr>
                <w:rFonts w:ascii="宋体" w:hAnsi="宋体" w:hint="eastAsia"/>
                <w:szCs w:val="24"/>
                <w:lang w:eastAsia="zh-Hans"/>
              </w:rPr>
              <w:t>1,367,512.96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012D54" w14:textId="77777777" w:rsidR="006E7CA1" w:rsidRDefault="006E7CA1">
            <w:pPr>
              <w:jc w:val="right"/>
            </w:pPr>
            <w:r>
              <w:rPr>
                <w:rFonts w:ascii="宋体" w:hAnsi="宋体" w:hint="eastAsia"/>
                <w:szCs w:val="24"/>
                <w:lang w:eastAsia="zh-Hans"/>
              </w:rPr>
              <w:t>7.84</w:t>
            </w:r>
          </w:p>
        </w:tc>
      </w:tr>
      <w:tr w:rsidR="00696E54" w14:paraId="393B58B8" w14:textId="77777777">
        <w:trPr>
          <w:divId w:val="1937861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FDDB28" w14:textId="77777777" w:rsidR="006E7CA1" w:rsidRDefault="006E7CA1">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D4787" w14:textId="77777777" w:rsidR="006E7CA1" w:rsidRDefault="006E7CA1">
            <w:pPr>
              <w:jc w:val="center"/>
            </w:pPr>
            <w:r>
              <w:rPr>
                <w:rFonts w:ascii="宋体" w:hAnsi="宋体" w:hint="eastAsia"/>
                <w:szCs w:val="24"/>
                <w:lang w:eastAsia="zh-Hans"/>
              </w:rPr>
              <w:t>002568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3DD026" w14:textId="77777777" w:rsidR="006E7CA1" w:rsidRDefault="006E7CA1">
            <w:pPr>
              <w:jc w:val="center"/>
            </w:pPr>
            <w:r>
              <w:rPr>
                <w:rFonts w:ascii="宋体" w:hAnsi="宋体" w:hint="eastAsia"/>
                <w:szCs w:val="24"/>
                <w:lang w:eastAsia="zh-Hans"/>
              </w:rPr>
              <w:t>百润股份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70DEF" w14:textId="77777777" w:rsidR="006E7CA1" w:rsidRDefault="006E7CA1">
            <w:pPr>
              <w:jc w:val="right"/>
            </w:pPr>
            <w:r>
              <w:rPr>
                <w:rFonts w:ascii="宋体" w:hAnsi="宋体" w:hint="eastAsia"/>
                <w:szCs w:val="24"/>
                <w:lang w:eastAsia="zh-Hans"/>
              </w:rPr>
              <w:t>80,000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8E5247" w14:textId="77777777" w:rsidR="006E7CA1" w:rsidRDefault="006E7CA1">
            <w:pPr>
              <w:jc w:val="right"/>
            </w:pPr>
            <w:r>
              <w:rPr>
                <w:rFonts w:ascii="宋体" w:hAnsi="宋体" w:hint="eastAsia"/>
                <w:szCs w:val="24"/>
                <w:lang w:eastAsia="zh-Hans"/>
              </w:rPr>
              <w:t>1,356,000.00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F7606E" w14:textId="77777777" w:rsidR="006E7CA1" w:rsidRDefault="006E7CA1">
            <w:pPr>
              <w:jc w:val="right"/>
            </w:pPr>
            <w:r>
              <w:rPr>
                <w:rFonts w:ascii="宋体" w:hAnsi="宋体" w:hint="eastAsia"/>
                <w:szCs w:val="24"/>
                <w:lang w:eastAsia="zh-Hans"/>
              </w:rPr>
              <w:t>7.77</w:t>
            </w:r>
          </w:p>
        </w:tc>
      </w:tr>
      <w:tr w:rsidR="00696E54" w14:paraId="2A83608B" w14:textId="77777777">
        <w:trPr>
          <w:divId w:val="1937861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C74EF4" w14:textId="77777777" w:rsidR="006E7CA1" w:rsidRDefault="006E7CA1">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2CC4C0" w14:textId="77777777" w:rsidR="006E7CA1" w:rsidRDefault="006E7CA1">
            <w:pPr>
              <w:jc w:val="center"/>
            </w:pPr>
            <w:r>
              <w:rPr>
                <w:rFonts w:ascii="宋体" w:hAnsi="宋体" w:hint="eastAsia"/>
                <w:szCs w:val="24"/>
                <w:lang w:eastAsia="zh-Hans"/>
              </w:rPr>
              <w:t>605196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84D8FD" w14:textId="77777777" w:rsidR="006E7CA1" w:rsidRDefault="006E7CA1">
            <w:pPr>
              <w:jc w:val="center"/>
            </w:pPr>
            <w:r>
              <w:rPr>
                <w:rFonts w:ascii="宋体" w:hAnsi="宋体" w:hint="eastAsia"/>
                <w:szCs w:val="24"/>
                <w:lang w:eastAsia="zh-Hans"/>
              </w:rPr>
              <w:t>华通线缆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851038" w14:textId="77777777" w:rsidR="006E7CA1" w:rsidRDefault="006E7CA1">
            <w:pPr>
              <w:jc w:val="right"/>
            </w:pPr>
            <w:r>
              <w:rPr>
                <w:rFonts w:ascii="宋体" w:hAnsi="宋体" w:hint="eastAsia"/>
                <w:szCs w:val="24"/>
                <w:lang w:eastAsia="zh-Hans"/>
              </w:rPr>
              <w:t>24,000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CBF18F" w14:textId="77777777" w:rsidR="006E7CA1" w:rsidRDefault="006E7CA1">
            <w:pPr>
              <w:jc w:val="right"/>
            </w:pPr>
            <w:r>
              <w:rPr>
                <w:rFonts w:ascii="宋体" w:hAnsi="宋体" w:hint="eastAsia"/>
                <w:szCs w:val="24"/>
                <w:lang w:eastAsia="zh-Hans"/>
              </w:rPr>
              <w:t>1,129,920.00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FEE427" w14:textId="77777777" w:rsidR="006E7CA1" w:rsidRDefault="006E7CA1">
            <w:pPr>
              <w:jc w:val="right"/>
            </w:pPr>
            <w:r>
              <w:rPr>
                <w:rFonts w:ascii="宋体" w:hAnsi="宋体" w:hint="eastAsia"/>
                <w:szCs w:val="24"/>
                <w:lang w:eastAsia="zh-Hans"/>
              </w:rPr>
              <w:t>6.48</w:t>
            </w:r>
          </w:p>
        </w:tc>
      </w:tr>
      <w:tr w:rsidR="00696E54" w14:paraId="7B6B5850" w14:textId="77777777">
        <w:trPr>
          <w:divId w:val="1937861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1B8D11" w14:textId="77777777" w:rsidR="006E7CA1" w:rsidRDefault="006E7CA1">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FF841D" w14:textId="77777777" w:rsidR="006E7CA1" w:rsidRDefault="006E7CA1">
            <w:pPr>
              <w:jc w:val="center"/>
            </w:pPr>
            <w:r>
              <w:rPr>
                <w:rFonts w:ascii="宋体" w:hAnsi="宋体" w:hint="eastAsia"/>
                <w:szCs w:val="24"/>
                <w:lang w:eastAsia="zh-Hans"/>
              </w:rPr>
              <w:t>002532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C3C8E" w14:textId="77777777" w:rsidR="006E7CA1" w:rsidRDefault="006E7CA1">
            <w:pPr>
              <w:jc w:val="center"/>
            </w:pPr>
            <w:r>
              <w:rPr>
                <w:rFonts w:ascii="宋体" w:hAnsi="宋体" w:hint="eastAsia"/>
                <w:szCs w:val="24"/>
                <w:lang w:eastAsia="zh-Hans"/>
              </w:rPr>
              <w:t>天山铝业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BDC56" w14:textId="77777777" w:rsidR="006E7CA1" w:rsidRDefault="006E7CA1">
            <w:pPr>
              <w:jc w:val="right"/>
            </w:pPr>
            <w:r>
              <w:rPr>
                <w:rFonts w:ascii="宋体" w:hAnsi="宋体" w:hint="eastAsia"/>
                <w:szCs w:val="24"/>
                <w:lang w:eastAsia="zh-Hans"/>
              </w:rPr>
              <w:t>40,600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B0DDC1" w14:textId="77777777" w:rsidR="006E7CA1" w:rsidRDefault="006E7CA1">
            <w:pPr>
              <w:jc w:val="right"/>
            </w:pPr>
            <w:r>
              <w:rPr>
                <w:rFonts w:ascii="宋体" w:hAnsi="宋体" w:hint="eastAsia"/>
                <w:szCs w:val="24"/>
                <w:lang w:eastAsia="zh-Hans"/>
              </w:rPr>
              <w:t>722,274.00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382188" w14:textId="77777777" w:rsidR="006E7CA1" w:rsidRDefault="006E7CA1">
            <w:pPr>
              <w:jc w:val="right"/>
            </w:pPr>
            <w:r>
              <w:rPr>
                <w:rFonts w:ascii="宋体" w:hAnsi="宋体" w:hint="eastAsia"/>
                <w:szCs w:val="24"/>
                <w:lang w:eastAsia="zh-Hans"/>
              </w:rPr>
              <w:t>4.14</w:t>
            </w:r>
          </w:p>
        </w:tc>
      </w:tr>
      <w:tr w:rsidR="00696E54" w14:paraId="5C317CE1" w14:textId="77777777">
        <w:trPr>
          <w:divId w:val="1937861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27E335" w14:textId="77777777" w:rsidR="006E7CA1" w:rsidRDefault="006E7CA1">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442B0" w14:textId="77777777" w:rsidR="006E7CA1" w:rsidRDefault="006E7CA1">
            <w:pPr>
              <w:jc w:val="center"/>
            </w:pPr>
            <w:r>
              <w:rPr>
                <w:rFonts w:ascii="宋体" w:hAnsi="宋体" w:hint="eastAsia"/>
                <w:szCs w:val="24"/>
                <w:lang w:eastAsia="zh-Hans"/>
              </w:rPr>
              <w:t>000807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F635B" w14:textId="77777777" w:rsidR="006E7CA1" w:rsidRDefault="006E7CA1">
            <w:pPr>
              <w:jc w:val="center"/>
            </w:pPr>
            <w:r>
              <w:rPr>
                <w:rFonts w:ascii="宋体" w:hAnsi="宋体" w:hint="eastAsia"/>
                <w:szCs w:val="24"/>
                <w:lang w:eastAsia="zh-Hans"/>
              </w:rPr>
              <w:t>云铝股份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5378FF" w14:textId="77777777" w:rsidR="006E7CA1" w:rsidRDefault="006E7CA1">
            <w:pPr>
              <w:jc w:val="right"/>
            </w:pPr>
            <w:r>
              <w:rPr>
                <w:rFonts w:ascii="宋体" w:hAnsi="宋体" w:hint="eastAsia"/>
                <w:szCs w:val="24"/>
                <w:lang w:eastAsia="zh-Hans"/>
              </w:rPr>
              <w:t>22,000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55876F" w14:textId="77777777" w:rsidR="006E7CA1" w:rsidRDefault="006E7CA1">
            <w:pPr>
              <w:jc w:val="right"/>
            </w:pPr>
            <w:r>
              <w:rPr>
                <w:rFonts w:ascii="宋体" w:hAnsi="宋体" w:hint="eastAsia"/>
                <w:szCs w:val="24"/>
                <w:lang w:eastAsia="zh-Hans"/>
              </w:rPr>
              <w:t>682,000.00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397B06" w14:textId="77777777" w:rsidR="006E7CA1" w:rsidRDefault="006E7CA1">
            <w:pPr>
              <w:jc w:val="right"/>
            </w:pPr>
            <w:r>
              <w:rPr>
                <w:rFonts w:ascii="宋体" w:hAnsi="宋体" w:hint="eastAsia"/>
                <w:szCs w:val="24"/>
                <w:lang w:eastAsia="zh-Hans"/>
              </w:rPr>
              <w:t>3.91</w:t>
            </w:r>
          </w:p>
        </w:tc>
      </w:tr>
      <w:tr w:rsidR="00696E54" w14:paraId="46595946" w14:textId="77777777">
        <w:trPr>
          <w:divId w:val="1937861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90AC8F" w14:textId="77777777" w:rsidR="006E7CA1" w:rsidRDefault="006E7CA1">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38EE92" w14:textId="77777777" w:rsidR="006E7CA1" w:rsidRDefault="006E7CA1">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25445C" w14:textId="77777777" w:rsidR="006E7CA1" w:rsidRDefault="006E7CA1">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BC57C8" w14:textId="77777777" w:rsidR="006E7CA1" w:rsidRDefault="006E7CA1">
            <w:pPr>
              <w:jc w:val="right"/>
            </w:pPr>
            <w:r>
              <w:rPr>
                <w:rFonts w:ascii="宋体" w:hAnsi="宋体" w:hint="eastAsia"/>
                <w:szCs w:val="24"/>
                <w:lang w:eastAsia="zh-Hans"/>
              </w:rPr>
              <w:t>1,500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0961B" w14:textId="77777777" w:rsidR="006E7CA1" w:rsidRDefault="006E7CA1">
            <w:pPr>
              <w:jc w:val="right"/>
            </w:pPr>
            <w:r>
              <w:rPr>
                <w:rFonts w:ascii="宋体" w:hAnsi="宋体" w:hint="eastAsia"/>
                <w:szCs w:val="24"/>
                <w:lang w:eastAsia="zh-Hans"/>
              </w:rPr>
              <w:t>602,550.00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0B6CC9" w14:textId="77777777" w:rsidR="006E7CA1" w:rsidRDefault="006E7CA1">
            <w:pPr>
              <w:jc w:val="right"/>
            </w:pPr>
            <w:r>
              <w:rPr>
                <w:rFonts w:ascii="宋体" w:hAnsi="宋体" w:hint="eastAsia"/>
                <w:szCs w:val="24"/>
                <w:lang w:eastAsia="zh-Hans"/>
              </w:rPr>
              <w:t>3.45</w:t>
            </w:r>
          </w:p>
        </w:tc>
      </w:tr>
      <w:tr w:rsidR="00696E54" w14:paraId="27F54405" w14:textId="77777777">
        <w:trPr>
          <w:divId w:val="1937861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C2AED0" w14:textId="77777777" w:rsidR="006E7CA1" w:rsidRDefault="006E7CA1">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B96058" w14:textId="77777777" w:rsidR="006E7CA1" w:rsidRDefault="006E7CA1">
            <w:pPr>
              <w:jc w:val="center"/>
            </w:pPr>
            <w:r>
              <w:rPr>
                <w:rFonts w:ascii="宋体" w:hAnsi="宋体" w:hint="eastAsia"/>
                <w:szCs w:val="24"/>
                <w:lang w:eastAsia="zh-Hans"/>
              </w:rPr>
              <w:t>03939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B1D054" w14:textId="77777777" w:rsidR="006E7CA1" w:rsidRDefault="006E7CA1">
            <w:pPr>
              <w:jc w:val="center"/>
            </w:pPr>
            <w:r>
              <w:rPr>
                <w:rFonts w:ascii="宋体" w:hAnsi="宋体" w:hint="eastAsia"/>
                <w:szCs w:val="24"/>
                <w:lang w:eastAsia="zh-Hans"/>
              </w:rPr>
              <w:t>万国黄金集团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227D8" w14:textId="77777777" w:rsidR="006E7CA1" w:rsidRDefault="006E7CA1">
            <w:pPr>
              <w:jc w:val="right"/>
            </w:pPr>
            <w:r>
              <w:rPr>
                <w:rFonts w:ascii="宋体" w:hAnsi="宋体" w:hint="eastAsia"/>
                <w:szCs w:val="24"/>
                <w:lang w:eastAsia="zh-Hans"/>
              </w:rPr>
              <w:t>47,500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F50BA" w14:textId="77777777" w:rsidR="006E7CA1" w:rsidRDefault="006E7CA1">
            <w:pPr>
              <w:jc w:val="right"/>
            </w:pPr>
            <w:r>
              <w:rPr>
                <w:rFonts w:ascii="宋体" w:hAnsi="宋体" w:hint="eastAsia"/>
                <w:szCs w:val="24"/>
                <w:lang w:eastAsia="zh-Hans"/>
              </w:rPr>
              <w:t>565,352.89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98BF72" w14:textId="77777777" w:rsidR="006E7CA1" w:rsidRDefault="006E7CA1">
            <w:pPr>
              <w:jc w:val="right"/>
            </w:pPr>
            <w:r>
              <w:rPr>
                <w:rFonts w:ascii="宋体" w:hAnsi="宋体" w:hint="eastAsia"/>
                <w:szCs w:val="24"/>
                <w:lang w:eastAsia="zh-Hans"/>
              </w:rPr>
              <w:t>3.24</w:t>
            </w:r>
          </w:p>
        </w:tc>
      </w:tr>
      <w:tr w:rsidR="00696E54" w14:paraId="294FA45A" w14:textId="77777777">
        <w:trPr>
          <w:divId w:val="1937861701"/>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F31DC" w14:textId="77777777" w:rsidR="006E7CA1" w:rsidRDefault="006E7CA1">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887AF" w14:textId="77777777" w:rsidR="006E7CA1" w:rsidRDefault="006E7CA1">
            <w:pPr>
              <w:jc w:val="center"/>
            </w:pPr>
            <w:r>
              <w:rPr>
                <w:rFonts w:ascii="宋体" w:hAnsi="宋体" w:hint="eastAsia"/>
                <w:szCs w:val="24"/>
                <w:lang w:eastAsia="zh-Hans"/>
              </w:rPr>
              <w:t>002028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A1858" w14:textId="77777777" w:rsidR="006E7CA1" w:rsidRDefault="006E7CA1">
            <w:pPr>
              <w:jc w:val="center"/>
            </w:pPr>
            <w:r>
              <w:rPr>
                <w:rFonts w:ascii="宋体" w:hAnsi="宋体" w:hint="eastAsia"/>
                <w:szCs w:val="24"/>
                <w:lang w:eastAsia="zh-Hans"/>
              </w:rPr>
              <w:t>思源电气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F4C4A9" w14:textId="77777777" w:rsidR="006E7CA1" w:rsidRDefault="006E7CA1">
            <w:pPr>
              <w:jc w:val="right"/>
            </w:pPr>
            <w:r>
              <w:rPr>
                <w:rFonts w:ascii="宋体" w:hAnsi="宋体" w:hint="eastAsia"/>
                <w:szCs w:val="24"/>
                <w:lang w:eastAsia="zh-Hans"/>
              </w:rPr>
              <w:t>2,700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292EF5" w14:textId="77777777" w:rsidR="006E7CA1" w:rsidRDefault="006E7CA1">
            <w:pPr>
              <w:jc w:val="right"/>
            </w:pPr>
            <w:r>
              <w:rPr>
                <w:rFonts w:ascii="宋体" w:hAnsi="宋体" w:hint="eastAsia"/>
                <w:szCs w:val="24"/>
                <w:lang w:eastAsia="zh-Hans"/>
              </w:rPr>
              <w:t>545,400.00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FB4340" w14:textId="77777777" w:rsidR="006E7CA1" w:rsidRDefault="006E7CA1">
            <w:pPr>
              <w:jc w:val="right"/>
            </w:pPr>
            <w:r>
              <w:rPr>
                <w:rFonts w:ascii="宋体" w:hAnsi="宋体" w:hint="eastAsia"/>
                <w:szCs w:val="24"/>
                <w:lang w:eastAsia="zh-Hans"/>
              </w:rPr>
              <w:t>3.13</w:t>
            </w:r>
          </w:p>
        </w:tc>
      </w:tr>
    </w:tbl>
    <w:p w14:paraId="6F60C9B7" w14:textId="77777777" w:rsidR="006E7CA1" w:rsidRDefault="006E7CA1">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6F275415" w14:textId="77777777" w:rsidR="006E7CA1" w:rsidRDefault="006E7CA1">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52D1AB54" w14:textId="77777777" w:rsidR="006E7CA1" w:rsidRDefault="006E7CA1">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50A69F8A" w14:textId="77777777" w:rsidR="006E7CA1" w:rsidRDefault="006E7CA1">
      <w:pPr>
        <w:spacing w:line="360" w:lineRule="auto"/>
        <w:ind w:firstLineChars="200" w:firstLine="420"/>
        <w:jc w:val="left"/>
      </w:pPr>
      <w:r>
        <w:rPr>
          <w:rFonts w:ascii="宋体" w:hAnsi="宋体" w:hint="eastAsia"/>
          <w:color w:val="000000"/>
          <w:szCs w:val="21"/>
          <w:lang w:eastAsia="zh-Hans"/>
        </w:rPr>
        <w:t>本基金本报告期末未持有债券。</w:t>
      </w:r>
    </w:p>
    <w:p w14:paraId="23434BCC" w14:textId="77777777" w:rsidR="006E7CA1" w:rsidRDefault="006E7CA1">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67BFA2B4" w14:textId="77777777" w:rsidR="006E7CA1" w:rsidRDefault="006E7CA1">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3DD1CC2D" w14:textId="77777777" w:rsidR="006E7CA1" w:rsidRDefault="006E7CA1">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3492ACB2" w14:textId="77777777" w:rsidR="006E7CA1" w:rsidRDefault="006E7CA1">
      <w:pPr>
        <w:spacing w:line="360" w:lineRule="auto"/>
        <w:ind w:firstLineChars="200" w:firstLine="420"/>
        <w:divId w:val="727997541"/>
      </w:pPr>
      <w:r>
        <w:rPr>
          <w:rFonts w:ascii="宋体" w:hAnsi="宋体" w:hint="eastAsia"/>
          <w:szCs w:val="21"/>
          <w:lang w:eastAsia="zh-Hans"/>
        </w:rPr>
        <w:t>本基金本报告期末未持有贵金属。</w:t>
      </w:r>
    </w:p>
    <w:p w14:paraId="79F7F40A" w14:textId="77777777" w:rsidR="006E7CA1" w:rsidRDefault="006E7CA1">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lastRenderedPageBreak/>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385A197F" w14:textId="77777777" w:rsidR="006E7CA1" w:rsidRDefault="006E7CA1">
      <w:pPr>
        <w:spacing w:line="360" w:lineRule="auto"/>
        <w:ind w:firstLineChars="200" w:firstLine="420"/>
        <w:divId w:val="795221092"/>
      </w:pPr>
      <w:r>
        <w:rPr>
          <w:rFonts w:ascii="宋体" w:hAnsi="宋体" w:hint="eastAsia"/>
          <w:szCs w:val="21"/>
          <w:lang w:eastAsia="zh-Hans"/>
        </w:rPr>
        <w:t>本基金本报告期末未持有权证。</w:t>
      </w:r>
    </w:p>
    <w:p w14:paraId="7390EC55" w14:textId="77777777" w:rsidR="006E7CA1" w:rsidRDefault="006E7CA1">
      <w:pPr>
        <w:pStyle w:val="XBRLTitle2"/>
        <w:spacing w:before="156"/>
        <w:ind w:left="454"/>
      </w:pPr>
      <w:bookmarkStart w:id="242" w:name="_Toc17898206"/>
      <w:proofErr w:type="spellStart"/>
      <w:r>
        <w:rPr>
          <w:rFonts w:hint="eastAsia"/>
        </w:rPr>
        <w:t>报告期末本基金投资的股指期货交易情况说明</w:t>
      </w:r>
      <w:bookmarkEnd w:id="16"/>
      <w:bookmarkEnd w:id="70"/>
      <w:bookmarkEnd w:id="71"/>
      <w:bookmarkEnd w:id="183"/>
      <w:bookmarkEnd w:id="184"/>
      <w:bookmarkEnd w:id="185"/>
      <w:bookmarkEnd w:id="186"/>
      <w:bookmarkEnd w:id="187"/>
      <w:bookmarkEnd w:id="188"/>
      <w:bookmarkEnd w:id="189"/>
      <w:bookmarkEnd w:id="190"/>
      <w:bookmarkEnd w:id="242"/>
      <w:proofErr w:type="spellEnd"/>
    </w:p>
    <w:p w14:paraId="19C778DC" w14:textId="77777777" w:rsidR="006E7CA1" w:rsidRDefault="006E7CA1">
      <w:pPr>
        <w:spacing w:line="360" w:lineRule="auto"/>
        <w:ind w:firstLineChars="200" w:firstLine="420"/>
        <w:divId w:val="692268390"/>
      </w:pPr>
      <w:r>
        <w:rPr>
          <w:rFonts w:ascii="宋体" w:hAnsi="宋体" w:hint="eastAsia"/>
          <w:szCs w:val="21"/>
          <w:lang w:eastAsia="zh-Hans"/>
        </w:rPr>
        <w:t>本基金本报告期末未持有股指期货。</w:t>
      </w:r>
    </w:p>
    <w:p w14:paraId="14744CB1" w14:textId="77777777" w:rsidR="006E7CA1" w:rsidRDefault="006E7CA1">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4CAEE1B1" w14:textId="77777777" w:rsidR="006E7CA1" w:rsidRDefault="006E7CA1">
      <w:pPr>
        <w:spacing w:line="360" w:lineRule="auto"/>
        <w:ind w:firstLineChars="200" w:firstLine="420"/>
        <w:divId w:val="650329750"/>
      </w:pPr>
      <w:bookmarkStart w:id="251" w:name="m510_01_1597"/>
      <w:bookmarkStart w:id="252" w:name="m510_01_1598"/>
      <w:bookmarkEnd w:id="251"/>
      <w:r>
        <w:rPr>
          <w:rFonts w:ascii="宋体" w:hAnsi="宋体" w:hint="eastAsia"/>
          <w:szCs w:val="21"/>
          <w:lang w:eastAsia="zh-Hans"/>
        </w:rPr>
        <w:t>本基金本报告期末未持有国债期货。</w:t>
      </w:r>
    </w:p>
    <w:p w14:paraId="6C151066" w14:textId="77777777" w:rsidR="006E7CA1" w:rsidRDefault="006E7CA1">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7F2315BB" w14:textId="77777777" w:rsidR="006E7CA1" w:rsidRDefault="006E7CA1">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rPr>
        <w:t> </w:t>
      </w:r>
      <w:r>
        <w:rPr>
          <w:rFonts w:hint="eastAsia"/>
          <w:lang w:eastAsia="zh-CN"/>
        </w:rPr>
        <w:t xml:space="preserve"> </w:t>
      </w:r>
      <w:bookmarkEnd w:id="264"/>
    </w:p>
    <w:p w14:paraId="0005B0BB" w14:textId="77777777" w:rsidR="006E7CA1" w:rsidRDefault="006E7CA1">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559AAE8" w14:textId="77777777" w:rsidR="006E7CA1" w:rsidRDefault="006E7CA1">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r>
        <w:rPr>
          <w:rFonts w:hint="eastAsia"/>
        </w:rPr>
        <w:t> </w:t>
      </w:r>
      <w:bookmarkEnd w:id="268"/>
      <w:r>
        <w:rPr>
          <w:rFonts w:hint="eastAsia"/>
          <w:lang w:eastAsia="zh-CN"/>
        </w:rPr>
        <w:t xml:space="preserve"> </w:t>
      </w:r>
      <w:bookmarkEnd w:id="269"/>
    </w:p>
    <w:p w14:paraId="0BFE703C" w14:textId="77777777" w:rsidR="006E7CA1" w:rsidRDefault="006E7CA1">
      <w:pPr>
        <w:spacing w:line="360" w:lineRule="auto"/>
        <w:ind w:firstLineChars="200" w:firstLine="420"/>
      </w:pPr>
      <w:r>
        <w:rPr>
          <w:rFonts w:ascii="宋体" w:hAnsi="宋体" w:hint="eastAsia"/>
        </w:rPr>
        <w:t>报告期内本基金投资的前十名股票中没有在基金合同规定备选股票库之外的股票。</w:t>
      </w:r>
    </w:p>
    <w:p w14:paraId="3B246911" w14:textId="77777777" w:rsidR="006E7CA1" w:rsidRDefault="006E7CA1">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696E54" w14:paraId="19454118" w14:textId="77777777">
        <w:trPr>
          <w:divId w:val="68423650"/>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F7EA6" w14:textId="77777777" w:rsidR="006E7CA1" w:rsidRDefault="006E7CA1">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0A9F76" w14:textId="77777777" w:rsidR="006E7CA1" w:rsidRDefault="006E7CA1">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946722" w14:textId="77777777" w:rsidR="006E7CA1" w:rsidRDefault="006E7CA1">
            <w:pPr>
              <w:jc w:val="center"/>
            </w:pPr>
            <w:r>
              <w:rPr>
                <w:rFonts w:ascii="宋体" w:hAnsi="宋体" w:hint="eastAsia"/>
              </w:rPr>
              <w:t>金额（元）</w:t>
            </w:r>
            <w:r>
              <w:t xml:space="preserve"> </w:t>
            </w:r>
          </w:p>
        </w:tc>
      </w:tr>
      <w:tr w:rsidR="00696E54" w14:paraId="4B789F54" w14:textId="77777777">
        <w:trPr>
          <w:divId w:val="684236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F02F9" w14:textId="77777777" w:rsidR="006E7CA1" w:rsidRDefault="006E7CA1">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1C859" w14:textId="77777777" w:rsidR="006E7CA1" w:rsidRDefault="006E7CA1">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EFD985" w14:textId="77777777" w:rsidR="006E7CA1" w:rsidRDefault="006E7CA1">
            <w:pPr>
              <w:jc w:val="right"/>
            </w:pPr>
            <w:r>
              <w:rPr>
                <w:rFonts w:ascii="宋体" w:hAnsi="宋体" w:hint="eastAsia"/>
              </w:rPr>
              <w:t>15,230.40</w:t>
            </w:r>
          </w:p>
        </w:tc>
      </w:tr>
      <w:tr w:rsidR="00696E54" w14:paraId="7E45D9CB" w14:textId="77777777">
        <w:trPr>
          <w:divId w:val="684236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53573" w14:textId="77777777" w:rsidR="006E7CA1" w:rsidRDefault="006E7CA1">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60781C" w14:textId="77777777" w:rsidR="006E7CA1" w:rsidRDefault="006E7CA1">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ECA369" w14:textId="77777777" w:rsidR="006E7CA1" w:rsidRDefault="006E7CA1">
            <w:pPr>
              <w:jc w:val="right"/>
            </w:pPr>
            <w:r>
              <w:rPr>
                <w:rFonts w:ascii="宋体" w:hAnsi="宋体" w:hint="eastAsia"/>
              </w:rPr>
              <w:t>232,599.77</w:t>
            </w:r>
          </w:p>
        </w:tc>
      </w:tr>
      <w:tr w:rsidR="00696E54" w14:paraId="6600526B" w14:textId="77777777">
        <w:trPr>
          <w:divId w:val="684236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C13B1A" w14:textId="77777777" w:rsidR="006E7CA1" w:rsidRDefault="006E7CA1">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05461E" w14:textId="77777777" w:rsidR="006E7CA1" w:rsidRDefault="006E7CA1">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5F8F11" w14:textId="77777777" w:rsidR="006E7CA1" w:rsidRDefault="006E7CA1">
            <w:pPr>
              <w:jc w:val="right"/>
            </w:pPr>
            <w:r>
              <w:rPr>
                <w:rFonts w:ascii="宋体" w:hAnsi="宋体" w:hint="eastAsia"/>
              </w:rPr>
              <w:t>-</w:t>
            </w:r>
          </w:p>
        </w:tc>
      </w:tr>
      <w:tr w:rsidR="00696E54" w14:paraId="45A38E7E" w14:textId="77777777">
        <w:trPr>
          <w:divId w:val="684236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66CB82" w14:textId="77777777" w:rsidR="006E7CA1" w:rsidRDefault="006E7CA1">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9FEA3" w14:textId="77777777" w:rsidR="006E7CA1" w:rsidRDefault="006E7CA1">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CA86D7" w14:textId="77777777" w:rsidR="006E7CA1" w:rsidRDefault="006E7CA1">
            <w:pPr>
              <w:jc w:val="right"/>
            </w:pPr>
            <w:r>
              <w:rPr>
                <w:rFonts w:ascii="宋体" w:hAnsi="宋体" w:hint="eastAsia"/>
              </w:rPr>
              <w:t>-</w:t>
            </w:r>
          </w:p>
        </w:tc>
      </w:tr>
      <w:tr w:rsidR="00696E54" w14:paraId="6DD321BB" w14:textId="77777777">
        <w:trPr>
          <w:divId w:val="684236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9E4DF1" w14:textId="77777777" w:rsidR="006E7CA1" w:rsidRDefault="006E7CA1">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20EC0C" w14:textId="77777777" w:rsidR="006E7CA1" w:rsidRDefault="006E7CA1">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0C4581" w14:textId="77777777" w:rsidR="006E7CA1" w:rsidRDefault="006E7CA1">
            <w:pPr>
              <w:jc w:val="right"/>
            </w:pPr>
            <w:r>
              <w:rPr>
                <w:rFonts w:ascii="宋体" w:hAnsi="宋体" w:hint="eastAsia"/>
              </w:rPr>
              <w:t>609.28</w:t>
            </w:r>
          </w:p>
        </w:tc>
      </w:tr>
      <w:tr w:rsidR="00696E54" w14:paraId="7A290CD5" w14:textId="77777777">
        <w:trPr>
          <w:divId w:val="684236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C1E1CB" w14:textId="77777777" w:rsidR="006E7CA1" w:rsidRDefault="006E7CA1">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000116" w14:textId="77777777" w:rsidR="006E7CA1" w:rsidRDefault="006E7CA1">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3688C0" w14:textId="77777777" w:rsidR="006E7CA1" w:rsidRDefault="006E7CA1">
            <w:pPr>
              <w:jc w:val="right"/>
            </w:pPr>
            <w:r>
              <w:rPr>
                <w:rFonts w:ascii="宋体" w:hAnsi="宋体" w:hint="eastAsia"/>
              </w:rPr>
              <w:t>-</w:t>
            </w:r>
          </w:p>
        </w:tc>
      </w:tr>
      <w:tr w:rsidR="00696E54" w14:paraId="143C25CF" w14:textId="77777777">
        <w:trPr>
          <w:divId w:val="684236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E347A" w14:textId="77777777" w:rsidR="006E7CA1" w:rsidRDefault="006E7CA1">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8FF1C7" w14:textId="77777777" w:rsidR="006E7CA1" w:rsidRDefault="006E7CA1">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3B47BF" w14:textId="77777777" w:rsidR="006E7CA1" w:rsidRDefault="006E7CA1">
            <w:pPr>
              <w:jc w:val="right"/>
            </w:pPr>
            <w:r>
              <w:rPr>
                <w:rFonts w:ascii="宋体" w:hAnsi="宋体" w:hint="eastAsia"/>
              </w:rPr>
              <w:t>-</w:t>
            </w:r>
          </w:p>
        </w:tc>
      </w:tr>
      <w:tr w:rsidR="00696E54" w14:paraId="3496C4AC" w14:textId="77777777">
        <w:trPr>
          <w:divId w:val="68423650"/>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832B40" w14:textId="77777777" w:rsidR="006E7CA1" w:rsidRDefault="006E7CA1">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1F17CE" w14:textId="77777777" w:rsidR="006E7CA1" w:rsidRDefault="006E7CA1">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E126B6" w14:textId="77777777" w:rsidR="006E7CA1" w:rsidRDefault="006E7CA1">
            <w:pPr>
              <w:jc w:val="right"/>
            </w:pPr>
            <w:r>
              <w:rPr>
                <w:rFonts w:ascii="宋体" w:hAnsi="宋体" w:hint="eastAsia"/>
              </w:rPr>
              <w:t>248,439.45</w:t>
            </w:r>
          </w:p>
        </w:tc>
      </w:tr>
    </w:tbl>
    <w:p w14:paraId="1703C8F0" w14:textId="77777777" w:rsidR="006E7CA1" w:rsidRDefault="006E7CA1">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0740597C" w14:textId="77777777" w:rsidR="006E7CA1" w:rsidRDefault="006E7CA1">
      <w:pPr>
        <w:spacing w:line="360" w:lineRule="auto"/>
        <w:ind w:firstLineChars="200" w:firstLine="420"/>
        <w:jc w:val="left"/>
      </w:pPr>
      <w:r>
        <w:rPr>
          <w:rFonts w:ascii="宋体" w:hAnsi="宋体" w:hint="eastAsia"/>
        </w:rPr>
        <w:t xml:space="preserve">本基金本报告期末未持有处于转股期的可转换债券。 </w:t>
      </w:r>
    </w:p>
    <w:p w14:paraId="4AB5A9A9" w14:textId="77777777" w:rsidR="006E7CA1" w:rsidRDefault="006E7CA1">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363A9A67" w14:textId="77777777" w:rsidR="006E7CA1" w:rsidRDefault="006E7CA1">
      <w:pPr>
        <w:spacing w:line="360" w:lineRule="auto"/>
        <w:ind w:firstLineChars="200" w:firstLine="420"/>
        <w:jc w:val="left"/>
        <w:divId w:val="216235872"/>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01422B60" w14:textId="77777777" w:rsidR="006E7CA1" w:rsidRDefault="006E7CA1">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6286C010" w14:textId="77777777" w:rsidR="006E7CA1" w:rsidRDefault="006E7CA1">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66831CDF" w14:textId="77777777" w:rsidR="006E7CA1" w:rsidRDefault="006E7CA1">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lastRenderedPageBreak/>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4EF7945E" w14:textId="77777777" w:rsidR="006E7CA1" w:rsidRDefault="006E7CA1">
      <w:pPr>
        <w:wordWrap w:val="0"/>
        <w:spacing w:line="360" w:lineRule="auto"/>
        <w:jc w:val="right"/>
        <w:divId w:val="1103765597"/>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721"/>
        <w:gridCol w:w="2500"/>
      </w:tblGrid>
      <w:tr w:rsidR="00696E54" w14:paraId="64CDEB94" w14:textId="77777777">
        <w:trPr>
          <w:divId w:val="1103765597"/>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0B03AF92" w14:textId="77777777" w:rsidR="006E7CA1" w:rsidRDefault="006E7CA1">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732A37" w14:textId="77777777" w:rsidR="006E7CA1" w:rsidRDefault="006E7CA1">
            <w:pPr>
              <w:ind w:right="3"/>
              <w:jc w:val="center"/>
            </w:pPr>
            <w:r>
              <w:rPr>
                <w:rFonts w:ascii="宋体" w:hAnsi="宋体" w:hint="eastAsia"/>
                <w:lang w:eastAsia="zh-Hans"/>
              </w:rPr>
              <w:t>摩根领先优选混合A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73FF9" w14:textId="77777777" w:rsidR="006E7CA1" w:rsidRDefault="006E7CA1">
            <w:pPr>
              <w:ind w:right="3"/>
              <w:jc w:val="center"/>
            </w:pPr>
            <w:r>
              <w:rPr>
                <w:rFonts w:ascii="宋体" w:hAnsi="宋体" w:hint="eastAsia"/>
                <w:lang w:eastAsia="zh-Hans"/>
              </w:rPr>
              <w:t>摩根领先优选混合C</w:t>
            </w:r>
            <w:r>
              <w:rPr>
                <w:rFonts w:ascii="宋体" w:hAnsi="宋体" w:hint="eastAsia"/>
                <w:kern w:val="0"/>
                <w:szCs w:val="24"/>
                <w:lang w:eastAsia="zh-Hans"/>
              </w:rPr>
              <w:t xml:space="preserve"> </w:t>
            </w:r>
          </w:p>
        </w:tc>
      </w:tr>
      <w:tr w:rsidR="00696E54" w14:paraId="1CAC29B3" w14:textId="77777777">
        <w:trPr>
          <w:divId w:val="11037655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D3687A" w14:textId="77777777" w:rsidR="006E7CA1" w:rsidRDefault="006E7CA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5BF6C0" w14:textId="77777777" w:rsidR="006E7CA1" w:rsidRDefault="006E7CA1">
            <w:pPr>
              <w:jc w:val="right"/>
            </w:pPr>
            <w:r>
              <w:rPr>
                <w:rFonts w:ascii="宋体" w:hAnsi="宋体" w:hint="eastAsia"/>
              </w:rPr>
              <w:t>22,770,691.87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15E2D8" w14:textId="77777777" w:rsidR="006E7CA1" w:rsidRDefault="006E7CA1">
            <w:pPr>
              <w:jc w:val="right"/>
            </w:pPr>
            <w:r>
              <w:rPr>
                <w:rFonts w:ascii="宋体" w:hAnsi="宋体" w:hint="eastAsia"/>
              </w:rPr>
              <w:t>224,443.75</w:t>
            </w:r>
          </w:p>
        </w:tc>
      </w:tr>
      <w:tr w:rsidR="00696E54" w14:paraId="6D6A4CA1" w14:textId="77777777">
        <w:trPr>
          <w:divId w:val="11037655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3C87879" w14:textId="77777777" w:rsidR="006E7CA1" w:rsidRDefault="006E7CA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C2662B" w14:textId="77777777" w:rsidR="006E7CA1" w:rsidRDefault="006E7CA1">
            <w:pPr>
              <w:jc w:val="right"/>
            </w:pPr>
            <w:r>
              <w:rPr>
                <w:rFonts w:ascii="宋体" w:hAnsi="宋体" w:hint="eastAsia"/>
              </w:rPr>
              <w:t>736,052.24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D6398B" w14:textId="77777777" w:rsidR="006E7CA1" w:rsidRDefault="006E7CA1">
            <w:pPr>
              <w:jc w:val="right"/>
            </w:pPr>
            <w:r>
              <w:rPr>
                <w:rFonts w:ascii="宋体" w:hAnsi="宋体" w:hint="eastAsia"/>
              </w:rPr>
              <w:t>31,184.10</w:t>
            </w:r>
          </w:p>
        </w:tc>
      </w:tr>
      <w:tr w:rsidR="00696E54" w14:paraId="7DCE82FE" w14:textId="77777777">
        <w:trPr>
          <w:divId w:val="11037655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0AB31A" w14:textId="77777777" w:rsidR="006E7CA1" w:rsidRDefault="006E7CA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F85B49B" w14:textId="77777777" w:rsidR="006E7CA1" w:rsidRDefault="006E7CA1">
            <w:pPr>
              <w:jc w:val="right"/>
            </w:pPr>
            <w:r>
              <w:rPr>
                <w:rFonts w:ascii="宋体" w:hAnsi="宋体" w:hint="eastAsia"/>
              </w:rPr>
              <w:t>6,774,421.35</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6E4EB7" w14:textId="77777777" w:rsidR="006E7CA1" w:rsidRDefault="006E7CA1">
            <w:pPr>
              <w:jc w:val="right"/>
            </w:pPr>
            <w:r>
              <w:rPr>
                <w:rFonts w:ascii="宋体" w:hAnsi="宋体" w:hint="eastAsia"/>
              </w:rPr>
              <w:t>59,569.79</w:t>
            </w:r>
          </w:p>
        </w:tc>
      </w:tr>
      <w:tr w:rsidR="00696E54" w14:paraId="19CD70CC" w14:textId="77777777">
        <w:trPr>
          <w:divId w:val="11037655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84332C" w14:textId="77777777" w:rsidR="006E7CA1" w:rsidRDefault="006E7CA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AC0436" w14:textId="77777777" w:rsidR="006E7CA1" w:rsidRDefault="006E7CA1">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2A74BF" w14:textId="77777777" w:rsidR="006E7CA1" w:rsidRDefault="006E7CA1">
            <w:pPr>
              <w:jc w:val="right"/>
            </w:pPr>
            <w:r>
              <w:rPr>
                <w:rFonts w:ascii="宋体" w:hAnsi="宋体" w:hint="eastAsia"/>
              </w:rPr>
              <w:t>-</w:t>
            </w:r>
          </w:p>
        </w:tc>
      </w:tr>
      <w:tr w:rsidR="00696E54" w14:paraId="45211F3C" w14:textId="77777777">
        <w:trPr>
          <w:divId w:val="1103765597"/>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96CF86E" w14:textId="77777777" w:rsidR="006E7CA1" w:rsidRDefault="006E7CA1">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83883F" w14:textId="77777777" w:rsidR="006E7CA1" w:rsidRDefault="006E7CA1">
            <w:pPr>
              <w:jc w:val="right"/>
            </w:pPr>
            <w:r>
              <w:rPr>
                <w:rFonts w:ascii="宋体" w:hAnsi="宋体" w:hint="eastAsia"/>
              </w:rPr>
              <w:t>16,732,322.76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0ED57F" w14:textId="77777777" w:rsidR="006E7CA1" w:rsidRDefault="006E7CA1">
            <w:pPr>
              <w:jc w:val="right"/>
            </w:pPr>
            <w:r>
              <w:rPr>
                <w:rFonts w:ascii="宋体" w:hAnsi="宋体" w:hint="eastAsia"/>
              </w:rPr>
              <w:t>196,058.06</w:t>
            </w:r>
          </w:p>
        </w:tc>
      </w:tr>
    </w:tbl>
    <w:p w14:paraId="22B8202F" w14:textId="77777777" w:rsidR="006E7CA1" w:rsidRDefault="006E7CA1">
      <w:pPr>
        <w:spacing w:line="360" w:lineRule="auto"/>
        <w:jc w:val="left"/>
        <w:divId w:val="1103765597"/>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0CB76752" w14:textId="77777777" w:rsidR="006E7CA1" w:rsidRDefault="006E7CA1">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730369C3" w14:textId="77777777" w:rsidR="006E7CA1" w:rsidRDefault="006E7CA1">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64FD47C9" w14:textId="77777777" w:rsidR="006E7CA1" w:rsidRDefault="006E7CA1">
      <w:pPr>
        <w:wordWrap w:val="0"/>
        <w:spacing w:line="360" w:lineRule="auto"/>
        <w:jc w:val="right"/>
        <w:divId w:val="1679966718"/>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696E54" w14:paraId="28E3467E" w14:textId="77777777">
        <w:trPr>
          <w:divId w:val="1679966718"/>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B7E43A" w14:textId="77777777" w:rsidR="006E7CA1" w:rsidRDefault="006E7CA1">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BB68BA" w14:textId="77777777" w:rsidR="006E7CA1" w:rsidRDefault="006E7CA1">
            <w:pPr>
              <w:jc w:val="center"/>
            </w:pPr>
            <w:r>
              <w:rPr>
                <w:rFonts w:ascii="宋体" w:hAnsi="宋体" w:hint="eastAsia"/>
                <w:lang w:eastAsia="zh-Hans"/>
              </w:rPr>
              <w:t>摩根领先优选混合A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0AD7160" w14:textId="77777777" w:rsidR="006E7CA1" w:rsidRDefault="006E7CA1">
            <w:pPr>
              <w:jc w:val="center"/>
            </w:pPr>
            <w:r>
              <w:rPr>
                <w:rFonts w:ascii="宋体" w:hAnsi="宋体" w:hint="eastAsia"/>
                <w:lang w:eastAsia="zh-Hans"/>
              </w:rPr>
              <w:t>摩根领先优选混合C</w:t>
            </w:r>
            <w:r>
              <w:rPr>
                <w:rFonts w:ascii="宋体" w:hAnsi="宋体" w:hint="eastAsia"/>
                <w:color w:val="000000"/>
              </w:rPr>
              <w:t xml:space="preserve"> </w:t>
            </w:r>
          </w:p>
        </w:tc>
      </w:tr>
      <w:tr w:rsidR="00696E54" w14:paraId="11E7F13D" w14:textId="77777777">
        <w:trPr>
          <w:divId w:val="167996671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428B7" w14:textId="77777777" w:rsidR="006E7CA1" w:rsidRDefault="006E7CA1">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6ABF42" w14:textId="77777777" w:rsidR="006E7CA1" w:rsidRDefault="006E7CA1">
            <w:pPr>
              <w:jc w:val="right"/>
            </w:pPr>
            <w:r>
              <w:rPr>
                <w:rFonts w:ascii="宋体" w:hAnsi="宋体" w:hint="eastAsia"/>
                <w:kern w:val="0"/>
                <w:szCs w:val="24"/>
                <w:lang w:eastAsia="zh-Hans"/>
              </w:rPr>
              <w:t>1,059,365.58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82B74" w14:textId="77777777" w:rsidR="006E7CA1" w:rsidRDefault="006E7CA1">
            <w:pPr>
              <w:jc w:val="right"/>
            </w:pPr>
            <w:r>
              <w:rPr>
                <w:rFonts w:ascii="宋体" w:hAnsi="宋体" w:hint="eastAsia"/>
                <w:kern w:val="0"/>
                <w:szCs w:val="24"/>
                <w:lang w:eastAsia="zh-Hans"/>
              </w:rPr>
              <w:t>-</w:t>
            </w:r>
          </w:p>
        </w:tc>
      </w:tr>
      <w:tr w:rsidR="00696E54" w14:paraId="1D32EF36" w14:textId="77777777">
        <w:trPr>
          <w:divId w:val="167996671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E5A73" w14:textId="77777777" w:rsidR="006E7CA1" w:rsidRDefault="006E7CA1">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80A47A" w14:textId="77777777" w:rsidR="006E7CA1" w:rsidRDefault="006E7CA1">
            <w:pPr>
              <w:jc w:val="right"/>
            </w:pPr>
            <w:r>
              <w:rPr>
                <w:rFonts w:ascii="宋体" w:hAnsi="宋体" w:hint="eastAsia"/>
                <w:szCs w:val="24"/>
                <w:lang w:eastAsia="zh-Hans"/>
              </w:rPr>
              <w:t>311,998.24</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32A6B9" w14:textId="77777777" w:rsidR="006E7CA1" w:rsidRDefault="006E7CA1">
            <w:pPr>
              <w:jc w:val="right"/>
            </w:pPr>
            <w:r>
              <w:rPr>
                <w:rFonts w:ascii="宋体" w:hAnsi="宋体" w:hint="eastAsia"/>
                <w:szCs w:val="24"/>
                <w:lang w:eastAsia="zh-Hans"/>
              </w:rPr>
              <w:t>-</w:t>
            </w:r>
          </w:p>
        </w:tc>
      </w:tr>
      <w:tr w:rsidR="00696E54" w14:paraId="1BA8DE3D" w14:textId="77777777">
        <w:trPr>
          <w:divId w:val="167996671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0FA297" w14:textId="77777777" w:rsidR="006E7CA1" w:rsidRDefault="006E7CA1">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DD48A1" w14:textId="77777777" w:rsidR="006E7CA1" w:rsidRDefault="006E7CA1">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383729" w14:textId="77777777" w:rsidR="006E7CA1" w:rsidRDefault="006E7CA1">
            <w:pPr>
              <w:jc w:val="right"/>
            </w:pPr>
            <w:r>
              <w:rPr>
                <w:rFonts w:ascii="宋体" w:hAnsi="宋体" w:hint="eastAsia"/>
                <w:lang w:eastAsia="zh-Hans"/>
              </w:rPr>
              <w:t>-</w:t>
            </w:r>
          </w:p>
        </w:tc>
      </w:tr>
      <w:tr w:rsidR="00696E54" w14:paraId="66AE14C2" w14:textId="77777777">
        <w:trPr>
          <w:divId w:val="167996671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2826F" w14:textId="77777777" w:rsidR="006E7CA1" w:rsidRDefault="006E7CA1">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29F9C" w14:textId="77777777" w:rsidR="006E7CA1" w:rsidRDefault="006E7CA1">
            <w:pPr>
              <w:jc w:val="right"/>
            </w:pPr>
            <w:r>
              <w:rPr>
                <w:rFonts w:ascii="宋体" w:hAnsi="宋体" w:hint="eastAsia"/>
                <w:lang w:eastAsia="zh-Hans"/>
              </w:rPr>
              <w:t>1,371,363.82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2201DB" w14:textId="77777777" w:rsidR="006E7CA1" w:rsidRDefault="006E7CA1">
            <w:pPr>
              <w:jc w:val="right"/>
            </w:pPr>
            <w:r>
              <w:rPr>
                <w:rFonts w:ascii="宋体" w:hAnsi="宋体" w:hint="eastAsia"/>
                <w:lang w:eastAsia="zh-Hans"/>
              </w:rPr>
              <w:t>-</w:t>
            </w:r>
          </w:p>
        </w:tc>
      </w:tr>
      <w:tr w:rsidR="00696E54" w14:paraId="0F3503DC" w14:textId="77777777">
        <w:trPr>
          <w:divId w:val="1679966718"/>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5F4D63" w14:textId="77777777" w:rsidR="006E7CA1" w:rsidRDefault="006E7CA1">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28B2EB" w14:textId="77777777" w:rsidR="006E7CA1" w:rsidRDefault="006E7CA1">
            <w:pPr>
              <w:jc w:val="right"/>
            </w:pPr>
            <w:r>
              <w:rPr>
                <w:rFonts w:ascii="宋体" w:hAnsi="宋体" w:hint="eastAsia"/>
                <w:lang w:eastAsia="zh-Hans"/>
              </w:rPr>
              <w:t>8.10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64C70D" w14:textId="77777777" w:rsidR="006E7CA1" w:rsidRDefault="006E7CA1">
            <w:pPr>
              <w:jc w:val="right"/>
            </w:pPr>
            <w:r>
              <w:rPr>
                <w:rFonts w:ascii="宋体" w:hAnsi="宋体" w:hint="eastAsia"/>
                <w:lang w:eastAsia="zh-Hans"/>
              </w:rPr>
              <w:t>-</w:t>
            </w:r>
          </w:p>
        </w:tc>
      </w:tr>
    </w:tbl>
    <w:p w14:paraId="7FE1C2FE" w14:textId="77777777" w:rsidR="006E7CA1" w:rsidRDefault="006E7CA1">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696E54" w14:paraId="74BC86F8" w14:textId="77777777">
        <w:trPr>
          <w:divId w:val="388773149"/>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30293B2" w14:textId="77777777" w:rsidR="006E7CA1" w:rsidRDefault="006E7CA1">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4E8CC3C" w14:textId="77777777" w:rsidR="006E7CA1" w:rsidRDefault="006E7CA1">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1EFF8F4" w14:textId="77777777" w:rsidR="006E7CA1" w:rsidRDefault="006E7CA1">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2E9CB3" w14:textId="77777777" w:rsidR="006E7CA1" w:rsidRDefault="006E7CA1">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3E8D17" w14:textId="77777777" w:rsidR="006E7CA1" w:rsidRDefault="006E7CA1">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3B7942E" w14:textId="77777777" w:rsidR="006E7CA1" w:rsidRDefault="006E7CA1">
            <w:pPr>
              <w:spacing w:line="360" w:lineRule="auto"/>
              <w:jc w:val="center"/>
            </w:pPr>
            <w:r>
              <w:rPr>
                <w:rFonts w:ascii="宋体" w:hAnsi="宋体" w:hint="eastAsia"/>
              </w:rPr>
              <w:t xml:space="preserve">适用费率 </w:t>
            </w:r>
          </w:p>
        </w:tc>
      </w:tr>
      <w:tr w:rsidR="00696E54" w14:paraId="10D45AB7" w14:textId="77777777">
        <w:trPr>
          <w:divId w:val="38877314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92C543" w14:textId="77777777" w:rsidR="006E7CA1" w:rsidRDefault="006E7CA1">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68E35" w14:textId="77777777" w:rsidR="006E7CA1" w:rsidRDefault="006E7CA1">
            <w:pPr>
              <w:spacing w:line="360" w:lineRule="auto"/>
              <w:jc w:val="center"/>
            </w:pPr>
            <w:r>
              <w:rPr>
                <w:rFonts w:ascii="宋体" w:hAnsi="宋体" w:hint="eastAsia"/>
              </w:rPr>
              <w:t>红利发放</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AA4C43" w14:textId="77777777" w:rsidR="006E7CA1" w:rsidRDefault="006E7CA1">
            <w:pPr>
              <w:spacing w:line="360" w:lineRule="auto"/>
              <w:jc w:val="center"/>
            </w:pPr>
            <w:r>
              <w:rPr>
                <w:rFonts w:ascii="宋体" w:hAnsi="宋体" w:hint="eastAsia"/>
              </w:rPr>
              <w:t>2026-01-22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3C8B59" w14:textId="77777777" w:rsidR="006E7CA1" w:rsidRDefault="006E7CA1">
            <w:pPr>
              <w:spacing w:line="360" w:lineRule="auto"/>
              <w:jc w:val="right"/>
            </w:pPr>
            <w:r>
              <w:rPr>
                <w:rFonts w:ascii="宋体" w:hAnsi="宋体" w:hint="eastAsia"/>
              </w:rPr>
              <w:t>11,104.07</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BA831E" w14:textId="77777777" w:rsidR="006E7CA1" w:rsidRDefault="006E7CA1">
            <w:pPr>
              <w:spacing w:line="360" w:lineRule="auto"/>
              <w:jc w:val="right"/>
            </w:pPr>
            <w:r>
              <w:rPr>
                <w:rFonts w:ascii="宋体" w:hAnsi="宋体" w:hint="eastAsia"/>
              </w:rPr>
              <w:t>12,606.45</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44C8B3" w14:textId="77777777" w:rsidR="006E7CA1" w:rsidRDefault="006E7CA1">
            <w:pPr>
              <w:spacing w:line="360" w:lineRule="auto"/>
              <w:jc w:val="right"/>
            </w:pPr>
            <w:r>
              <w:rPr>
                <w:rFonts w:ascii="宋体" w:hAnsi="宋体" w:hint="eastAsia"/>
              </w:rPr>
              <w:t>-</w:t>
            </w:r>
            <w:r>
              <w:t xml:space="preserve"> </w:t>
            </w:r>
          </w:p>
        </w:tc>
      </w:tr>
      <w:tr w:rsidR="00696E54" w14:paraId="1D5255B2" w14:textId="77777777">
        <w:trPr>
          <w:divId w:val="38877314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A8D03C" w14:textId="77777777" w:rsidR="006E7CA1" w:rsidRDefault="006E7CA1">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4958A7" w14:textId="77777777" w:rsidR="006E7CA1" w:rsidRDefault="006E7CA1">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DAC3C0" w14:textId="77777777" w:rsidR="006E7CA1" w:rsidRDefault="006E7CA1">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9488B9" w14:textId="77777777" w:rsidR="006E7CA1" w:rsidRDefault="006E7CA1">
            <w:pPr>
              <w:spacing w:line="360" w:lineRule="auto"/>
              <w:jc w:val="right"/>
            </w:pPr>
            <w:r>
              <w:rPr>
                <w:rFonts w:ascii="宋体" w:hAnsi="宋体" w:hint="eastAsia"/>
              </w:rPr>
              <w:t>300,894.17</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4DF13A" w14:textId="77777777" w:rsidR="006E7CA1" w:rsidRDefault="006E7CA1">
            <w:pPr>
              <w:spacing w:line="360" w:lineRule="auto"/>
              <w:jc w:val="right"/>
            </w:pPr>
            <w:r>
              <w:rPr>
                <w:rFonts w:ascii="宋体" w:hAnsi="宋体" w:hint="eastAsia"/>
              </w:rPr>
              <w:t>346,600.00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2C3DF9" w14:textId="77777777" w:rsidR="006E7CA1" w:rsidRDefault="006E7CA1">
            <w:pPr>
              <w:spacing w:line="360" w:lineRule="auto"/>
              <w:jc w:val="right"/>
            </w:pPr>
            <w:r>
              <w:rPr>
                <w:rFonts w:ascii="宋体" w:hAnsi="宋体" w:hint="eastAsia"/>
              </w:rPr>
              <w:t>-</w:t>
            </w:r>
            <w:r>
              <w:t xml:space="preserve"> </w:t>
            </w:r>
          </w:p>
        </w:tc>
      </w:tr>
      <w:tr w:rsidR="00696E54" w14:paraId="63FBEB8C" w14:textId="77777777">
        <w:trPr>
          <w:divId w:val="388773149"/>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E5824" w14:textId="77777777" w:rsidR="006E7CA1" w:rsidRDefault="006E7CA1">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84C0D" w14:textId="77777777" w:rsidR="006E7CA1" w:rsidRDefault="006E7CA1"/>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0A42A6" w14:textId="77777777" w:rsidR="006E7CA1" w:rsidRDefault="006E7CA1">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ABAF6D" w14:textId="77777777" w:rsidR="006E7CA1" w:rsidRDefault="006E7CA1">
            <w:pPr>
              <w:spacing w:line="360" w:lineRule="auto"/>
              <w:jc w:val="right"/>
            </w:pPr>
            <w:r>
              <w:rPr>
                <w:rFonts w:ascii="宋体" w:hAnsi="宋体" w:hint="eastAsia"/>
              </w:rPr>
              <w:t>311,998.24</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75A942" w14:textId="77777777" w:rsidR="006E7CA1" w:rsidRDefault="006E7CA1">
            <w:pPr>
              <w:spacing w:line="360" w:lineRule="auto"/>
              <w:jc w:val="right"/>
            </w:pPr>
            <w:r>
              <w:rPr>
                <w:rFonts w:ascii="宋体" w:hAnsi="宋体" w:hint="eastAsia"/>
              </w:rPr>
              <w:t>359,206.45</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B3FD1" w14:textId="77777777" w:rsidR="006E7CA1" w:rsidRDefault="006E7CA1"/>
        </w:tc>
      </w:tr>
    </w:tbl>
    <w:p w14:paraId="528843A8" w14:textId="77777777" w:rsidR="006E7CA1" w:rsidRDefault="006E7CA1">
      <w:pPr>
        <w:spacing w:line="360" w:lineRule="auto"/>
        <w:jc w:val="left"/>
        <w:divId w:val="789475959"/>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50987027" w14:textId="77777777" w:rsidR="006E7CA1" w:rsidRDefault="006E7CA1">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03136622" w14:textId="77777777" w:rsidR="006E7CA1" w:rsidRDefault="006E7CA1">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
        <w:gridCol w:w="1052"/>
        <w:gridCol w:w="1106"/>
        <w:gridCol w:w="1290"/>
        <w:gridCol w:w="1237"/>
        <w:gridCol w:w="1290"/>
        <w:gridCol w:w="1201"/>
        <w:gridCol w:w="1419"/>
      </w:tblGrid>
      <w:tr w:rsidR="00696E54" w14:paraId="50D6DDEC" w14:textId="77777777">
        <w:trPr>
          <w:divId w:val="596717344"/>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41D14A" w14:textId="77777777" w:rsidR="006E7CA1" w:rsidRDefault="006E7CA1">
            <w:pPr>
              <w:jc w:val="center"/>
            </w:pPr>
            <w:bookmarkStart w:id="347" w:name="OLE_LINK42"/>
            <w:bookmarkStart w:id="348" w:name="OLE_LINK41"/>
            <w:bookmarkStart w:id="349" w:name="m13_01"/>
            <w:bookmarkStart w:id="350" w:name="m13_01_01"/>
            <w:bookmarkStart w:id="351" w:name="_Toc433036733"/>
            <w:bookmarkStart w:id="352" w:name="m12_01"/>
            <w:bookmarkEnd w:id="22"/>
            <w:bookmarkEnd w:id="42"/>
            <w:bookmarkEnd w:id="43"/>
            <w:bookmarkEnd w:id="347"/>
            <w:bookmarkEnd w:id="348"/>
            <w:bookmarkEnd w:id="349"/>
            <w:bookmarkEnd w:id="350"/>
            <w:bookmarkEnd w:id="351"/>
            <w:bookmarkEnd w:id="35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06BA6E" w14:textId="77777777" w:rsidR="006E7CA1" w:rsidRDefault="006E7CA1">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2B07CC" w14:textId="77777777" w:rsidR="006E7CA1" w:rsidRDefault="006E7CA1">
            <w:pPr>
              <w:widowControl/>
              <w:jc w:val="center"/>
            </w:pPr>
            <w:r>
              <w:rPr>
                <w:rFonts w:ascii="宋体" w:hAnsi="宋体" w:hint="eastAsia"/>
                <w:color w:val="000000"/>
                <w:kern w:val="0"/>
              </w:rPr>
              <w:t xml:space="preserve">报告期末持有基金情况 </w:t>
            </w:r>
          </w:p>
        </w:tc>
      </w:tr>
      <w:tr w:rsidR="00696E54" w14:paraId="20DC6EE0" w14:textId="77777777">
        <w:trPr>
          <w:divId w:val="596717344"/>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0C8524" w14:textId="77777777" w:rsidR="006E7CA1" w:rsidRDefault="006E7CA1">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15CB130" w14:textId="77777777" w:rsidR="006E7CA1" w:rsidRDefault="006E7CA1">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06429E" w14:textId="77777777" w:rsidR="006E7CA1" w:rsidRDefault="006E7CA1">
            <w:pPr>
              <w:widowControl/>
              <w:jc w:val="center"/>
            </w:pPr>
            <w:r>
              <w:rPr>
                <w:rFonts w:ascii="宋体" w:hAnsi="宋体" w:hint="eastAsia"/>
                <w:color w:val="000000"/>
                <w:kern w:val="0"/>
              </w:rPr>
              <w:t>持有基金份额比例达到或者超过</w:t>
            </w:r>
            <w:r>
              <w:rPr>
                <w:rFonts w:ascii="宋体" w:hAnsi="宋体" w:hint="eastAsia"/>
                <w:color w:val="000000"/>
                <w:kern w:val="0"/>
              </w:rPr>
              <w:lastRenderedPageBreak/>
              <w:t xml:space="preserve">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36B2D8" w14:textId="77777777" w:rsidR="006E7CA1" w:rsidRDefault="006E7CA1">
            <w:pPr>
              <w:widowControl/>
              <w:jc w:val="center"/>
            </w:pPr>
            <w:r>
              <w:rPr>
                <w:rFonts w:ascii="宋体" w:hAnsi="宋体" w:hint="eastAsia"/>
                <w:color w:val="000000"/>
                <w:kern w:val="0"/>
              </w:rPr>
              <w:lastRenderedPageBreak/>
              <w:t xml:space="preserve">期初 </w:t>
            </w:r>
          </w:p>
          <w:p w14:paraId="2877BD4C" w14:textId="77777777" w:rsidR="006E7CA1" w:rsidRDefault="006E7CA1">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A5C243" w14:textId="77777777" w:rsidR="006E7CA1" w:rsidRDefault="006E7CA1">
            <w:pPr>
              <w:widowControl/>
              <w:jc w:val="center"/>
            </w:pPr>
            <w:r>
              <w:rPr>
                <w:rFonts w:ascii="宋体" w:hAnsi="宋体" w:hint="eastAsia"/>
                <w:color w:val="000000"/>
                <w:kern w:val="0"/>
              </w:rPr>
              <w:t xml:space="preserve">申购 </w:t>
            </w:r>
          </w:p>
          <w:p w14:paraId="361A39EA" w14:textId="77777777" w:rsidR="006E7CA1" w:rsidRDefault="006E7CA1">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2C9AFA" w14:textId="77777777" w:rsidR="006E7CA1" w:rsidRDefault="006E7CA1">
            <w:pPr>
              <w:widowControl/>
              <w:jc w:val="center"/>
            </w:pPr>
            <w:r>
              <w:rPr>
                <w:rFonts w:ascii="宋体" w:hAnsi="宋体" w:hint="eastAsia"/>
                <w:color w:val="000000"/>
                <w:kern w:val="0"/>
              </w:rPr>
              <w:t xml:space="preserve">赎回 </w:t>
            </w:r>
          </w:p>
          <w:p w14:paraId="754241E8" w14:textId="77777777" w:rsidR="006E7CA1" w:rsidRDefault="006E7CA1">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E7605D" w14:textId="77777777" w:rsidR="006E7CA1" w:rsidRDefault="006E7CA1">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6885A9" w14:textId="77777777" w:rsidR="006E7CA1" w:rsidRDefault="006E7CA1">
            <w:pPr>
              <w:widowControl/>
              <w:jc w:val="center"/>
            </w:pPr>
            <w:r>
              <w:rPr>
                <w:rFonts w:ascii="宋体" w:hAnsi="宋体" w:hint="eastAsia"/>
                <w:color w:val="000000"/>
                <w:kern w:val="0"/>
              </w:rPr>
              <w:t xml:space="preserve">份额占比 </w:t>
            </w:r>
          </w:p>
        </w:tc>
      </w:tr>
      <w:tr w:rsidR="00696E54" w14:paraId="3253F4CA" w14:textId="77777777">
        <w:trPr>
          <w:divId w:val="596717344"/>
          <w:trHeight w:val="285"/>
        </w:trPr>
        <w:tc>
          <w:tcPr>
            <w:tcW w:w="12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964FFB" w14:textId="77777777" w:rsidR="006E7CA1" w:rsidRDefault="006E7CA1">
            <w:pPr>
              <w:widowControl/>
              <w:jc w:val="center"/>
            </w:pPr>
            <w:r>
              <w:rPr>
                <w:rFonts w:ascii="宋体" w:hAnsi="宋体" w:hint="eastAsia"/>
                <w:color w:val="000000"/>
                <w:szCs w:val="21"/>
              </w:rPr>
              <w:t>个人</w:t>
            </w:r>
          </w:p>
        </w:tc>
        <w:tc>
          <w:tcPr>
            <w:tcW w:w="61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72A65" w14:textId="77777777" w:rsidR="006E7CA1" w:rsidRDefault="006E7CA1">
            <w:pPr>
              <w:widowControl/>
              <w:jc w:val="center"/>
            </w:pPr>
            <w:r>
              <w:rPr>
                <w:rFonts w:ascii="宋体" w:hAnsi="宋体" w:hint="eastAsia"/>
                <w:color w:val="000000"/>
                <w:szCs w:val="21"/>
              </w:rPr>
              <w:t>1</w:t>
            </w:r>
          </w:p>
        </w:tc>
        <w:tc>
          <w:tcPr>
            <w:tcW w:w="6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725934" w14:textId="77777777" w:rsidR="006E7CA1" w:rsidRDefault="006E7CA1">
            <w:pPr>
              <w:widowControl/>
              <w:jc w:val="center"/>
            </w:pPr>
            <w:r>
              <w:rPr>
                <w:rFonts w:ascii="宋体" w:hAnsi="宋体" w:hint="eastAsia"/>
                <w:color w:val="000000"/>
                <w:szCs w:val="21"/>
              </w:rPr>
              <w:t>20260101-20260127</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50B1C" w14:textId="77777777" w:rsidR="006E7CA1" w:rsidRDefault="006E7CA1">
            <w:pPr>
              <w:widowControl/>
              <w:jc w:val="right"/>
            </w:pPr>
            <w:r>
              <w:rPr>
                <w:rFonts w:ascii="宋体" w:hAnsi="宋体" w:hint="eastAsia"/>
                <w:color w:val="000000"/>
                <w:szCs w:val="21"/>
              </w:rPr>
              <w:t>5,000,350.00</w:t>
            </w:r>
          </w:p>
        </w:tc>
        <w:tc>
          <w:tcPr>
            <w:tcW w:w="7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182EAD" w14:textId="77777777" w:rsidR="006E7CA1" w:rsidRDefault="006E7CA1">
            <w:pPr>
              <w:widowControl/>
              <w:jc w:val="right"/>
            </w:pPr>
            <w:r>
              <w:rPr>
                <w:rFonts w:ascii="宋体" w:hAnsi="宋体" w:hint="eastAsia"/>
                <w:color w:val="000000"/>
                <w:szCs w:val="21"/>
              </w:rPr>
              <w:t>0.00</w:t>
            </w:r>
          </w:p>
        </w:tc>
        <w:tc>
          <w:tcPr>
            <w:tcW w:w="70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38634" w14:textId="77777777" w:rsidR="006E7CA1" w:rsidRDefault="006E7CA1">
            <w:pPr>
              <w:widowControl/>
              <w:jc w:val="right"/>
            </w:pPr>
            <w:r>
              <w:rPr>
                <w:rFonts w:ascii="宋体" w:hAnsi="宋体" w:hint="eastAsia"/>
                <w:color w:val="000000"/>
                <w:szCs w:val="21"/>
              </w:rPr>
              <w:t>5,000,350.00</w:t>
            </w:r>
          </w:p>
        </w:tc>
        <w:tc>
          <w:tcPr>
            <w:tcW w:w="6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04D30" w14:textId="77777777" w:rsidR="006E7CA1" w:rsidRDefault="006E7CA1">
            <w:pPr>
              <w:widowControl/>
              <w:jc w:val="right"/>
            </w:pPr>
            <w:r>
              <w:rPr>
                <w:rFonts w:ascii="宋体" w:hAnsi="宋体" w:hint="eastAsia"/>
                <w:color w:val="000000"/>
                <w:szCs w:val="21"/>
              </w:rPr>
              <w:t>0.00</w:t>
            </w:r>
            <w:r>
              <w:rPr>
                <w:rFonts w:ascii="宋体" w:hAnsi="宋体" w:hint="eastAsia"/>
                <w:color w:val="000000"/>
                <w:kern w:val="0"/>
                <w:sz w:val="22"/>
              </w:rPr>
              <w:t xml:space="preserve"> </w:t>
            </w:r>
          </w:p>
        </w:tc>
        <w:tc>
          <w:tcPr>
            <w:tcW w:w="81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9DEB2D" w14:textId="77777777" w:rsidR="006E7CA1" w:rsidRDefault="006E7CA1">
            <w:pPr>
              <w:widowControl/>
              <w:jc w:val="right"/>
            </w:pPr>
            <w:r>
              <w:rPr>
                <w:rFonts w:ascii="宋体" w:hAnsi="宋体" w:hint="eastAsia"/>
                <w:color w:val="000000"/>
                <w:szCs w:val="21"/>
              </w:rPr>
              <w:t>0.00</w:t>
            </w:r>
            <w:r>
              <w:rPr>
                <w:szCs w:val="21"/>
              </w:rPr>
              <w:t>%</w:t>
            </w:r>
            <w:r>
              <w:t xml:space="preserve"> </w:t>
            </w:r>
          </w:p>
        </w:tc>
      </w:tr>
      <w:tr w:rsidR="00696E54" w14:paraId="6B42D50F" w14:textId="77777777">
        <w:trPr>
          <w:divId w:val="59671734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E2C23F" w14:textId="77777777" w:rsidR="006E7CA1" w:rsidRDefault="006E7CA1">
            <w:pPr>
              <w:widowControl/>
              <w:jc w:val="center"/>
            </w:pPr>
            <w:r>
              <w:rPr>
                <w:rFonts w:ascii="宋体" w:hAnsi="宋体" w:hint="eastAsia"/>
                <w:color w:val="000000"/>
                <w:kern w:val="0"/>
              </w:rPr>
              <w:t xml:space="preserve">产品特有风险 </w:t>
            </w:r>
          </w:p>
        </w:tc>
      </w:tr>
      <w:tr w:rsidR="00696E54" w14:paraId="293A8114" w14:textId="77777777">
        <w:trPr>
          <w:divId w:val="596717344"/>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F4890C" w14:textId="77777777" w:rsidR="006E7CA1" w:rsidRDefault="006E7CA1">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4476AF83" w14:textId="77777777" w:rsidR="006E7CA1" w:rsidRDefault="006E7CA1">
      <w:pPr>
        <w:pStyle w:val="XBRLTitle1"/>
        <w:spacing w:before="156" w:line="360" w:lineRule="auto"/>
        <w:ind w:left="425"/>
      </w:pPr>
      <w:bookmarkStart w:id="353" w:name="_Toc17898228"/>
      <w:bookmarkStart w:id="354" w:name="_Toc17897969"/>
      <w:bookmarkStart w:id="355" w:name="_Toc512519529"/>
      <w:bookmarkStart w:id="356" w:name="_Toc490050049"/>
      <w:bookmarkStart w:id="357" w:name="_Toc481075097"/>
      <w:bookmarkStart w:id="358" w:name="_Toc438646481"/>
      <w:bookmarkStart w:id="359" w:name="_Toc513295878"/>
      <w:bookmarkStart w:id="360" w:name="_Toc513295941"/>
      <w:bookmarkEnd w:id="339"/>
      <w:proofErr w:type="spellStart"/>
      <w:r>
        <w:rPr>
          <w:rFonts w:hAnsi="宋体" w:hint="eastAsia"/>
        </w:rPr>
        <w:t>备查文件目录</w:t>
      </w:r>
      <w:bookmarkEnd w:id="353"/>
      <w:bookmarkEnd w:id="354"/>
      <w:bookmarkEnd w:id="355"/>
      <w:bookmarkEnd w:id="356"/>
      <w:bookmarkEnd w:id="357"/>
      <w:bookmarkEnd w:id="358"/>
      <w:bookmarkEnd w:id="359"/>
      <w:bookmarkEnd w:id="360"/>
      <w:proofErr w:type="spellEnd"/>
      <w:r>
        <w:rPr>
          <w:rFonts w:hAnsi="宋体" w:hint="eastAsia"/>
        </w:rPr>
        <w:t xml:space="preserve"> </w:t>
      </w:r>
    </w:p>
    <w:p w14:paraId="183806DD" w14:textId="77777777" w:rsidR="006E7CA1" w:rsidRDefault="006E7CA1">
      <w:pPr>
        <w:pStyle w:val="XBRLTitle2"/>
        <w:spacing w:before="156" w:line="360" w:lineRule="auto"/>
        <w:ind w:left="454"/>
      </w:pPr>
      <w:bookmarkStart w:id="361" w:name="_Toc438646482"/>
      <w:bookmarkStart w:id="362" w:name="_Toc17898229"/>
      <w:bookmarkStart w:id="363" w:name="_Toc17897970"/>
      <w:bookmarkStart w:id="364" w:name="_Toc512519530"/>
      <w:bookmarkStart w:id="365" w:name="_Toc481075098"/>
      <w:bookmarkStart w:id="366" w:name="_Toc490050050"/>
      <w:bookmarkStart w:id="367" w:name="_Toc513295879"/>
      <w:bookmarkStart w:id="368" w:name="_Toc513295942"/>
      <w:bookmarkStart w:id="369" w:name="m801_01_1733"/>
      <w:proofErr w:type="spellStart"/>
      <w:r>
        <w:rPr>
          <w:rFonts w:hAnsi="宋体" w:hint="eastAsia"/>
        </w:rPr>
        <w:t>备查文件目录</w:t>
      </w:r>
      <w:bookmarkEnd w:id="361"/>
      <w:bookmarkEnd w:id="362"/>
      <w:bookmarkEnd w:id="363"/>
      <w:bookmarkEnd w:id="364"/>
      <w:bookmarkEnd w:id="365"/>
      <w:bookmarkEnd w:id="366"/>
      <w:bookmarkEnd w:id="367"/>
      <w:bookmarkEnd w:id="368"/>
      <w:proofErr w:type="spellEnd"/>
      <w:r>
        <w:rPr>
          <w:rFonts w:hAnsi="宋体" w:hint="eastAsia"/>
        </w:rPr>
        <w:t xml:space="preserve"> </w:t>
      </w:r>
    </w:p>
    <w:p w14:paraId="386C10B2" w14:textId="77777777" w:rsidR="006E7CA1" w:rsidRDefault="006E7CA1">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(二)摩根领先优选混合型证券投资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(三)摩根领先优选混合型证券投资基金托管协议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4C95049" w14:textId="77777777" w:rsidR="006E7CA1" w:rsidRDefault="006E7CA1">
      <w:pPr>
        <w:pStyle w:val="XBRLTitle2"/>
        <w:spacing w:before="156" w:line="360" w:lineRule="auto"/>
        <w:ind w:left="454"/>
      </w:pPr>
      <w:bookmarkStart w:id="370" w:name="_Toc438646483"/>
      <w:bookmarkStart w:id="371" w:name="_Toc17898230"/>
      <w:bookmarkStart w:id="372" w:name="_Toc17897971"/>
      <w:bookmarkStart w:id="373" w:name="_Toc512519531"/>
      <w:bookmarkStart w:id="374" w:name="_Toc481075099"/>
      <w:bookmarkStart w:id="375" w:name="_Toc490050051"/>
      <w:bookmarkStart w:id="376" w:name="_Toc513295880"/>
      <w:bookmarkStart w:id="377" w:name="_Toc513295943"/>
      <w:bookmarkStart w:id="378" w:name="m801_01_1734"/>
      <w:bookmarkEnd w:id="369"/>
      <w:proofErr w:type="spellStart"/>
      <w:r>
        <w:rPr>
          <w:rFonts w:hAnsi="宋体" w:hint="eastAsia"/>
        </w:rPr>
        <w:t>存放地点</w:t>
      </w:r>
      <w:bookmarkEnd w:id="370"/>
      <w:bookmarkEnd w:id="371"/>
      <w:bookmarkEnd w:id="372"/>
      <w:bookmarkEnd w:id="373"/>
      <w:bookmarkEnd w:id="374"/>
      <w:bookmarkEnd w:id="375"/>
      <w:bookmarkEnd w:id="376"/>
      <w:bookmarkEnd w:id="377"/>
      <w:proofErr w:type="spellEnd"/>
      <w:r>
        <w:rPr>
          <w:rFonts w:hAnsi="宋体" w:hint="eastAsia"/>
        </w:rPr>
        <w:t xml:space="preserve"> </w:t>
      </w:r>
    </w:p>
    <w:p w14:paraId="5A19CF45" w14:textId="77777777" w:rsidR="006E7CA1" w:rsidRDefault="006E7CA1">
      <w:pPr>
        <w:spacing w:line="360" w:lineRule="auto"/>
        <w:ind w:firstLineChars="200" w:firstLine="420"/>
        <w:jc w:val="left"/>
      </w:pPr>
      <w:r>
        <w:rPr>
          <w:rFonts w:ascii="宋体" w:hAnsi="宋体" w:cs="宋体" w:hint="eastAsia"/>
          <w:color w:val="000000"/>
          <w:kern w:val="0"/>
        </w:rPr>
        <w:t>基金管理人或基金托管人住所。</w:t>
      </w:r>
    </w:p>
    <w:p w14:paraId="2B31603C" w14:textId="77777777" w:rsidR="006E7CA1" w:rsidRDefault="006E7CA1">
      <w:pPr>
        <w:pStyle w:val="XBRLTitle2"/>
        <w:spacing w:before="156" w:line="360" w:lineRule="auto"/>
        <w:ind w:left="454"/>
      </w:pPr>
      <w:bookmarkStart w:id="379" w:name="_Toc438646484"/>
      <w:bookmarkStart w:id="380" w:name="_Toc17898231"/>
      <w:bookmarkStart w:id="381" w:name="_Toc17897972"/>
      <w:bookmarkStart w:id="382" w:name="_Toc512519532"/>
      <w:bookmarkStart w:id="383" w:name="_Toc481075100"/>
      <w:bookmarkStart w:id="384" w:name="_Toc490050052"/>
      <w:bookmarkStart w:id="385" w:name="_Toc513295881"/>
      <w:bookmarkStart w:id="386" w:name="_Toc513295944"/>
      <w:bookmarkStart w:id="387" w:name="m801_01_1735"/>
      <w:bookmarkEnd w:id="378"/>
      <w:proofErr w:type="spellStart"/>
      <w:r>
        <w:rPr>
          <w:rFonts w:hAnsi="宋体" w:hint="eastAsia"/>
        </w:rPr>
        <w:t>查阅方式</w:t>
      </w:r>
      <w:bookmarkEnd w:id="379"/>
      <w:bookmarkEnd w:id="380"/>
      <w:bookmarkEnd w:id="381"/>
      <w:bookmarkEnd w:id="382"/>
      <w:bookmarkEnd w:id="383"/>
      <w:bookmarkEnd w:id="384"/>
      <w:bookmarkEnd w:id="385"/>
      <w:bookmarkEnd w:id="386"/>
      <w:proofErr w:type="spellEnd"/>
      <w:r>
        <w:rPr>
          <w:rFonts w:hAnsi="宋体" w:hint="eastAsia"/>
        </w:rPr>
        <w:t xml:space="preserve"> </w:t>
      </w:r>
    </w:p>
    <w:p w14:paraId="2045B34B" w14:textId="77777777" w:rsidR="006E7CA1" w:rsidRDefault="006E7CA1">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7"/>
    <w:p w14:paraId="2CFC0164" w14:textId="77777777" w:rsidR="006E7CA1" w:rsidRDefault="006E7CA1">
      <w:pPr>
        <w:spacing w:line="360" w:lineRule="auto"/>
        <w:ind w:firstLineChars="600" w:firstLine="1687"/>
        <w:jc w:val="left"/>
      </w:pPr>
      <w:r>
        <w:rPr>
          <w:rFonts w:ascii="宋体" w:hAnsi="宋体" w:hint="eastAsia"/>
          <w:b/>
          <w:bCs/>
          <w:sz w:val="28"/>
          <w:szCs w:val="30"/>
        </w:rPr>
        <w:t xml:space="preserve">　 </w:t>
      </w:r>
    </w:p>
    <w:p w14:paraId="5ACE1532" w14:textId="77777777" w:rsidR="006E7CA1" w:rsidRDefault="006E7CA1">
      <w:pPr>
        <w:spacing w:line="360" w:lineRule="auto"/>
        <w:ind w:firstLineChars="600" w:firstLine="1687"/>
        <w:jc w:val="left"/>
      </w:pPr>
      <w:r>
        <w:rPr>
          <w:rFonts w:ascii="宋体" w:hAnsi="宋体" w:hint="eastAsia"/>
          <w:b/>
          <w:bCs/>
          <w:sz w:val="28"/>
          <w:szCs w:val="30"/>
        </w:rPr>
        <w:t xml:space="preserve">　 </w:t>
      </w:r>
    </w:p>
    <w:p w14:paraId="2F0FFE06" w14:textId="77777777" w:rsidR="006E7CA1" w:rsidRDefault="006E7CA1">
      <w:pPr>
        <w:spacing w:line="360" w:lineRule="auto"/>
        <w:ind w:firstLineChars="600" w:firstLine="1446"/>
        <w:jc w:val="right"/>
      </w:pPr>
      <w:r>
        <w:rPr>
          <w:rFonts w:ascii="宋体" w:hAnsi="宋体" w:hint="eastAsia"/>
          <w:b/>
          <w:bCs/>
          <w:sz w:val="24"/>
          <w:szCs w:val="24"/>
        </w:rPr>
        <w:t>摩根基金管理（中国）有限公司</w:t>
      </w:r>
    </w:p>
    <w:p w14:paraId="13910460" w14:textId="77777777" w:rsidR="006E7CA1" w:rsidRDefault="006E7CA1">
      <w:pPr>
        <w:spacing w:line="360" w:lineRule="auto"/>
        <w:ind w:firstLineChars="600" w:firstLine="1446"/>
        <w:jc w:val="right"/>
        <w:rPr>
          <w:rFonts w:ascii="宋体" w:hAnsi="宋体"/>
          <w:b/>
          <w:bCs/>
          <w:sz w:val="24"/>
          <w:szCs w:val="24"/>
        </w:rPr>
      </w:pPr>
      <w:r>
        <w:rPr>
          <w:rFonts w:ascii="宋体" w:hAnsi="宋体" w:hint="eastAsia"/>
          <w:b/>
          <w:bCs/>
          <w:sz w:val="24"/>
          <w:szCs w:val="24"/>
        </w:rPr>
        <w:t>2026年4月22日</w:t>
      </w:r>
      <w:bookmarkEnd w:id="23"/>
    </w:p>
    <w:p w14:paraId="2AED5030" w14:textId="77777777" w:rsidR="00B26E57" w:rsidRDefault="00B26E57">
      <w:pPr>
        <w:spacing w:line="360" w:lineRule="auto"/>
        <w:ind w:firstLineChars="600" w:firstLine="1260"/>
        <w:jc w:val="right"/>
        <w:rPr>
          <w:rFonts w:hint="eastAsia"/>
        </w:rPr>
      </w:pPr>
    </w:p>
    <w:sectPr w:rsidR="00B26E57">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6FAC" w14:textId="77777777" w:rsidR="00295FD9" w:rsidRDefault="00295FD9">
      <w:pPr>
        <w:rPr>
          <w:szCs w:val="21"/>
        </w:rPr>
      </w:pPr>
      <w:r>
        <w:rPr>
          <w:szCs w:val="21"/>
        </w:rPr>
        <w:separator/>
      </w:r>
      <w:r>
        <w:rPr>
          <w:szCs w:val="21"/>
        </w:rPr>
        <w:t xml:space="preserve"> </w:t>
      </w:r>
    </w:p>
  </w:endnote>
  <w:endnote w:type="continuationSeparator" w:id="0">
    <w:p w14:paraId="3061B12D" w14:textId="77777777" w:rsidR="00295FD9" w:rsidRDefault="00295FD9">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807EE" w14:textId="77777777" w:rsidR="006E7CA1" w:rsidRDefault="006E7CA1">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A445C" w14:textId="77777777" w:rsidR="00295FD9" w:rsidRDefault="00295FD9">
      <w:pPr>
        <w:rPr>
          <w:szCs w:val="21"/>
        </w:rPr>
      </w:pPr>
      <w:r>
        <w:rPr>
          <w:szCs w:val="21"/>
        </w:rPr>
        <w:separator/>
      </w:r>
      <w:r>
        <w:rPr>
          <w:szCs w:val="21"/>
        </w:rPr>
        <w:t xml:space="preserve"> </w:t>
      </w:r>
    </w:p>
  </w:footnote>
  <w:footnote w:type="continuationSeparator" w:id="0">
    <w:p w14:paraId="191FF373" w14:textId="77777777" w:rsidR="00295FD9" w:rsidRDefault="00295FD9">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BFD9" w14:textId="77777777" w:rsidR="006E7CA1" w:rsidRDefault="006E7CA1">
    <w:pPr>
      <w:pStyle w:val="a8"/>
      <w:jc w:val="right"/>
    </w:pPr>
    <w:r>
      <w:rPr>
        <w:rFonts w:ascii="宋体" w:hAnsi="宋体" w:hint="eastAsia"/>
      </w:rPr>
      <w:t>摩根领先优选混合型证券投资基金2026年第1季度报告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376660522">
    <w:abstractNumId w:val="0"/>
  </w:num>
  <w:num w:numId="2" w16cid:durableId="581765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32F"/>
    <w:rsid w:val="00174E2A"/>
    <w:rsid w:val="00295FD9"/>
    <w:rsid w:val="004356C8"/>
    <w:rsid w:val="00696E54"/>
    <w:rsid w:val="006E7CA1"/>
    <w:rsid w:val="007C6E77"/>
    <w:rsid w:val="00954B54"/>
    <w:rsid w:val="00B26E57"/>
    <w:rsid w:val="00B6532F"/>
    <w:rsid w:val="00C17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0C031203"/>
  <w15:chartTrackingRefBased/>
  <w15:docId w15:val="{7282400A-6D31-4146-A15E-B30A28734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40312">
      <w:marLeft w:val="0"/>
      <w:marRight w:val="0"/>
      <w:marTop w:val="0"/>
      <w:marBottom w:val="0"/>
      <w:divBdr>
        <w:top w:val="none" w:sz="0" w:space="0" w:color="auto"/>
        <w:left w:val="none" w:sz="0" w:space="0" w:color="auto"/>
        <w:bottom w:val="none" w:sz="0" w:space="0" w:color="auto"/>
        <w:right w:val="none" w:sz="0" w:space="0" w:color="auto"/>
      </w:divBdr>
      <w:divsChild>
        <w:div w:id="596717344">
          <w:marLeft w:val="0"/>
          <w:marRight w:val="0"/>
          <w:marTop w:val="0"/>
          <w:marBottom w:val="0"/>
          <w:divBdr>
            <w:top w:val="none" w:sz="0" w:space="0" w:color="auto"/>
            <w:left w:val="none" w:sz="0" w:space="0" w:color="auto"/>
            <w:bottom w:val="none" w:sz="0" w:space="0" w:color="auto"/>
            <w:right w:val="none" w:sz="0" w:space="0" w:color="auto"/>
          </w:divBdr>
        </w:div>
      </w:divsChild>
    </w:div>
    <w:div w:id="216235872">
      <w:marLeft w:val="0"/>
      <w:marRight w:val="0"/>
      <w:marTop w:val="0"/>
      <w:marBottom w:val="0"/>
      <w:divBdr>
        <w:top w:val="none" w:sz="0" w:space="0" w:color="auto"/>
        <w:left w:val="none" w:sz="0" w:space="0" w:color="auto"/>
        <w:bottom w:val="none" w:sz="0" w:space="0" w:color="auto"/>
        <w:right w:val="none" w:sz="0" w:space="0" w:color="auto"/>
      </w:divBdr>
    </w:div>
    <w:div w:id="336344175">
      <w:marLeft w:val="0"/>
      <w:marRight w:val="0"/>
      <w:marTop w:val="0"/>
      <w:marBottom w:val="0"/>
      <w:divBdr>
        <w:top w:val="none" w:sz="0" w:space="0" w:color="auto"/>
        <w:left w:val="none" w:sz="0" w:space="0" w:color="auto"/>
        <w:bottom w:val="none" w:sz="0" w:space="0" w:color="auto"/>
        <w:right w:val="none" w:sz="0" w:space="0" w:color="auto"/>
      </w:divBdr>
      <w:divsChild>
        <w:div w:id="994915682">
          <w:marLeft w:val="0"/>
          <w:marRight w:val="0"/>
          <w:marTop w:val="0"/>
          <w:marBottom w:val="0"/>
          <w:divBdr>
            <w:top w:val="none" w:sz="0" w:space="0" w:color="auto"/>
            <w:left w:val="none" w:sz="0" w:space="0" w:color="auto"/>
            <w:bottom w:val="none" w:sz="0" w:space="0" w:color="auto"/>
            <w:right w:val="none" w:sz="0" w:space="0" w:color="auto"/>
          </w:divBdr>
        </w:div>
      </w:divsChild>
    </w:div>
    <w:div w:id="624895632">
      <w:marLeft w:val="0"/>
      <w:marRight w:val="0"/>
      <w:marTop w:val="0"/>
      <w:marBottom w:val="0"/>
      <w:divBdr>
        <w:top w:val="none" w:sz="0" w:space="0" w:color="auto"/>
        <w:left w:val="none" w:sz="0" w:space="0" w:color="auto"/>
        <w:bottom w:val="none" w:sz="0" w:space="0" w:color="auto"/>
        <w:right w:val="none" w:sz="0" w:space="0" w:color="auto"/>
      </w:divBdr>
      <w:divsChild>
        <w:div w:id="597056099">
          <w:marLeft w:val="0"/>
          <w:marRight w:val="0"/>
          <w:marTop w:val="0"/>
          <w:marBottom w:val="0"/>
          <w:divBdr>
            <w:top w:val="none" w:sz="0" w:space="0" w:color="auto"/>
            <w:left w:val="none" w:sz="0" w:space="0" w:color="auto"/>
            <w:bottom w:val="none" w:sz="0" w:space="0" w:color="auto"/>
            <w:right w:val="none" w:sz="0" w:space="0" w:color="auto"/>
          </w:divBdr>
        </w:div>
      </w:divsChild>
    </w:div>
    <w:div w:id="650329750">
      <w:marLeft w:val="0"/>
      <w:marRight w:val="0"/>
      <w:marTop w:val="0"/>
      <w:marBottom w:val="0"/>
      <w:divBdr>
        <w:top w:val="none" w:sz="0" w:space="0" w:color="auto"/>
        <w:left w:val="none" w:sz="0" w:space="0" w:color="auto"/>
        <w:bottom w:val="none" w:sz="0" w:space="0" w:color="auto"/>
        <w:right w:val="none" w:sz="0" w:space="0" w:color="auto"/>
      </w:divBdr>
    </w:div>
    <w:div w:id="692268390">
      <w:marLeft w:val="0"/>
      <w:marRight w:val="0"/>
      <w:marTop w:val="0"/>
      <w:marBottom w:val="0"/>
      <w:divBdr>
        <w:top w:val="none" w:sz="0" w:space="0" w:color="auto"/>
        <w:left w:val="none" w:sz="0" w:space="0" w:color="auto"/>
        <w:bottom w:val="none" w:sz="0" w:space="0" w:color="auto"/>
        <w:right w:val="none" w:sz="0" w:space="0" w:color="auto"/>
      </w:divBdr>
    </w:div>
    <w:div w:id="727997541">
      <w:marLeft w:val="0"/>
      <w:marRight w:val="0"/>
      <w:marTop w:val="0"/>
      <w:marBottom w:val="0"/>
      <w:divBdr>
        <w:top w:val="none" w:sz="0" w:space="0" w:color="auto"/>
        <w:left w:val="none" w:sz="0" w:space="0" w:color="auto"/>
        <w:bottom w:val="none" w:sz="0" w:space="0" w:color="auto"/>
        <w:right w:val="none" w:sz="0" w:space="0" w:color="auto"/>
      </w:divBdr>
    </w:div>
    <w:div w:id="771316195">
      <w:marLeft w:val="0"/>
      <w:marRight w:val="0"/>
      <w:marTop w:val="0"/>
      <w:marBottom w:val="0"/>
      <w:divBdr>
        <w:top w:val="none" w:sz="0" w:space="0" w:color="auto"/>
        <w:left w:val="none" w:sz="0" w:space="0" w:color="auto"/>
        <w:bottom w:val="none" w:sz="0" w:space="0" w:color="auto"/>
        <w:right w:val="none" w:sz="0" w:space="0" w:color="auto"/>
      </w:divBdr>
      <w:divsChild>
        <w:div w:id="163085631">
          <w:marLeft w:val="0"/>
          <w:marRight w:val="0"/>
          <w:marTop w:val="0"/>
          <w:marBottom w:val="0"/>
          <w:divBdr>
            <w:top w:val="none" w:sz="0" w:space="0" w:color="auto"/>
            <w:left w:val="none" w:sz="0" w:space="0" w:color="auto"/>
            <w:bottom w:val="none" w:sz="0" w:space="0" w:color="auto"/>
            <w:right w:val="none" w:sz="0" w:space="0" w:color="auto"/>
          </w:divBdr>
        </w:div>
        <w:div w:id="1167480556">
          <w:marLeft w:val="0"/>
          <w:marRight w:val="0"/>
          <w:marTop w:val="0"/>
          <w:marBottom w:val="0"/>
          <w:divBdr>
            <w:top w:val="none" w:sz="0" w:space="0" w:color="auto"/>
            <w:left w:val="none" w:sz="0" w:space="0" w:color="auto"/>
            <w:bottom w:val="none" w:sz="0" w:space="0" w:color="auto"/>
            <w:right w:val="none" w:sz="0" w:space="0" w:color="auto"/>
          </w:divBdr>
        </w:div>
      </w:divsChild>
    </w:div>
    <w:div w:id="789475959">
      <w:marLeft w:val="0"/>
      <w:marRight w:val="0"/>
      <w:marTop w:val="0"/>
      <w:marBottom w:val="0"/>
      <w:divBdr>
        <w:top w:val="none" w:sz="0" w:space="0" w:color="auto"/>
        <w:left w:val="none" w:sz="0" w:space="0" w:color="auto"/>
        <w:bottom w:val="none" w:sz="0" w:space="0" w:color="auto"/>
        <w:right w:val="none" w:sz="0" w:space="0" w:color="auto"/>
      </w:divBdr>
      <w:divsChild>
        <w:div w:id="388773149">
          <w:marLeft w:val="0"/>
          <w:marRight w:val="0"/>
          <w:marTop w:val="0"/>
          <w:marBottom w:val="0"/>
          <w:divBdr>
            <w:top w:val="none" w:sz="0" w:space="0" w:color="auto"/>
            <w:left w:val="none" w:sz="0" w:space="0" w:color="auto"/>
            <w:bottom w:val="none" w:sz="0" w:space="0" w:color="auto"/>
            <w:right w:val="none" w:sz="0" w:space="0" w:color="auto"/>
          </w:divBdr>
        </w:div>
      </w:divsChild>
    </w:div>
    <w:div w:id="795221092">
      <w:marLeft w:val="0"/>
      <w:marRight w:val="0"/>
      <w:marTop w:val="0"/>
      <w:marBottom w:val="0"/>
      <w:divBdr>
        <w:top w:val="none" w:sz="0" w:space="0" w:color="auto"/>
        <w:left w:val="none" w:sz="0" w:space="0" w:color="auto"/>
        <w:bottom w:val="none" w:sz="0" w:space="0" w:color="auto"/>
        <w:right w:val="none" w:sz="0" w:space="0" w:color="auto"/>
      </w:divBdr>
    </w:div>
    <w:div w:id="1103765597">
      <w:marLeft w:val="0"/>
      <w:marRight w:val="0"/>
      <w:marTop w:val="0"/>
      <w:marBottom w:val="0"/>
      <w:divBdr>
        <w:top w:val="none" w:sz="0" w:space="0" w:color="auto"/>
        <w:left w:val="none" w:sz="0" w:space="0" w:color="auto"/>
        <w:bottom w:val="none" w:sz="0" w:space="0" w:color="auto"/>
        <w:right w:val="none" w:sz="0" w:space="0" w:color="auto"/>
      </w:divBdr>
    </w:div>
    <w:div w:id="1131555221">
      <w:marLeft w:val="0"/>
      <w:marRight w:val="0"/>
      <w:marTop w:val="0"/>
      <w:marBottom w:val="0"/>
      <w:divBdr>
        <w:top w:val="none" w:sz="0" w:space="0" w:color="auto"/>
        <w:left w:val="none" w:sz="0" w:space="0" w:color="auto"/>
        <w:bottom w:val="none" w:sz="0" w:space="0" w:color="auto"/>
        <w:right w:val="none" w:sz="0" w:space="0" w:color="auto"/>
      </w:divBdr>
    </w:div>
    <w:div w:id="1175265997">
      <w:marLeft w:val="0"/>
      <w:marRight w:val="0"/>
      <w:marTop w:val="0"/>
      <w:marBottom w:val="0"/>
      <w:divBdr>
        <w:top w:val="none" w:sz="0" w:space="0" w:color="auto"/>
        <w:left w:val="none" w:sz="0" w:space="0" w:color="auto"/>
        <w:bottom w:val="none" w:sz="0" w:space="0" w:color="auto"/>
        <w:right w:val="none" w:sz="0" w:space="0" w:color="auto"/>
      </w:divBdr>
    </w:div>
    <w:div w:id="1176378711">
      <w:marLeft w:val="0"/>
      <w:marRight w:val="0"/>
      <w:marTop w:val="0"/>
      <w:marBottom w:val="0"/>
      <w:divBdr>
        <w:top w:val="none" w:sz="0" w:space="0" w:color="auto"/>
        <w:left w:val="none" w:sz="0" w:space="0" w:color="auto"/>
        <w:bottom w:val="none" w:sz="0" w:space="0" w:color="auto"/>
        <w:right w:val="none" w:sz="0" w:space="0" w:color="auto"/>
      </w:divBdr>
      <w:divsChild>
        <w:div w:id="601378927">
          <w:marLeft w:val="0"/>
          <w:marRight w:val="0"/>
          <w:marTop w:val="0"/>
          <w:marBottom w:val="0"/>
          <w:divBdr>
            <w:top w:val="none" w:sz="0" w:space="0" w:color="auto"/>
            <w:left w:val="none" w:sz="0" w:space="0" w:color="auto"/>
            <w:bottom w:val="none" w:sz="0" w:space="0" w:color="auto"/>
            <w:right w:val="none" w:sz="0" w:space="0" w:color="auto"/>
          </w:divBdr>
        </w:div>
      </w:divsChild>
    </w:div>
    <w:div w:id="1203908494">
      <w:marLeft w:val="0"/>
      <w:marRight w:val="0"/>
      <w:marTop w:val="0"/>
      <w:marBottom w:val="0"/>
      <w:divBdr>
        <w:top w:val="none" w:sz="0" w:space="0" w:color="auto"/>
        <w:left w:val="none" w:sz="0" w:space="0" w:color="auto"/>
        <w:bottom w:val="none" w:sz="0" w:space="0" w:color="auto"/>
        <w:right w:val="none" w:sz="0" w:space="0" w:color="auto"/>
      </w:divBdr>
      <w:divsChild>
        <w:div w:id="1679966718">
          <w:marLeft w:val="0"/>
          <w:marRight w:val="0"/>
          <w:marTop w:val="0"/>
          <w:marBottom w:val="0"/>
          <w:divBdr>
            <w:top w:val="none" w:sz="0" w:space="0" w:color="auto"/>
            <w:left w:val="none" w:sz="0" w:space="0" w:color="auto"/>
            <w:bottom w:val="none" w:sz="0" w:space="0" w:color="auto"/>
            <w:right w:val="none" w:sz="0" w:space="0" w:color="auto"/>
          </w:divBdr>
        </w:div>
      </w:divsChild>
    </w:div>
    <w:div w:id="1461605382">
      <w:marLeft w:val="0"/>
      <w:marRight w:val="0"/>
      <w:marTop w:val="0"/>
      <w:marBottom w:val="0"/>
      <w:divBdr>
        <w:top w:val="none" w:sz="0" w:space="0" w:color="auto"/>
        <w:left w:val="none" w:sz="0" w:space="0" w:color="auto"/>
        <w:bottom w:val="none" w:sz="0" w:space="0" w:color="auto"/>
        <w:right w:val="none" w:sz="0" w:space="0" w:color="auto"/>
      </w:divBdr>
      <w:divsChild>
        <w:div w:id="68423650">
          <w:marLeft w:val="0"/>
          <w:marRight w:val="0"/>
          <w:marTop w:val="0"/>
          <w:marBottom w:val="0"/>
          <w:divBdr>
            <w:top w:val="none" w:sz="0" w:space="0" w:color="auto"/>
            <w:left w:val="none" w:sz="0" w:space="0" w:color="auto"/>
            <w:bottom w:val="none" w:sz="0" w:space="0" w:color="auto"/>
            <w:right w:val="none" w:sz="0" w:space="0" w:color="auto"/>
          </w:divBdr>
        </w:div>
      </w:divsChild>
    </w:div>
    <w:div w:id="1741050931">
      <w:marLeft w:val="0"/>
      <w:marRight w:val="0"/>
      <w:marTop w:val="0"/>
      <w:marBottom w:val="0"/>
      <w:divBdr>
        <w:top w:val="none" w:sz="0" w:space="0" w:color="auto"/>
        <w:left w:val="none" w:sz="0" w:space="0" w:color="auto"/>
        <w:bottom w:val="none" w:sz="0" w:space="0" w:color="auto"/>
        <w:right w:val="none" w:sz="0" w:space="0" w:color="auto"/>
      </w:divBdr>
      <w:divsChild>
        <w:div w:id="308638290">
          <w:marLeft w:val="0"/>
          <w:marRight w:val="0"/>
          <w:marTop w:val="0"/>
          <w:marBottom w:val="0"/>
          <w:divBdr>
            <w:top w:val="none" w:sz="0" w:space="0" w:color="auto"/>
            <w:left w:val="none" w:sz="0" w:space="0" w:color="auto"/>
            <w:bottom w:val="none" w:sz="0" w:space="0" w:color="auto"/>
            <w:right w:val="none" w:sz="0" w:space="0" w:color="auto"/>
          </w:divBdr>
        </w:div>
      </w:divsChild>
    </w:div>
    <w:div w:id="1937861701">
      <w:marLeft w:val="0"/>
      <w:marRight w:val="0"/>
      <w:marTop w:val="0"/>
      <w:marBottom w:val="0"/>
      <w:divBdr>
        <w:top w:val="none" w:sz="0" w:space="0" w:color="auto"/>
        <w:left w:val="none" w:sz="0" w:space="0" w:color="auto"/>
        <w:bottom w:val="none" w:sz="0" w:space="0" w:color="auto"/>
        <w:right w:val="none" w:sz="0" w:space="0" w:color="auto"/>
      </w:divBdr>
    </w:div>
    <w:div w:id="2032879102">
      <w:marLeft w:val="0"/>
      <w:marRight w:val="0"/>
      <w:marTop w:val="0"/>
      <w:marBottom w:val="0"/>
      <w:divBdr>
        <w:top w:val="none" w:sz="0" w:space="0" w:color="auto"/>
        <w:left w:val="none" w:sz="0" w:space="0" w:color="auto"/>
        <w:bottom w:val="none" w:sz="0" w:space="0" w:color="auto"/>
        <w:right w:val="none" w:sz="0" w:space="0" w:color="auto"/>
      </w:divBdr>
    </w:div>
    <w:div w:id="2135247616">
      <w:marLeft w:val="0"/>
      <w:marRight w:val="0"/>
      <w:marTop w:val="0"/>
      <w:marBottom w:val="0"/>
      <w:divBdr>
        <w:top w:val="none" w:sz="0" w:space="0" w:color="auto"/>
        <w:left w:val="none" w:sz="0" w:space="0" w:color="auto"/>
        <w:bottom w:val="none" w:sz="0" w:space="0" w:color="auto"/>
        <w:right w:val="none" w:sz="0" w:space="0" w:color="auto"/>
      </w:divBdr>
      <w:divsChild>
        <w:div w:id="403525781">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1423</Words>
  <Characters>8113</Characters>
  <Application>Microsoft Office Word</Application>
  <DocSecurity>0</DocSecurity>
  <Lines>67</Lines>
  <Paragraphs>19</Paragraphs>
  <ScaleCrop>false</ScaleCrop>
  <Company/>
  <LinksUpToDate>false</LinksUpToDate>
  <CharactersWithSpaces>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Yang.Wang@FA</cp:lastModifiedBy>
  <cp:revision>4</cp:revision>
  <dcterms:created xsi:type="dcterms:W3CDTF">2026-04-14T10:01:00Z</dcterms:created>
  <dcterms:modified xsi:type="dcterms:W3CDTF">2026-04-21T07:28:00Z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