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042B6" w:rsidRDefault="005042B6">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042B6" w:rsidRDefault="005042B6">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042B6" w:rsidRDefault="005042B6">
      <w:pPr>
        <w:spacing w:line="360" w:lineRule="auto"/>
        <w:jc w:val="center"/>
        <w:rPr>
          <w:rFonts w:hint="eastAsia"/>
        </w:rPr>
      </w:pPr>
      <w:r>
        <w:rPr>
          <w:rFonts w:ascii="宋体" w:hAnsi="宋体" w:hint="eastAsia"/>
          <w:b/>
          <w:bCs/>
          <w:color w:val="000000" w:themeColor="text1"/>
          <w:sz w:val="48"/>
          <w:szCs w:val="30"/>
        </w:rPr>
        <w:t>摩根领先优选混合型证券投资基金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042B6" w:rsidRDefault="005042B6">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042B6" w:rsidRDefault="005042B6">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042B6" w:rsidRDefault="005042B6">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042B6" w:rsidRDefault="005042B6">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5042B6" w:rsidRDefault="005042B6">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042B6" w:rsidRDefault="005042B6">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042B6" w:rsidRDefault="005042B6">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042B6" w:rsidRDefault="005042B6">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6491983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042B6" w:rsidRDefault="005042B6">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szCs w:val="24"/>
                <w:lang w:eastAsia="zh-Hans"/>
              </w:rPr>
              <w:t>摩根领先优选混</w:t>
            </w:r>
            <w:r>
              <w:rPr>
                <w:rFonts w:ascii="宋体" w:hAnsi="宋体" w:hint="eastAsia"/>
                <w:szCs w:val="24"/>
                <w:lang w:eastAsia="zh-Hans"/>
              </w:rPr>
              <w:t>合</w:t>
            </w:r>
            <w:r>
              <w:rPr>
                <w:rFonts w:ascii="宋体" w:hAnsi="宋体" w:hint="eastAsia"/>
                <w:lang w:eastAsia="zh-Hans"/>
              </w:rPr>
              <w:t xml:space="preserve"> </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00689</w:t>
            </w:r>
            <w:r>
              <w:rPr>
                <w:rFonts w:ascii="宋体" w:hAnsi="宋体" w:hint="eastAsia"/>
                <w:lang w:eastAsia="zh-Hans"/>
              </w:rPr>
              <w:t>0</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契约型开放</w:t>
            </w:r>
            <w:r>
              <w:rPr>
                <w:rFonts w:ascii="宋体" w:hAnsi="宋体" w:hint="eastAsia"/>
                <w:lang w:eastAsia="zh-Hans"/>
              </w:rPr>
              <w:t>式</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14,735,952.2</w:t>
            </w:r>
            <w:r>
              <w:rPr>
                <w:rFonts w:ascii="宋体" w:hAnsi="宋体" w:hint="eastAsia"/>
                <w:lang w:eastAsia="zh-Hans"/>
              </w:rPr>
              <w:t>0</w:t>
            </w:r>
            <w:r>
              <w:rPr>
                <w:rFonts w:hint="eastAsia"/>
              </w:rPr>
              <w:t>份</w:t>
            </w:r>
            <w:r>
              <w:rPr>
                <w:rFonts w:ascii="宋体" w:hAnsi="宋体" w:hint="eastAsia"/>
                <w:lang w:eastAsia="zh-Hans"/>
              </w:rPr>
              <w:t xml:space="preserve"> </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本基金采用定量及定性研究方法，自上而下进行资产配置并优选在中国境内及香港市场上市的公司，通过严格的风险控制，力争实现基金资产的长期增值</w:t>
            </w:r>
            <w:r>
              <w:rPr>
                <w:rFonts w:ascii="宋体" w:hAnsi="宋体" w:hint="eastAsia"/>
                <w:lang w:eastAsia="zh-Hans"/>
              </w:rPr>
              <w:t>。</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本基金的投资区域主要覆盖中国内地和香港市场，通过自上而下的区域配置和行业配置以及自下而上的个股选择挖掘投资机会。本基金主要投资于“领先”及“优选”类上市公司。具体而言，本基金将根据宏观环境、产业政策、行业景气度等优选成长空间较大且具有领先优势的行业，并通过自下而上的方式挖掘具有清晰商业模式、基本面良好、且具有持续竞争能力的优质公司。本基金还将考虑组合品种的估值风险和大类资产的系统风险，通过品种和仓位的动态调整降低资产波动的风险。</w:t>
            </w:r>
            <w:r>
              <w:rPr>
                <w:rFonts w:ascii="宋体" w:hAnsi="宋体" w:hint="eastAsia"/>
                <w:lang w:eastAsia="zh-Hans"/>
              </w:rPr>
              <w:br/>
              <w:t>1</w:t>
            </w:r>
            <w:r>
              <w:rPr>
                <w:rFonts w:ascii="宋体" w:hAnsi="宋体" w:hint="eastAsia"/>
                <w:lang w:eastAsia="zh-Hans"/>
              </w:rPr>
              <w:t>、　跨市场资产配置策略</w:t>
            </w:r>
            <w:r>
              <w:rPr>
                <w:rFonts w:ascii="宋体" w:hAnsi="宋体" w:hint="eastAsia"/>
                <w:lang w:eastAsia="zh-Hans"/>
              </w:rPr>
              <w:br/>
            </w:r>
            <w:r>
              <w:rPr>
                <w:rFonts w:ascii="宋体" w:hAnsi="宋体" w:hint="eastAsia"/>
                <w:lang w:eastAsia="zh-Hans"/>
              </w:rPr>
              <w:t>本基金综合考虑境内及香港市场的宏观经济环境、增长和通胀背景、跨市场的估值水平和流动性因素、相关公司所处的发展阶段、盈利前景和竞争环境以及其他影响投资组合回报及风险的重要要素将基金资产在中国境内及香港市场之间进行配置。另外，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在境内，本基金将专注投资于影响国民经济的龙头行业、经济转型和产业升级过程中的重点行业和具备成长潜力的新兴行业。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对于固定收益类资产的选择，本基金将以价值分析为主线，在综合研究的基础上实施积极主动的组合管理，自上而下进行组合构建，自下而上进行个券选择。</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、其他投资策略：包括可转换债券投资策略、中小企业私募债投资策略、股指期货投资策略、股票期权投资策略、资产支持证券投资策略、证券公</w:t>
            </w:r>
            <w:r>
              <w:rPr>
                <w:rFonts w:ascii="宋体" w:hAnsi="宋体" w:hint="eastAsia"/>
                <w:lang w:eastAsia="zh-Hans"/>
              </w:rPr>
              <w:t>司短期公司债券投资策略、权证投资策略、存托凭证投资策略</w:t>
            </w:r>
            <w:r>
              <w:rPr>
                <w:rFonts w:ascii="宋体" w:hAnsi="宋体" w:hint="eastAsia"/>
                <w:lang w:eastAsia="zh-Hans"/>
              </w:rPr>
              <w:t>。</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*40%+</w:t>
            </w:r>
            <w:r>
              <w:rPr>
                <w:rFonts w:ascii="宋体" w:hAnsi="宋体" w:hint="eastAsia"/>
                <w:lang w:eastAsia="zh-Hans"/>
              </w:rPr>
              <w:t>中证港股通综合指数收益率</w:t>
            </w:r>
            <w:r>
              <w:rPr>
                <w:rFonts w:ascii="宋体" w:hAnsi="宋体" w:hint="eastAsia"/>
                <w:lang w:eastAsia="zh-Hans"/>
              </w:rPr>
              <w:t>*30%+</w:t>
            </w:r>
            <w:r>
              <w:rPr>
                <w:rFonts w:ascii="宋体" w:hAnsi="宋体" w:hint="eastAsia"/>
                <w:lang w:eastAsia="zh-Hans"/>
              </w:rPr>
              <w:t>中债总指数收益率</w:t>
            </w:r>
            <w:r>
              <w:rPr>
                <w:rFonts w:ascii="宋体" w:hAnsi="宋体" w:hint="eastAsia"/>
                <w:lang w:eastAsia="zh-Hans"/>
              </w:rPr>
              <w:t>*30</w:t>
            </w:r>
            <w:r>
              <w:rPr>
                <w:rFonts w:ascii="宋体" w:hAnsi="宋体" w:hint="eastAsia"/>
                <w:lang w:eastAsia="zh-Hans"/>
              </w:rPr>
              <w:t>%</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本基金属于混合型基金产品，预期风险和预期收益水平高于债券型基金和货币市场基金。</w:t>
            </w:r>
            <w:r>
              <w:rPr>
                <w:rFonts w:ascii="宋体" w:hAnsi="宋体" w:hint="eastAsia"/>
                <w:lang w:eastAsia="zh-Hans"/>
              </w:rPr>
              <w:br/>
            </w:r>
            <w:r>
              <w:rPr>
                <w:rFonts w:ascii="宋体" w:hAnsi="宋体" w:hint="eastAsia"/>
                <w:lang w:eastAsia="zh-Hans"/>
              </w:rPr>
              <w:t>本基金除了投资</w:t>
            </w:r>
            <w:r>
              <w:rPr>
                <w:rFonts w:ascii="宋体" w:hAnsi="宋体" w:hint="eastAsia"/>
                <w:lang w:eastAsia="zh-Hans"/>
              </w:rPr>
              <w:t>A</w:t>
            </w:r>
            <w:r>
              <w:rPr>
                <w:rFonts w:ascii="宋体" w:hAnsi="宋体" w:hint="eastAsia"/>
                <w:lang w:eastAsia="zh-Hans"/>
              </w:rPr>
              <w:t>股外，还可根据法律法规规定投资香港联合交易所上市的股票。除了需要承担与境内证券投资基金类似的市场波动风险等一般投资风险之外，本基金还面临汇率风险、香港市场风险等境外证券市场投资所面临的特别投资风险</w:t>
            </w:r>
            <w:r>
              <w:rPr>
                <w:rFonts w:ascii="宋体" w:hAnsi="宋体" w:hint="eastAsia"/>
                <w:lang w:eastAsia="zh-Hans"/>
              </w:rPr>
              <w:t>。</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649198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2649198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lang w:eastAsia="zh-Hans"/>
              </w:rPr>
              <w:t>摩根领先优选混合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lang w:eastAsia="zh-Hans"/>
              </w:rPr>
              <w:t>摩根领先优选混合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2649198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lang w:eastAsia="zh-Hans"/>
              </w:rPr>
              <w:t>00689</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lang w:eastAsia="zh-Hans"/>
              </w:rPr>
              <w:t>01709</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2649198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42B6" w:rsidRDefault="005042B6">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lang w:eastAsia="zh-Hans"/>
              </w:rPr>
              <w:t>14,361,676.0</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lang w:eastAsia="zh-Hans"/>
              </w:rPr>
              <w:t>374,276.1</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5042B6" w:rsidRDefault="005042B6">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042B6" w:rsidRDefault="005042B6">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042B6" w:rsidRDefault="005042B6">
      <w:pPr>
        <w:jc w:val="right"/>
        <w:divId w:val="86186654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86186654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042B6" w:rsidRDefault="005042B6">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042B6" w:rsidRDefault="005042B6">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86186654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42B6" w:rsidRDefault="005042B6">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042B6" w:rsidRDefault="005042B6">
            <w:pPr>
              <w:jc w:val="center"/>
              <w:rPr>
                <w:rFonts w:hint="eastAsia"/>
              </w:rPr>
            </w:pPr>
            <w:r>
              <w:rPr>
                <w:rFonts w:ascii="宋体" w:hAnsi="宋体" w:hint="eastAsia"/>
                <w:szCs w:val="24"/>
                <w:lang w:eastAsia="zh-Hans"/>
              </w:rPr>
              <w:t>摩根领先优选混合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042B6" w:rsidRDefault="005042B6">
            <w:pPr>
              <w:jc w:val="center"/>
            </w:pPr>
            <w:r>
              <w:rPr>
                <w:rFonts w:ascii="宋体" w:hAnsi="宋体" w:hint="eastAsia"/>
                <w:szCs w:val="24"/>
                <w:lang w:eastAsia="zh-Hans"/>
              </w:rPr>
              <w:t>摩根领先优选混合</w:t>
            </w:r>
            <w:r>
              <w:rPr>
                <w:rFonts w:ascii="宋体" w:hAnsi="宋体" w:hint="eastAsia"/>
                <w:szCs w:val="24"/>
                <w:lang w:eastAsia="zh-Hans"/>
              </w:rPr>
              <w:t>C</w:t>
            </w:r>
          </w:p>
        </w:tc>
      </w:tr>
      <w:tr w:rsidR="00000000">
        <w:trPr>
          <w:divId w:val="86186654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rPr>
                <w:rFonts w:hint="eastAsia"/>
              </w:rPr>
            </w:pPr>
            <w:r>
              <w:rPr>
                <w:rFonts w:ascii="宋体" w:hAnsi="宋体" w:hint="eastAsia"/>
                <w:szCs w:val="24"/>
                <w:lang w:eastAsia="zh-Hans"/>
              </w:rPr>
              <w:t>-241,086.3</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pPr>
            <w:r>
              <w:rPr>
                <w:rFonts w:ascii="宋体" w:hAnsi="宋体" w:hint="eastAsia"/>
                <w:szCs w:val="24"/>
                <w:lang w:eastAsia="zh-Hans"/>
              </w:rPr>
              <w:t>-12,610.4</w:t>
            </w:r>
            <w:r>
              <w:rPr>
                <w:rFonts w:ascii="宋体" w:hAnsi="宋体" w:hint="eastAsia"/>
                <w:szCs w:val="24"/>
                <w:lang w:eastAsia="zh-Hans"/>
              </w:rPr>
              <w:t>7</w:t>
            </w:r>
          </w:p>
        </w:tc>
      </w:tr>
      <w:tr w:rsidR="00000000">
        <w:trPr>
          <w:divId w:val="86186654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rPr>
                <w:rFonts w:hint="eastAsia"/>
              </w:rPr>
            </w:pPr>
            <w:r>
              <w:rPr>
                <w:rFonts w:ascii="宋体" w:hAnsi="宋体" w:hint="eastAsia"/>
                <w:szCs w:val="24"/>
                <w:lang w:eastAsia="zh-Hans"/>
              </w:rPr>
              <w:t>2,308,514.9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pPr>
            <w:r>
              <w:rPr>
                <w:rFonts w:ascii="宋体" w:hAnsi="宋体" w:hint="eastAsia"/>
                <w:szCs w:val="24"/>
                <w:lang w:eastAsia="zh-Hans"/>
              </w:rPr>
              <w:t>48,018.8</w:t>
            </w:r>
            <w:r>
              <w:rPr>
                <w:rFonts w:ascii="宋体" w:hAnsi="宋体" w:hint="eastAsia"/>
                <w:szCs w:val="24"/>
                <w:lang w:eastAsia="zh-Hans"/>
              </w:rPr>
              <w:t>4</w:t>
            </w:r>
          </w:p>
        </w:tc>
      </w:tr>
      <w:tr w:rsidR="00000000">
        <w:trPr>
          <w:divId w:val="86186654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rPr>
                <w:rFonts w:hint="eastAsia"/>
              </w:rPr>
            </w:pPr>
            <w:r>
              <w:rPr>
                <w:rFonts w:ascii="宋体" w:hAnsi="宋体" w:hint="eastAsia"/>
                <w:szCs w:val="24"/>
                <w:lang w:eastAsia="zh-Hans"/>
              </w:rPr>
              <w:t>0.149</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pPr>
            <w:r>
              <w:rPr>
                <w:rFonts w:ascii="宋体" w:hAnsi="宋体" w:hint="eastAsia"/>
                <w:szCs w:val="24"/>
                <w:lang w:eastAsia="zh-Hans"/>
              </w:rPr>
              <w:t>0.232</w:t>
            </w:r>
            <w:r>
              <w:rPr>
                <w:rFonts w:ascii="宋体" w:hAnsi="宋体" w:hint="eastAsia"/>
                <w:szCs w:val="24"/>
                <w:lang w:eastAsia="zh-Hans"/>
              </w:rPr>
              <w:t>5</w:t>
            </w:r>
          </w:p>
        </w:tc>
      </w:tr>
      <w:tr w:rsidR="00000000">
        <w:trPr>
          <w:divId w:val="86186654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rPr>
                <w:rFonts w:hint="eastAsia"/>
              </w:rPr>
            </w:pPr>
            <w:r>
              <w:rPr>
                <w:rFonts w:ascii="宋体" w:hAnsi="宋体" w:hint="eastAsia"/>
                <w:szCs w:val="24"/>
                <w:lang w:eastAsia="zh-Hans"/>
              </w:rPr>
              <w:t>16,946,309.7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pPr>
            <w:r>
              <w:rPr>
                <w:rFonts w:ascii="宋体" w:hAnsi="宋体" w:hint="eastAsia"/>
                <w:szCs w:val="24"/>
                <w:lang w:eastAsia="zh-Hans"/>
              </w:rPr>
              <w:t>433,159.4</w:t>
            </w:r>
            <w:r>
              <w:rPr>
                <w:rFonts w:ascii="宋体" w:hAnsi="宋体" w:hint="eastAsia"/>
                <w:szCs w:val="24"/>
                <w:lang w:eastAsia="zh-Hans"/>
              </w:rPr>
              <w:t>8</w:t>
            </w:r>
          </w:p>
        </w:tc>
      </w:tr>
      <w:tr w:rsidR="00000000">
        <w:trPr>
          <w:divId w:val="86186654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rPr>
                <w:rFonts w:hint="eastAsia"/>
              </w:rPr>
            </w:pPr>
            <w:r>
              <w:rPr>
                <w:rFonts w:ascii="宋体" w:hAnsi="宋体" w:hint="eastAsia"/>
                <w:szCs w:val="24"/>
                <w:lang w:eastAsia="zh-Hans"/>
              </w:rPr>
              <w:t>1.180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042B6" w:rsidRDefault="005042B6">
            <w:pPr>
              <w:jc w:val="right"/>
            </w:pPr>
            <w:r>
              <w:rPr>
                <w:rFonts w:ascii="宋体" w:hAnsi="宋体" w:hint="eastAsia"/>
                <w:szCs w:val="24"/>
                <w:lang w:eastAsia="zh-Hans"/>
              </w:rPr>
              <w:t>1.157</w:t>
            </w:r>
            <w:r>
              <w:rPr>
                <w:rFonts w:ascii="宋体" w:hAnsi="宋体" w:hint="eastAsia"/>
                <w:szCs w:val="24"/>
                <w:lang w:eastAsia="zh-Hans"/>
              </w:rPr>
              <w:t>3</w:t>
            </w:r>
          </w:p>
        </w:tc>
      </w:tr>
    </w:tbl>
    <w:p w:rsidR="005042B6" w:rsidRDefault="005042B6">
      <w:pPr>
        <w:wordWrap w:val="0"/>
        <w:spacing w:line="360" w:lineRule="auto"/>
        <w:jc w:val="left"/>
        <w:divId w:val="2061589016"/>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042B6" w:rsidRDefault="005042B6">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042B6" w:rsidRDefault="005042B6">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042B6" w:rsidRDefault="005042B6">
      <w:pPr>
        <w:spacing w:line="360" w:lineRule="auto"/>
        <w:jc w:val="center"/>
        <w:divId w:val="1823695289"/>
        <w:rPr>
          <w:rFonts w:hint="eastAsia"/>
        </w:rPr>
      </w:pPr>
      <w:r>
        <w:rPr>
          <w:rFonts w:ascii="宋体" w:hAnsi="宋体" w:hint="eastAsia"/>
        </w:rPr>
        <w:t>摩根领先优选混合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2369528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②－④</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14.4</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12.2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6.6</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7.7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28.1</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7.9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20.2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22.5</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17.1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5.4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-28.0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-5.2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-22.7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32.5</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12.7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19.8</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r w:rsidR="00000000">
        <w:trPr>
          <w:divId w:val="18236952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31.9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12.1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19.8</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r>
    </w:tbl>
    <w:p w:rsidR="005042B6" w:rsidRDefault="005042B6">
      <w:pPr>
        <w:spacing w:line="360" w:lineRule="auto"/>
        <w:jc w:val="center"/>
        <w:divId w:val="1553880846"/>
      </w:pPr>
      <w:r>
        <w:rPr>
          <w:rFonts w:ascii="宋体" w:hAnsi="宋体" w:hint="eastAsia"/>
        </w:rPr>
        <w:t>摩根领先优选混合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388084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38808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14.3</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12.0</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5538808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6.3</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7.4</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538808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27.4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7.9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19.5</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5538808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20.3</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1.5</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17.1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3.2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5538808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3.5</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21.4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042B6" w:rsidRDefault="005042B6">
            <w:pPr>
              <w:spacing w:line="360" w:lineRule="auto"/>
              <w:jc w:val="right"/>
            </w:pPr>
            <w:r>
              <w:rPr>
                <w:rFonts w:ascii="宋体" w:hAnsi="宋体" w:hint="eastAsia"/>
              </w:rPr>
              <w:t>-17.9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spacing w:line="360" w:lineRule="auto"/>
              <w:jc w:val="right"/>
            </w:pPr>
            <w:r>
              <w:rPr>
                <w:rFonts w:ascii="宋体" w:hAnsi="宋体" w:hint="eastAsia"/>
              </w:rPr>
              <w:t>0.7</w:t>
            </w:r>
            <w:r>
              <w:rPr>
                <w:rFonts w:ascii="宋体" w:hAnsi="宋体" w:hint="eastAsia"/>
              </w:rPr>
              <w:t>2</w:t>
            </w:r>
            <w:r>
              <w:rPr>
                <w:rFonts w:ascii="宋体" w:hAnsi="宋体" w:hint="eastAsia"/>
              </w:rPr>
              <w:t>%</w:t>
            </w:r>
            <w:r>
              <w:rPr>
                <w:rFonts w:ascii="宋体" w:hAnsi="宋体" w:hint="eastAsia"/>
              </w:rPr>
              <w:t xml:space="preserve"> </w:t>
            </w:r>
          </w:p>
        </w:tc>
      </w:tr>
    </w:tbl>
    <w:p w:rsidR="005042B6" w:rsidRDefault="005042B6">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042B6" w:rsidRDefault="005042B6">
      <w:pPr>
        <w:spacing w:line="360" w:lineRule="auto"/>
        <w:jc w:val="left"/>
        <w:divId w:val="148728711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042B6" w:rsidRDefault="005042B6">
      <w:pPr>
        <w:spacing w:line="360" w:lineRule="auto"/>
        <w:jc w:val="left"/>
        <w:divId w:val="124869002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042B6" w:rsidRDefault="005042B6">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042B6" w:rsidRDefault="005042B6">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042B6" w:rsidRDefault="005042B6">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50339443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50339443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42B6" w:rsidRDefault="005042B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2B6" w:rsidRDefault="005042B6">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2B6" w:rsidRDefault="005042B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2B6" w:rsidRDefault="005042B6">
            <w:pPr>
              <w:widowControl/>
              <w:jc w:val="left"/>
            </w:pPr>
          </w:p>
        </w:tc>
      </w:tr>
      <w:tr w:rsidR="00000000">
        <w:trPr>
          <w:divId w:val="50339443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徐项</w:t>
            </w:r>
            <w:r>
              <w:rPr>
                <w:rFonts w:ascii="宋体" w:hAnsi="宋体" w:hint="eastAsia"/>
                <w:szCs w:val="24"/>
                <w:lang w:eastAsia="zh-Hans"/>
              </w:rPr>
              <w:t>楠</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szCs w:val="24"/>
                <w:lang w:eastAsia="zh-Hans"/>
              </w:rPr>
              <w:t>徐项楠先生曾任中海基金管理有限公司行业分析师，中银基金管理有限公司高级分析师。</w:t>
            </w:r>
            <w:r>
              <w:rPr>
                <w:rFonts w:ascii="宋体" w:hAnsi="宋体" w:hint="eastAsia"/>
                <w:szCs w:val="24"/>
                <w:lang w:eastAsia="zh-Hans"/>
              </w:rPr>
              <w:t>2017</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月加入摩根基金管理（中国）有限公司（原上投摩根基金管理有限公司），历任研究员、行业专家、行业专家</w:t>
            </w:r>
            <w:r>
              <w:rPr>
                <w:rFonts w:ascii="宋体" w:hAnsi="宋体" w:hint="eastAsia"/>
                <w:szCs w:val="24"/>
                <w:lang w:eastAsia="zh-Hans"/>
              </w:rPr>
              <w:t>/</w:t>
            </w:r>
            <w:r>
              <w:rPr>
                <w:rFonts w:ascii="宋体" w:hAnsi="宋体" w:hint="eastAsia"/>
                <w:szCs w:val="24"/>
                <w:lang w:eastAsia="zh-Hans"/>
              </w:rPr>
              <w:t>基金经理助理，现任高级基金经理</w:t>
            </w:r>
            <w:r>
              <w:rPr>
                <w:rFonts w:ascii="宋体" w:hAnsi="宋体" w:hint="eastAsia"/>
                <w:szCs w:val="24"/>
                <w:lang w:eastAsia="zh-Hans"/>
              </w:rPr>
              <w:t>。</w:t>
            </w:r>
          </w:p>
        </w:tc>
      </w:tr>
    </w:tbl>
    <w:p w:rsidR="005042B6" w:rsidRDefault="005042B6">
      <w:pPr>
        <w:wordWrap w:val="0"/>
        <w:spacing w:line="360" w:lineRule="auto"/>
        <w:jc w:val="left"/>
        <w:divId w:val="143412677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042B6" w:rsidRDefault="005042B6">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5042B6" w:rsidRDefault="005042B6">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042B6" w:rsidRDefault="005042B6">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5042B6" w:rsidRDefault="005042B6">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5042B6" w:rsidRDefault="005042B6">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042B6" w:rsidRDefault="005042B6">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5042B6" w:rsidRDefault="005042B6">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042B6" w:rsidRDefault="005042B6">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cs="宋体" w:hint="eastAsia"/>
          <w:color w:val="000000"/>
          <w:kern w:val="0"/>
        </w:rPr>
        <w:t>受中东冲突带来的能源供给冲击以及内需持续偏弱影响，</w:t>
      </w:r>
      <w:r>
        <w:rPr>
          <w:rFonts w:ascii="宋体" w:hAnsi="宋体" w:cs="宋体" w:hint="eastAsia"/>
          <w:color w:val="000000"/>
          <w:kern w:val="0"/>
        </w:rPr>
        <w:t>2026</w:t>
      </w:r>
      <w:r>
        <w:rPr>
          <w:rFonts w:ascii="宋体" w:hAnsi="宋体" w:cs="宋体" w:hint="eastAsia"/>
          <w:color w:val="000000"/>
          <w:kern w:val="0"/>
        </w:rPr>
        <w:t>年二季度经济动能较</w:t>
      </w:r>
      <w:r>
        <w:rPr>
          <w:rFonts w:ascii="宋体" w:hAnsi="宋体" w:cs="宋体" w:hint="eastAsia"/>
          <w:color w:val="000000"/>
          <w:kern w:val="0"/>
        </w:rPr>
        <w:t>2026</w:t>
      </w:r>
      <w:r>
        <w:rPr>
          <w:rFonts w:ascii="宋体" w:hAnsi="宋体" w:cs="宋体" w:hint="eastAsia"/>
          <w:color w:val="000000"/>
          <w:kern w:val="0"/>
        </w:rPr>
        <w:t>年一季度放缓，但</w:t>
      </w:r>
      <w:r>
        <w:rPr>
          <w:rFonts w:ascii="宋体" w:hAnsi="宋体" w:cs="宋体" w:hint="eastAsia"/>
          <w:color w:val="000000"/>
          <w:kern w:val="0"/>
        </w:rPr>
        <w:t>AI</w:t>
      </w:r>
      <w:r>
        <w:rPr>
          <w:rFonts w:ascii="宋体" w:hAnsi="宋体" w:cs="宋体" w:hint="eastAsia"/>
          <w:color w:val="000000"/>
          <w:kern w:val="0"/>
        </w:rPr>
        <w:t>等新兴产业高景气度持续。生产端来看，</w:t>
      </w:r>
      <w:r>
        <w:rPr>
          <w:rFonts w:ascii="宋体" w:hAnsi="宋体" w:cs="宋体" w:hint="eastAsia"/>
          <w:color w:val="000000"/>
          <w:kern w:val="0"/>
        </w:rPr>
        <w:t>4-5</w:t>
      </w:r>
      <w:r>
        <w:rPr>
          <w:rFonts w:ascii="宋体" w:hAnsi="宋体" w:cs="宋体" w:hint="eastAsia"/>
          <w:color w:val="000000"/>
          <w:kern w:val="0"/>
        </w:rPr>
        <w:t>月工业增加值、服务业生产指数平均同比分别为</w:t>
      </w:r>
      <w:r>
        <w:rPr>
          <w:rFonts w:ascii="宋体" w:hAnsi="宋体" w:cs="宋体" w:hint="eastAsia"/>
          <w:color w:val="000000"/>
          <w:kern w:val="0"/>
        </w:rPr>
        <w:t>4.3%</w:t>
      </w:r>
      <w:r>
        <w:rPr>
          <w:rFonts w:ascii="宋体" w:hAnsi="宋体" w:cs="宋体" w:hint="eastAsia"/>
          <w:color w:val="000000"/>
          <w:kern w:val="0"/>
        </w:rPr>
        <w:t>、</w:t>
      </w:r>
      <w:r>
        <w:rPr>
          <w:rFonts w:ascii="宋体" w:hAnsi="宋体" w:cs="宋体" w:hint="eastAsia"/>
          <w:color w:val="000000"/>
          <w:kern w:val="0"/>
        </w:rPr>
        <w:t>4.4%</w:t>
      </w:r>
      <w:r>
        <w:rPr>
          <w:rFonts w:ascii="宋体" w:hAnsi="宋体" w:cs="宋体" w:hint="eastAsia"/>
          <w:color w:val="000000"/>
          <w:kern w:val="0"/>
        </w:rPr>
        <w:t>，较</w:t>
      </w:r>
      <w:r>
        <w:rPr>
          <w:rFonts w:ascii="宋体" w:hAnsi="宋体" w:cs="宋体" w:hint="eastAsia"/>
          <w:color w:val="000000"/>
          <w:kern w:val="0"/>
        </w:rPr>
        <w:t>2026</w:t>
      </w:r>
      <w:r>
        <w:rPr>
          <w:rFonts w:ascii="宋体" w:hAnsi="宋体" w:cs="宋体" w:hint="eastAsia"/>
          <w:color w:val="000000"/>
          <w:kern w:val="0"/>
        </w:rPr>
        <w:t>年一季度下降</w:t>
      </w:r>
      <w:r>
        <w:rPr>
          <w:rFonts w:ascii="宋体" w:hAnsi="宋体" w:cs="宋体" w:hint="eastAsia"/>
          <w:color w:val="000000"/>
          <w:kern w:val="0"/>
        </w:rPr>
        <w:t>1.8</w:t>
      </w:r>
      <w:r>
        <w:rPr>
          <w:rFonts w:ascii="宋体" w:hAnsi="宋体" w:cs="宋体" w:hint="eastAsia"/>
          <w:color w:val="000000"/>
          <w:kern w:val="0"/>
        </w:rPr>
        <w:t>、</w:t>
      </w:r>
      <w:r>
        <w:rPr>
          <w:rFonts w:ascii="宋体" w:hAnsi="宋体" w:cs="宋体" w:hint="eastAsia"/>
          <w:color w:val="000000"/>
          <w:kern w:val="0"/>
        </w:rPr>
        <w:t>0.7</w:t>
      </w:r>
      <w:r>
        <w:rPr>
          <w:rFonts w:ascii="宋体" w:hAnsi="宋体" w:cs="宋体" w:hint="eastAsia"/>
          <w:color w:val="000000"/>
          <w:kern w:val="0"/>
        </w:rPr>
        <w:t>个百分点。需求端来看，外需保持稳健增长，而内需仍然持续偏弱。虽然受到中东冲突带来的能源供给冲击影响，海外传统商品需求偏弱，但是</w:t>
      </w:r>
      <w:r>
        <w:rPr>
          <w:rFonts w:ascii="宋体" w:hAnsi="宋体" w:cs="宋体" w:hint="eastAsia"/>
          <w:color w:val="000000"/>
          <w:kern w:val="0"/>
        </w:rPr>
        <w:t>AI</w:t>
      </w:r>
      <w:r>
        <w:rPr>
          <w:rFonts w:ascii="宋体" w:hAnsi="宋体" w:cs="宋体" w:hint="eastAsia"/>
          <w:color w:val="000000"/>
          <w:kern w:val="0"/>
        </w:rPr>
        <w:t>等新兴产业景气度持续，实现量价齐升，带动中国相关产品出口上升。</w:t>
      </w:r>
      <w:r>
        <w:rPr>
          <w:rFonts w:ascii="宋体" w:hAnsi="宋体" w:cs="宋体" w:hint="eastAsia"/>
          <w:color w:val="000000"/>
          <w:kern w:val="0"/>
        </w:rPr>
        <w:t>4-5</w:t>
      </w:r>
      <w:r>
        <w:rPr>
          <w:rFonts w:ascii="宋体" w:hAnsi="宋体" w:cs="宋体" w:hint="eastAsia"/>
          <w:color w:val="000000"/>
          <w:kern w:val="0"/>
        </w:rPr>
        <w:t>月出口同比增长</w:t>
      </w:r>
      <w:r>
        <w:rPr>
          <w:rFonts w:ascii="宋体" w:hAnsi="宋体" w:cs="宋体" w:hint="eastAsia"/>
          <w:color w:val="000000"/>
          <w:kern w:val="0"/>
        </w:rPr>
        <w:t>16.7%</w:t>
      </w:r>
      <w:r>
        <w:rPr>
          <w:rFonts w:ascii="宋体" w:hAnsi="宋体" w:cs="宋体" w:hint="eastAsia"/>
          <w:color w:val="000000"/>
          <w:kern w:val="0"/>
        </w:rPr>
        <w:t>，较一季度的</w:t>
      </w:r>
      <w:r>
        <w:rPr>
          <w:rFonts w:ascii="宋体" w:hAnsi="宋体" w:cs="宋体" w:hint="eastAsia"/>
          <w:color w:val="000000"/>
          <w:kern w:val="0"/>
        </w:rPr>
        <w:t>14.7%</w:t>
      </w:r>
      <w:r>
        <w:rPr>
          <w:rFonts w:ascii="宋体" w:hAnsi="宋体" w:cs="宋体" w:hint="eastAsia"/>
          <w:color w:val="000000"/>
          <w:kern w:val="0"/>
        </w:rPr>
        <w:t>进一步上升。内需方面，虽然服务消费保持稳健，但是受以旧换新政策效果消退以及房地产持续偏弱影响，更偏商品消费的</w:t>
      </w:r>
      <w:r>
        <w:rPr>
          <w:rFonts w:ascii="宋体" w:hAnsi="宋体" w:cs="宋体" w:hint="eastAsia"/>
          <w:color w:val="000000"/>
          <w:kern w:val="0"/>
        </w:rPr>
        <w:t>4-5</w:t>
      </w:r>
      <w:r>
        <w:rPr>
          <w:rFonts w:ascii="宋体" w:hAnsi="宋体" w:cs="宋体" w:hint="eastAsia"/>
          <w:color w:val="000000"/>
          <w:kern w:val="0"/>
        </w:rPr>
        <w:t>月社会消费品零售总额同比</w:t>
      </w:r>
      <w:r>
        <w:rPr>
          <w:rFonts w:ascii="宋体" w:hAnsi="宋体" w:cs="宋体" w:hint="eastAsia"/>
          <w:color w:val="000000"/>
          <w:kern w:val="0"/>
        </w:rPr>
        <w:t>-0.2%</w:t>
      </w:r>
      <w:r>
        <w:rPr>
          <w:rFonts w:ascii="宋体" w:hAnsi="宋体" w:cs="宋体" w:hint="eastAsia"/>
          <w:color w:val="000000"/>
          <w:kern w:val="0"/>
        </w:rPr>
        <w:t>，较一季度的</w:t>
      </w:r>
      <w:r>
        <w:rPr>
          <w:rFonts w:ascii="宋体" w:hAnsi="宋体" w:cs="宋体" w:hint="eastAsia"/>
          <w:color w:val="000000"/>
          <w:kern w:val="0"/>
        </w:rPr>
        <w:t>2.4%</w:t>
      </w:r>
      <w:r>
        <w:rPr>
          <w:rFonts w:ascii="宋体" w:hAnsi="宋体" w:cs="宋体" w:hint="eastAsia"/>
          <w:color w:val="000000"/>
          <w:kern w:val="0"/>
        </w:rPr>
        <w:t>下降。固定资产投资增速再度转负，</w:t>
      </w:r>
      <w:r>
        <w:rPr>
          <w:rFonts w:ascii="宋体" w:hAnsi="宋体" w:cs="宋体" w:hint="eastAsia"/>
          <w:color w:val="000000"/>
          <w:kern w:val="0"/>
        </w:rPr>
        <w:t>1-5</w:t>
      </w:r>
      <w:r>
        <w:rPr>
          <w:rFonts w:ascii="宋体" w:hAnsi="宋体" w:cs="宋体" w:hint="eastAsia"/>
          <w:color w:val="000000"/>
          <w:kern w:val="0"/>
        </w:rPr>
        <w:t>月为</w:t>
      </w:r>
      <w:r>
        <w:rPr>
          <w:rFonts w:ascii="宋体" w:hAnsi="宋体" w:cs="宋体" w:hint="eastAsia"/>
          <w:color w:val="000000"/>
          <w:kern w:val="0"/>
        </w:rPr>
        <w:t>-4.1%</w:t>
      </w:r>
      <w:r>
        <w:rPr>
          <w:rFonts w:ascii="宋体" w:hAnsi="宋体" w:cs="宋体" w:hint="eastAsia"/>
          <w:color w:val="000000"/>
          <w:kern w:val="0"/>
        </w:rPr>
        <w:t>，较一季度的</w:t>
      </w:r>
      <w:r>
        <w:rPr>
          <w:rFonts w:ascii="宋体" w:hAnsi="宋体" w:cs="宋体" w:hint="eastAsia"/>
          <w:color w:val="000000"/>
          <w:kern w:val="0"/>
        </w:rPr>
        <w:t>+1.7%</w:t>
      </w:r>
      <w:r>
        <w:rPr>
          <w:rFonts w:ascii="宋体" w:hAnsi="宋体" w:cs="宋体" w:hint="eastAsia"/>
          <w:color w:val="000000"/>
          <w:kern w:val="0"/>
        </w:rPr>
        <w:t>下降，主要受建安投资拖累。分行业来看，三大项投资增速皆较一季度下降。全国层面房地产仍然偏弱，房地产投资降幅扩大；制造业投资也由正转负；虽然边际走弱，但是财政政策整体仍有一定支撑，基建仍然维持正增长。价格方面，受油价上升影响，</w:t>
      </w:r>
      <w:r>
        <w:rPr>
          <w:rFonts w:ascii="宋体" w:hAnsi="宋体" w:cs="宋体" w:hint="eastAsia"/>
          <w:color w:val="000000"/>
          <w:kern w:val="0"/>
        </w:rPr>
        <w:t>4-5</w:t>
      </w:r>
      <w:r>
        <w:rPr>
          <w:rFonts w:ascii="宋体" w:hAnsi="宋体" w:cs="宋体" w:hint="eastAsia"/>
          <w:color w:val="000000"/>
          <w:kern w:val="0"/>
        </w:rPr>
        <w:t>月</w:t>
      </w:r>
      <w:r>
        <w:rPr>
          <w:rFonts w:ascii="宋体" w:hAnsi="宋体" w:cs="宋体" w:hint="eastAsia"/>
          <w:color w:val="000000"/>
          <w:kern w:val="0"/>
        </w:rPr>
        <w:t>CPI</w:t>
      </w:r>
      <w:r>
        <w:rPr>
          <w:rFonts w:ascii="宋体" w:hAnsi="宋体" w:cs="宋体" w:hint="eastAsia"/>
          <w:color w:val="000000"/>
          <w:kern w:val="0"/>
        </w:rPr>
        <w:t>、</w:t>
      </w:r>
      <w:r>
        <w:rPr>
          <w:rFonts w:ascii="宋体" w:hAnsi="宋体" w:cs="宋体" w:hint="eastAsia"/>
          <w:color w:val="000000"/>
          <w:kern w:val="0"/>
        </w:rPr>
        <w:t>PPI</w:t>
      </w:r>
      <w:r>
        <w:rPr>
          <w:rFonts w:ascii="宋体" w:hAnsi="宋体" w:cs="宋体" w:hint="eastAsia"/>
          <w:color w:val="000000"/>
          <w:kern w:val="0"/>
        </w:rPr>
        <w:t>同比分别为</w:t>
      </w:r>
      <w:r>
        <w:rPr>
          <w:rFonts w:ascii="宋体" w:hAnsi="宋体" w:cs="宋体" w:hint="eastAsia"/>
          <w:color w:val="000000"/>
          <w:kern w:val="0"/>
        </w:rPr>
        <w:t>1.2%</w:t>
      </w:r>
      <w:r>
        <w:rPr>
          <w:rFonts w:ascii="宋体" w:hAnsi="宋体" w:cs="宋体" w:hint="eastAsia"/>
          <w:color w:val="000000"/>
          <w:kern w:val="0"/>
        </w:rPr>
        <w:t>、</w:t>
      </w:r>
      <w:r>
        <w:rPr>
          <w:rFonts w:ascii="宋体" w:hAnsi="宋体" w:cs="宋体" w:hint="eastAsia"/>
          <w:color w:val="000000"/>
          <w:kern w:val="0"/>
        </w:rPr>
        <w:t>3.4%</w:t>
      </w:r>
      <w:r>
        <w:rPr>
          <w:rFonts w:ascii="宋体" w:hAnsi="宋体" w:cs="宋体" w:hint="eastAsia"/>
          <w:color w:val="000000"/>
          <w:kern w:val="0"/>
        </w:rPr>
        <w:t>，尤其是</w:t>
      </w:r>
      <w:r>
        <w:rPr>
          <w:rFonts w:ascii="宋体" w:hAnsi="宋体" w:cs="宋体" w:hint="eastAsia"/>
          <w:color w:val="000000"/>
          <w:kern w:val="0"/>
        </w:rPr>
        <w:t>PPI</w:t>
      </w:r>
      <w:r>
        <w:rPr>
          <w:rFonts w:ascii="宋体" w:hAnsi="宋体" w:cs="宋体" w:hint="eastAsia"/>
          <w:color w:val="000000"/>
          <w:kern w:val="0"/>
        </w:rPr>
        <w:t>较一季度显著上升。市场预期中东冲突缓和，因此整体反弹上行，但行业结构分化明显。沪深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36.4%</w:t>
      </w:r>
      <w:r>
        <w:rPr>
          <w:rFonts w:ascii="宋体" w:hAnsi="宋体" w:cs="宋体" w:hint="eastAsia"/>
          <w:color w:val="000000"/>
          <w:kern w:val="0"/>
        </w:rPr>
        <w:t>。从行业表现来看，电子、通信、建材等行业涨幅居前，消费者服务、农林牧渔、综合等行业表现相对靠后。报告期内，本基金聚焦了</w:t>
      </w:r>
      <w:r>
        <w:rPr>
          <w:rFonts w:ascii="宋体" w:hAnsi="宋体" w:cs="宋体" w:hint="eastAsia"/>
          <w:color w:val="000000"/>
          <w:kern w:val="0"/>
        </w:rPr>
        <w:t>A</w:t>
      </w:r>
      <w:r>
        <w:rPr>
          <w:rFonts w:ascii="宋体" w:hAnsi="宋体" w:cs="宋体" w:hint="eastAsia"/>
          <w:color w:val="000000"/>
          <w:kern w:val="0"/>
        </w:rPr>
        <w:t>股、港股的优质龙头公司，尤其重点布局了受益于</w:t>
      </w:r>
      <w:r>
        <w:rPr>
          <w:rFonts w:ascii="宋体" w:hAnsi="宋体" w:cs="宋体" w:hint="eastAsia"/>
          <w:color w:val="000000"/>
          <w:kern w:val="0"/>
        </w:rPr>
        <w:t>AI</w:t>
      </w:r>
      <w:r>
        <w:rPr>
          <w:rFonts w:ascii="宋体" w:hAnsi="宋体" w:cs="宋体" w:hint="eastAsia"/>
          <w:color w:val="000000"/>
          <w:kern w:val="0"/>
        </w:rPr>
        <w:t>科技浪潮带动的国内科技公司，报告期内本基金实现了超赢基准的投资目标。</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三季度，我们保持谨慎乐观。外部来看，中东冲突整体呈现波动缓和态势，美联储或按兵不动，外需或维持韧性，中国出口或仍将维持较高增速。内部来看，央行或将维持总量货币政策不变，更多采用结构性货币政策。而虽然全国层面房地产或仍然处于寻底状态中，但“十五五”规划或进一步落地，财政政策或将边际提速，重点投向重大项目和民生领域。在此背景下，基建投资和消费增速或将较二季度边际改善。行业结构上，预计</w:t>
      </w:r>
      <w:r>
        <w:rPr>
          <w:rFonts w:ascii="宋体" w:hAnsi="宋体" w:cs="宋体" w:hint="eastAsia"/>
          <w:color w:val="000000"/>
          <w:kern w:val="0"/>
        </w:rPr>
        <w:t>AI</w:t>
      </w:r>
      <w:r>
        <w:rPr>
          <w:rFonts w:ascii="宋体" w:hAnsi="宋体" w:cs="宋体" w:hint="eastAsia"/>
          <w:color w:val="000000"/>
          <w:kern w:val="0"/>
        </w:rPr>
        <w:t>等新兴产业和传统产业之间的分化或仍将持续，但不排除边际上有一定收窄的可能性。风险点一是中东冲突再度恶化，二是美联储超预期收紧货币政策，三是</w:t>
      </w:r>
      <w:r>
        <w:rPr>
          <w:rFonts w:ascii="宋体" w:hAnsi="宋体" w:cs="宋体" w:hint="eastAsia"/>
          <w:color w:val="000000"/>
          <w:kern w:val="0"/>
        </w:rPr>
        <w:t>AI</w:t>
      </w:r>
      <w:r>
        <w:rPr>
          <w:rFonts w:ascii="宋体" w:hAnsi="宋体" w:cs="宋体" w:hint="eastAsia"/>
          <w:color w:val="000000"/>
          <w:kern w:val="0"/>
        </w:rPr>
        <w:t>领域估值过高，四是房地产市场持续偏弱。行业上，我们认为伴随着</w:t>
      </w:r>
      <w:r>
        <w:rPr>
          <w:rFonts w:ascii="宋体" w:hAnsi="宋体" w:cs="宋体" w:hint="eastAsia"/>
          <w:color w:val="000000"/>
          <w:kern w:val="0"/>
        </w:rPr>
        <w:t>AI</w:t>
      </w:r>
      <w:r>
        <w:rPr>
          <w:rFonts w:ascii="宋体" w:hAnsi="宋体" w:cs="宋体" w:hint="eastAsia"/>
          <w:color w:val="000000"/>
          <w:kern w:val="0"/>
        </w:rPr>
        <w:t>带来的科技浪潮，科技领域增长空间巨大。特别是今年以来，国内</w:t>
      </w:r>
      <w:r>
        <w:rPr>
          <w:rFonts w:ascii="宋体" w:hAnsi="宋体" w:cs="宋体" w:hint="eastAsia"/>
          <w:color w:val="000000"/>
          <w:kern w:val="0"/>
        </w:rPr>
        <w:t>AI</w:t>
      </w:r>
      <w:r>
        <w:rPr>
          <w:rFonts w:ascii="宋体" w:hAnsi="宋体" w:cs="宋体" w:hint="eastAsia"/>
          <w:color w:val="000000"/>
          <w:kern w:val="0"/>
        </w:rPr>
        <w:t>领域涌现出一批优秀的科技公司，无论是大模型端还是硬件端，产品能力在国际上具备优秀的竞争力。另外，新一代年轻人消费观的改善，带来了这个群体跨期消费主观偏好的显著提升，从而带动新消费行业的繁荣。该现象在美国、日本等国家历史上均有发生，伴随着经济高速发展成长起来的新一代年轻人往往具备更高的跨期消费意愿，而消费人群整体跨期主观偏好的提升将对消费社会产生深远影响。策略上，我们认为科技投资为主线，叠加底部布局优质的顺经济周期相关方向以及自下而上配置优秀的新消费公司或是较好的配置思路。未来我们将继续严格按照基金契约的要求，重点投资相关行业中具有相对估值优势、增长前景确定的优质公司。我们将加强对上市公司基本面的研究力度，筛选出具有长期竞争力的优秀公司，力争为持有人创造较好回报</w:t>
      </w:r>
      <w:r>
        <w:rPr>
          <w:rFonts w:ascii="宋体" w:hAnsi="宋体" w:cs="宋体" w:hint="eastAsia"/>
          <w:color w:val="000000"/>
          <w:kern w:val="0"/>
        </w:rPr>
        <w:t>。</w:t>
      </w:r>
    </w:p>
    <w:p w:rsidR="005042B6" w:rsidRDefault="005042B6">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5042B6" w:rsidRDefault="005042B6">
      <w:pPr>
        <w:spacing w:line="360" w:lineRule="auto"/>
        <w:ind w:firstLineChars="200" w:firstLine="420"/>
        <w:rPr>
          <w:rFonts w:hint="eastAsia"/>
        </w:rPr>
      </w:pPr>
      <w:r>
        <w:rPr>
          <w:rFonts w:ascii="宋体" w:hAnsi="宋体" w:hint="eastAsia"/>
        </w:rPr>
        <w:t>本报告期摩根领先优选混合</w:t>
      </w:r>
      <w:r>
        <w:rPr>
          <w:rFonts w:ascii="宋体" w:hAnsi="宋体" w:hint="eastAsia"/>
        </w:rPr>
        <w:t>A</w:t>
      </w:r>
      <w:r>
        <w:rPr>
          <w:rFonts w:ascii="宋体" w:hAnsi="宋体" w:hint="eastAsia"/>
        </w:rPr>
        <w:t>份额净值增长率为：</w:t>
      </w:r>
      <w:r>
        <w:rPr>
          <w:rFonts w:ascii="宋体" w:hAnsi="宋体" w:hint="eastAsia"/>
        </w:rPr>
        <w:t>14.49%</w:t>
      </w:r>
      <w:r>
        <w:rPr>
          <w:rFonts w:ascii="宋体" w:hAnsi="宋体" w:hint="eastAsia"/>
        </w:rPr>
        <w:t>，同期业绩比较基准收益率为：</w:t>
      </w:r>
      <w:r>
        <w:rPr>
          <w:rFonts w:ascii="宋体" w:hAnsi="宋体" w:hint="eastAsia"/>
        </w:rPr>
        <w:t>2.23%</w:t>
      </w:r>
      <w:r>
        <w:rPr>
          <w:rFonts w:ascii="宋体" w:hAnsi="宋体" w:hint="eastAsia"/>
        </w:rPr>
        <w:t>；</w:t>
      </w:r>
      <w:r>
        <w:rPr>
          <w:rFonts w:ascii="宋体" w:hAnsi="宋体" w:hint="eastAsia"/>
        </w:rPr>
        <w:br/>
      </w:r>
      <w:r>
        <w:rPr>
          <w:rFonts w:ascii="宋体" w:hAnsi="宋体" w:hint="eastAsia"/>
        </w:rPr>
        <w:t xml:space="preserve">　　摩根领先优选混合</w:t>
      </w:r>
      <w:r>
        <w:rPr>
          <w:rFonts w:ascii="宋体" w:hAnsi="宋体" w:hint="eastAsia"/>
        </w:rPr>
        <w:t>C</w:t>
      </w:r>
      <w:r>
        <w:rPr>
          <w:rFonts w:ascii="宋体" w:hAnsi="宋体" w:hint="eastAsia"/>
        </w:rPr>
        <w:t>份额净值增长率为：</w:t>
      </w:r>
      <w:r>
        <w:rPr>
          <w:rFonts w:ascii="宋体" w:hAnsi="宋体" w:hint="eastAsia"/>
        </w:rPr>
        <w:t>14.31%</w:t>
      </w:r>
      <w:r>
        <w:rPr>
          <w:rFonts w:ascii="宋体" w:hAnsi="宋体" w:hint="eastAsia"/>
        </w:rPr>
        <w:t>，同期业绩比较基准收益率为：</w:t>
      </w:r>
      <w:r>
        <w:rPr>
          <w:rFonts w:ascii="宋体" w:hAnsi="宋体" w:hint="eastAsia"/>
        </w:rPr>
        <w:t>2.23%</w:t>
      </w:r>
      <w:r>
        <w:rPr>
          <w:rFonts w:ascii="宋体" w:hAnsi="宋体" w:hint="eastAsia"/>
        </w:rPr>
        <w:t>。</w:t>
      </w:r>
    </w:p>
    <w:p w:rsidR="005042B6" w:rsidRDefault="005042B6">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5042B6" w:rsidRDefault="005042B6">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5042B6" w:rsidRDefault="005042B6">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15,027,966.3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81.2</w:t>
            </w:r>
            <w:r>
              <w:rPr>
                <w:rFonts w:ascii="宋体" w:hAnsi="宋体" w:hint="eastAsia"/>
                <w:szCs w:val="24"/>
                <w:lang w:eastAsia="zh-Hans"/>
              </w:rPr>
              <w:t>2</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15,027,966.3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81.2</w:t>
            </w:r>
            <w:r>
              <w:rPr>
                <w:rFonts w:ascii="宋体" w:hAnsi="宋体" w:hint="eastAsia"/>
                <w:szCs w:val="24"/>
                <w:lang w:eastAsia="zh-Hans"/>
              </w:rPr>
              <w:t>2</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3,198,983.8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17.2</w:t>
            </w:r>
            <w:r>
              <w:rPr>
                <w:rFonts w:ascii="宋体" w:hAnsi="宋体" w:hint="eastAsia"/>
                <w:szCs w:val="24"/>
                <w:lang w:eastAsia="zh-Hans"/>
              </w:rPr>
              <w:t>9</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275,077.5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1.4</w:t>
            </w:r>
            <w:r>
              <w:rPr>
                <w:rFonts w:ascii="宋体" w:hAnsi="宋体" w:hint="eastAsia"/>
                <w:szCs w:val="24"/>
                <w:lang w:eastAsia="zh-Hans"/>
              </w:rPr>
              <w:t>9</w:t>
            </w:r>
          </w:p>
        </w:tc>
      </w:tr>
      <w:tr w:rsidR="00000000">
        <w:trPr>
          <w:divId w:val="20721945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042B6" w:rsidRDefault="005042B6">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042B6" w:rsidRDefault="005042B6">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18,502,027.8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042B6" w:rsidRDefault="005042B6">
            <w:pPr>
              <w:jc w:val="right"/>
            </w:pPr>
            <w:r>
              <w:rPr>
                <w:rFonts w:ascii="宋体" w:hAnsi="宋体" w:hint="eastAsia"/>
                <w:szCs w:val="24"/>
                <w:lang w:eastAsia="zh-Hans"/>
              </w:rPr>
              <w:t>100.0</w:t>
            </w:r>
            <w:r>
              <w:rPr>
                <w:rFonts w:ascii="宋体" w:hAnsi="宋体" w:hint="eastAsia"/>
                <w:szCs w:val="24"/>
                <w:lang w:eastAsia="zh-Hans"/>
              </w:rPr>
              <w:t>0</w:t>
            </w:r>
          </w:p>
        </w:tc>
      </w:tr>
    </w:tbl>
    <w:p w:rsidR="005042B6" w:rsidRDefault="005042B6">
      <w:pPr>
        <w:spacing w:line="360" w:lineRule="auto"/>
        <w:jc w:val="left"/>
        <w:divId w:val="1581401193"/>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2,221,768.28</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12.78%</w:t>
      </w:r>
      <w:r>
        <w:rPr>
          <w:rFonts w:ascii="宋体" w:hAnsi="宋体" w:hint="eastAsia"/>
        </w:rPr>
        <w:t>。</w:t>
      </w:r>
    </w:p>
    <w:p w:rsidR="005042B6" w:rsidRDefault="005042B6">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5042B6" w:rsidRDefault="005042B6">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04229390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042B6" w:rsidRDefault="005042B6">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042B6" w:rsidRDefault="005042B6">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11,568,309.4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66.5</w:t>
            </w:r>
            <w:r>
              <w:rPr>
                <w:rFonts w:ascii="宋体" w:hAnsi="宋体" w:hint="eastAsia"/>
                <w:szCs w:val="24"/>
                <w:lang w:eastAsia="zh-Hans"/>
              </w:rPr>
              <w:t>6</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364,882.0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2.1</w:t>
            </w:r>
            <w:r>
              <w:rPr>
                <w:rFonts w:ascii="宋体" w:hAnsi="宋体" w:hint="eastAsia"/>
                <w:szCs w:val="24"/>
                <w:lang w:eastAsia="zh-Hans"/>
              </w:rPr>
              <w:t>0</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873,006.7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5.0</w:t>
            </w:r>
            <w:r>
              <w:rPr>
                <w:rFonts w:ascii="宋体" w:hAnsi="宋体" w:hint="eastAsia"/>
                <w:szCs w:val="24"/>
                <w:lang w:eastAsia="zh-Hans"/>
              </w:rPr>
              <w:t>2</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w:t>
            </w:r>
          </w:p>
        </w:tc>
      </w:tr>
      <w:tr w:rsidR="00000000">
        <w:trPr>
          <w:divId w:val="10422939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042B6" w:rsidRDefault="005042B6">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042B6" w:rsidRDefault="005042B6">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042B6" w:rsidRDefault="005042B6">
            <w:pPr>
              <w:jc w:val="right"/>
            </w:pPr>
            <w:r>
              <w:rPr>
                <w:rFonts w:ascii="宋体" w:hAnsi="宋体" w:hint="eastAsia"/>
                <w:szCs w:val="24"/>
                <w:lang w:eastAsia="zh-Hans"/>
              </w:rPr>
              <w:t>12,806,198.1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042B6" w:rsidRDefault="005042B6">
            <w:pPr>
              <w:jc w:val="right"/>
            </w:pPr>
            <w:r>
              <w:rPr>
                <w:rFonts w:ascii="宋体" w:hAnsi="宋体" w:hint="eastAsia"/>
                <w:szCs w:val="24"/>
                <w:lang w:eastAsia="zh-Hans"/>
              </w:rPr>
              <w:t>73.6</w:t>
            </w:r>
            <w:r>
              <w:rPr>
                <w:rFonts w:ascii="宋体" w:hAnsi="宋体" w:hint="eastAsia"/>
                <w:szCs w:val="24"/>
                <w:lang w:eastAsia="zh-Hans"/>
              </w:rPr>
              <w:t>9</w:t>
            </w:r>
          </w:p>
        </w:tc>
      </w:tr>
    </w:tbl>
    <w:p w:rsidR="005042B6" w:rsidRDefault="005042B6">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042B6" w:rsidRDefault="005042B6">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042B6" w:rsidRDefault="005042B6">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042B6" w:rsidRDefault="005042B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82,859.6</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0.4</w:t>
            </w:r>
            <w:r>
              <w:rPr>
                <w:rFonts w:ascii="宋体" w:hAnsi="宋体" w:hint="eastAsia"/>
                <w:szCs w:val="24"/>
                <w:lang w:eastAsia="zh-Hans"/>
              </w:rPr>
              <w:t>8</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78,447.4</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2,060,461.1</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11.8</w:t>
            </w:r>
            <w:r>
              <w:rPr>
                <w:rFonts w:ascii="宋体" w:hAnsi="宋体" w:hint="eastAsia"/>
                <w:szCs w:val="24"/>
                <w:lang w:eastAsia="zh-Hans"/>
              </w:rPr>
              <w:t>6</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w:t>
            </w:r>
          </w:p>
        </w:tc>
      </w:tr>
      <w:tr w:rsidR="00000000">
        <w:trPr>
          <w:divId w:val="43393932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2,221,768.2</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042B6" w:rsidRDefault="005042B6">
            <w:pPr>
              <w:jc w:val="right"/>
            </w:pPr>
            <w:r>
              <w:rPr>
                <w:rFonts w:ascii="宋体" w:hAnsi="宋体" w:hint="eastAsia"/>
                <w:szCs w:val="24"/>
                <w:lang w:eastAsia="zh-Hans"/>
              </w:rPr>
              <w:t>12.7</w:t>
            </w:r>
            <w:r>
              <w:rPr>
                <w:rFonts w:ascii="宋体" w:hAnsi="宋体" w:hint="eastAsia"/>
                <w:szCs w:val="24"/>
                <w:lang w:eastAsia="zh-Hans"/>
              </w:rPr>
              <w:t>8</w:t>
            </w:r>
          </w:p>
        </w:tc>
      </w:tr>
    </w:tbl>
    <w:p w:rsidR="005042B6" w:rsidRDefault="005042B6">
      <w:pPr>
        <w:spacing w:line="360" w:lineRule="auto"/>
        <w:divId w:val="731078266"/>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5042B6" w:rsidRDefault="005042B6">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5042B6" w:rsidRDefault="005042B6">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5544432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1,270,000.0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7.3</w:t>
            </w:r>
            <w:r>
              <w:rPr>
                <w:rFonts w:ascii="宋体" w:hAnsi="宋体" w:hint="eastAsia"/>
                <w:szCs w:val="24"/>
                <w:lang w:eastAsia="zh-Hans"/>
              </w:rPr>
              <w:t>1</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14,50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1,125,901.3</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6.4</w:t>
            </w:r>
            <w:r>
              <w:rPr>
                <w:rFonts w:ascii="宋体" w:hAnsi="宋体" w:hint="eastAsia"/>
                <w:szCs w:val="24"/>
                <w:lang w:eastAsia="zh-Hans"/>
              </w:rPr>
              <w:t>8</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00256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百润股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62,60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1,059,192.0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6.0</w:t>
            </w:r>
            <w:r>
              <w:rPr>
                <w:rFonts w:ascii="宋体" w:hAnsi="宋体" w:hint="eastAsia"/>
                <w:szCs w:val="24"/>
                <w:lang w:eastAsia="zh-Hans"/>
              </w:rPr>
              <w:t>9</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934,559.8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5.3</w:t>
            </w:r>
            <w:r>
              <w:rPr>
                <w:rFonts w:ascii="宋体" w:hAnsi="宋体" w:hint="eastAsia"/>
                <w:szCs w:val="24"/>
                <w:lang w:eastAsia="zh-Hans"/>
              </w:rPr>
              <w:t>8</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16,20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756,054.0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4.3</w:t>
            </w:r>
            <w:r>
              <w:rPr>
                <w:rFonts w:ascii="宋体" w:hAnsi="宋体" w:hint="eastAsia"/>
                <w:szCs w:val="24"/>
                <w:lang w:eastAsia="zh-Hans"/>
              </w:rPr>
              <w:t>5</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00072</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京东方</w:t>
            </w:r>
            <w:r>
              <w:rPr>
                <w:rFonts w:ascii="宋体" w:hAnsi="宋体" w:hint="eastAsia"/>
                <w:szCs w:val="24"/>
                <w:lang w:eastAsia="zh-Hans"/>
              </w:rPr>
              <w:t>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79,80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692,664.0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3.9</w:t>
            </w:r>
            <w:r>
              <w:rPr>
                <w:rFonts w:ascii="宋体" w:hAnsi="宋体" w:hint="eastAsia"/>
                <w:szCs w:val="24"/>
                <w:lang w:eastAsia="zh-Hans"/>
              </w:rPr>
              <w:t>9</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8,10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590,328.0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32</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515,362.6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2.9</w:t>
            </w:r>
            <w:r>
              <w:rPr>
                <w:rFonts w:ascii="宋体" w:hAnsi="宋体" w:hint="eastAsia"/>
                <w:szCs w:val="24"/>
                <w:lang w:eastAsia="zh-Hans"/>
              </w:rPr>
              <w:t>7</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68804</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海光信</w:t>
            </w:r>
            <w:r>
              <w:rPr>
                <w:rFonts w:ascii="宋体" w:hAnsi="宋体" w:hint="eastAsia"/>
                <w:szCs w:val="24"/>
                <w:lang w:eastAsia="zh-Hans"/>
              </w:rPr>
              <w:t>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1,37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508,421.9</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2.9</w:t>
            </w:r>
            <w:r>
              <w:rPr>
                <w:rFonts w:ascii="宋体" w:hAnsi="宋体" w:hint="eastAsia"/>
                <w:szCs w:val="24"/>
                <w:lang w:eastAsia="zh-Hans"/>
              </w:rPr>
              <w:t>3</w:t>
            </w:r>
          </w:p>
        </w:tc>
      </w:tr>
      <w:tr w:rsidR="00000000">
        <w:trPr>
          <w:divId w:val="554443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68814</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szCs w:val="24"/>
                <w:lang w:eastAsia="zh-Hans"/>
              </w:rPr>
              <w:t>中船特</w:t>
            </w:r>
            <w:r>
              <w:rPr>
                <w:rFonts w:ascii="宋体" w:hAnsi="宋体" w:hint="eastAsia"/>
                <w:szCs w:val="24"/>
                <w:lang w:eastAsia="zh-Hans"/>
              </w:rPr>
              <w:t>气</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1,36</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477,386.3</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2.7</w:t>
            </w:r>
            <w:r>
              <w:rPr>
                <w:rFonts w:ascii="宋体" w:hAnsi="宋体" w:hint="eastAsia"/>
                <w:szCs w:val="24"/>
                <w:lang w:eastAsia="zh-Hans"/>
              </w:rPr>
              <w:t>5</w:t>
            </w:r>
          </w:p>
        </w:tc>
      </w:tr>
    </w:tbl>
    <w:p w:rsidR="005042B6" w:rsidRDefault="005042B6">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5042B6" w:rsidRDefault="005042B6">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042B6" w:rsidRDefault="005042B6">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042B6" w:rsidRDefault="005042B6">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5042B6" w:rsidRDefault="005042B6">
      <w:pPr>
        <w:spacing w:line="360" w:lineRule="auto"/>
        <w:ind w:firstLineChars="200" w:firstLine="420"/>
        <w:divId w:val="27547888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042B6" w:rsidRDefault="005042B6">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5042B6" w:rsidRDefault="005042B6">
      <w:pPr>
        <w:spacing w:line="360" w:lineRule="auto"/>
        <w:ind w:firstLineChars="200" w:firstLine="420"/>
        <w:divId w:val="48196531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042B6" w:rsidRDefault="005042B6">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5042B6" w:rsidRDefault="005042B6">
      <w:pPr>
        <w:spacing w:line="360" w:lineRule="auto"/>
        <w:ind w:firstLineChars="200" w:firstLine="420"/>
        <w:divId w:val="207561500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042B6" w:rsidRDefault="005042B6">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5042B6" w:rsidRDefault="005042B6">
      <w:pPr>
        <w:spacing w:line="360" w:lineRule="auto"/>
        <w:ind w:firstLineChars="200" w:firstLine="420"/>
        <w:divId w:val="2035423187"/>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5042B6" w:rsidRDefault="005042B6">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5042B6" w:rsidRDefault="005042B6">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5042B6" w:rsidRDefault="005042B6">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042B6" w:rsidRDefault="005042B6">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5042B6" w:rsidRDefault="005042B6">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042B6" w:rsidRDefault="005042B6">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91123853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42B6" w:rsidRDefault="005042B6">
            <w:pPr>
              <w:jc w:val="center"/>
            </w:pPr>
            <w:r>
              <w:rPr>
                <w:rFonts w:ascii="宋体" w:hAnsi="宋体" w:hint="eastAsia"/>
              </w:rPr>
              <w:t>金额（元</w:t>
            </w:r>
            <w:r>
              <w:rPr>
                <w:rFonts w:ascii="宋体" w:hAnsi="宋体" w:hint="eastAsia"/>
              </w:rPr>
              <w:t>）</w:t>
            </w:r>
            <w:r>
              <w:t xml:space="preserve"> </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7,582.5</w:t>
            </w:r>
            <w:r>
              <w:rPr>
                <w:rFonts w:ascii="宋体" w:hAnsi="宋体" w:hint="eastAsia"/>
              </w:rPr>
              <w:t>7</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251,248.6</w:t>
            </w:r>
            <w:r>
              <w:rPr>
                <w:rFonts w:ascii="宋体" w:hAnsi="宋体" w:hint="eastAsia"/>
              </w:rPr>
              <w:t>8</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14,723.3</w:t>
            </w:r>
            <w:r>
              <w:rPr>
                <w:rFonts w:ascii="宋体" w:hAnsi="宋体" w:hint="eastAsia"/>
              </w:rPr>
              <w:t>3</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1,522.9</w:t>
            </w:r>
            <w:r>
              <w:rPr>
                <w:rFonts w:ascii="宋体" w:hAnsi="宋体" w:hint="eastAsia"/>
              </w:rPr>
              <w:t>9</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w:t>
            </w:r>
          </w:p>
        </w:tc>
      </w:tr>
      <w:tr w:rsidR="00000000">
        <w:trPr>
          <w:divId w:val="9112385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275,077.5</w:t>
            </w:r>
            <w:r>
              <w:rPr>
                <w:rFonts w:ascii="宋体" w:hAnsi="宋体" w:hint="eastAsia"/>
              </w:rPr>
              <w:t>7</w:t>
            </w:r>
          </w:p>
        </w:tc>
      </w:tr>
    </w:tbl>
    <w:p w:rsidR="005042B6" w:rsidRDefault="005042B6">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5042B6" w:rsidRDefault="005042B6">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042B6" w:rsidRDefault="005042B6">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5042B6" w:rsidRDefault="005042B6">
      <w:pPr>
        <w:spacing w:line="360" w:lineRule="auto"/>
        <w:ind w:firstLineChars="200" w:firstLine="420"/>
        <w:jc w:val="left"/>
        <w:divId w:val="10704809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042B6" w:rsidRDefault="005042B6">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5042B6" w:rsidRDefault="005042B6">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5042B6" w:rsidRDefault="005042B6">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5042B6" w:rsidRDefault="005042B6">
      <w:pPr>
        <w:wordWrap w:val="0"/>
        <w:spacing w:line="360" w:lineRule="auto"/>
        <w:jc w:val="right"/>
        <w:divId w:val="1650938725"/>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165093872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ind w:right="3"/>
              <w:jc w:val="center"/>
            </w:pPr>
            <w:r>
              <w:rPr>
                <w:rFonts w:ascii="宋体" w:hAnsi="宋体" w:hint="eastAsia"/>
                <w:lang w:eastAsia="zh-Hans"/>
              </w:rPr>
              <w:t>摩根领先优选混合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042B6" w:rsidRDefault="005042B6">
            <w:pPr>
              <w:ind w:right="3"/>
              <w:jc w:val="center"/>
            </w:pPr>
            <w:r>
              <w:rPr>
                <w:rFonts w:ascii="宋体" w:hAnsi="宋体" w:hint="eastAsia"/>
                <w:lang w:eastAsia="zh-Hans"/>
              </w:rPr>
              <w:t>摩根领先优选混合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6509387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16,732,322.7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196,058.0</w:t>
            </w:r>
            <w:r>
              <w:rPr>
                <w:rFonts w:ascii="宋体" w:hAnsi="宋体" w:hint="eastAsia"/>
              </w:rPr>
              <w:t>6</w:t>
            </w:r>
          </w:p>
        </w:tc>
      </w:tr>
      <w:tr w:rsidR="00000000">
        <w:trPr>
          <w:divId w:val="16509387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498,075.3</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332,441.6</w:t>
            </w:r>
            <w:r>
              <w:rPr>
                <w:rFonts w:ascii="宋体" w:hAnsi="宋体" w:hint="eastAsia"/>
              </w:rPr>
              <w:t>7</w:t>
            </w:r>
          </w:p>
        </w:tc>
      </w:tr>
      <w:tr w:rsidR="00000000">
        <w:trPr>
          <w:divId w:val="16509387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2,868,722.0</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154,223.5</w:t>
            </w:r>
            <w:r>
              <w:rPr>
                <w:rFonts w:ascii="宋体" w:hAnsi="宋体" w:hint="eastAsia"/>
              </w:rPr>
              <w:t>6</w:t>
            </w:r>
          </w:p>
        </w:tc>
      </w:tr>
      <w:tr w:rsidR="00000000">
        <w:trPr>
          <w:divId w:val="16509387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w:t>
            </w:r>
          </w:p>
        </w:tc>
      </w:tr>
      <w:tr w:rsidR="00000000">
        <w:trPr>
          <w:divId w:val="16509387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14,361,676.0</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042B6" w:rsidRDefault="005042B6">
            <w:pPr>
              <w:jc w:val="right"/>
            </w:pPr>
            <w:r>
              <w:rPr>
                <w:rFonts w:ascii="宋体" w:hAnsi="宋体" w:hint="eastAsia"/>
              </w:rPr>
              <w:t>374,276.1</w:t>
            </w:r>
            <w:r>
              <w:rPr>
                <w:rFonts w:ascii="宋体" w:hAnsi="宋体" w:hint="eastAsia"/>
              </w:rPr>
              <w:t>7</w:t>
            </w:r>
          </w:p>
        </w:tc>
      </w:tr>
    </w:tbl>
    <w:p w:rsidR="005042B6" w:rsidRDefault="005042B6">
      <w:pPr>
        <w:spacing w:line="360" w:lineRule="auto"/>
        <w:jc w:val="left"/>
        <w:divId w:val="165093872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5042B6" w:rsidRDefault="005042B6">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5042B6" w:rsidRDefault="005042B6">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5042B6" w:rsidRDefault="005042B6">
      <w:pPr>
        <w:wordWrap w:val="0"/>
        <w:spacing w:line="360" w:lineRule="auto"/>
        <w:jc w:val="right"/>
        <w:divId w:val="201275155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01275155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lang w:eastAsia="zh-Hans"/>
              </w:rPr>
              <w:t>摩根领先优选混合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lang w:eastAsia="zh-Hans"/>
              </w:rPr>
              <w:t>摩根领先优选混合</w:t>
            </w:r>
            <w:r>
              <w:rPr>
                <w:rFonts w:ascii="宋体" w:hAnsi="宋体" w:hint="eastAsia"/>
                <w:lang w:eastAsia="zh-Hans"/>
              </w:rPr>
              <w:t>C</w:t>
            </w:r>
            <w:r>
              <w:rPr>
                <w:rFonts w:ascii="宋体" w:hAnsi="宋体" w:hint="eastAsia"/>
                <w:color w:val="000000"/>
              </w:rPr>
              <w:t xml:space="preserve"> </w:t>
            </w:r>
          </w:p>
        </w:tc>
      </w:tr>
      <w:tr w:rsidR="00000000">
        <w:trPr>
          <w:divId w:val="201275155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rPr>
                <w:rFonts w:hint="eastAsia"/>
              </w:rPr>
            </w:pPr>
            <w:r>
              <w:rPr>
                <w:rFonts w:ascii="宋体" w:hAnsi="宋体" w:hint="eastAsia"/>
                <w:kern w:val="0"/>
                <w:szCs w:val="24"/>
                <w:lang w:eastAsia="zh-Hans"/>
              </w:rPr>
              <w:t>1,371,363.8</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kern w:val="0"/>
                <w:szCs w:val="24"/>
                <w:lang w:eastAsia="zh-Hans"/>
              </w:rPr>
              <w:t>-</w:t>
            </w:r>
          </w:p>
        </w:tc>
      </w:tr>
      <w:tr w:rsidR="00000000">
        <w:trPr>
          <w:divId w:val="201275155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szCs w:val="24"/>
                <w:lang w:eastAsia="zh-Hans"/>
              </w:rPr>
              <w:t>-</w:t>
            </w:r>
          </w:p>
        </w:tc>
      </w:tr>
      <w:tr w:rsidR="00000000">
        <w:trPr>
          <w:divId w:val="201275155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rPr>
                <w:rFonts w:hint="eastAsia"/>
              </w:rPr>
            </w:pPr>
            <w:r>
              <w:rPr>
                <w:rFonts w:ascii="宋体" w:hAnsi="宋体" w:hint="eastAsia"/>
                <w:lang w:eastAsia="zh-Hans"/>
              </w:rPr>
              <w:t>711,032.0</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lang w:eastAsia="zh-Hans"/>
              </w:rPr>
              <w:t>-</w:t>
            </w:r>
          </w:p>
        </w:tc>
      </w:tr>
      <w:tr w:rsidR="00000000">
        <w:trPr>
          <w:divId w:val="201275155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rPr>
                <w:rFonts w:hint="eastAsia"/>
              </w:rPr>
            </w:pPr>
            <w:r>
              <w:rPr>
                <w:rFonts w:ascii="宋体" w:hAnsi="宋体" w:hint="eastAsia"/>
                <w:lang w:eastAsia="zh-Hans"/>
              </w:rPr>
              <w:t>660,331.8</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lang w:eastAsia="zh-Hans"/>
              </w:rPr>
              <w:t>-</w:t>
            </w:r>
          </w:p>
        </w:tc>
      </w:tr>
      <w:tr w:rsidR="00000000">
        <w:trPr>
          <w:divId w:val="201275155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rPr>
                <w:rFonts w:hint="eastAsia"/>
              </w:rPr>
            </w:pPr>
            <w:r>
              <w:rPr>
                <w:rFonts w:ascii="宋体" w:hAnsi="宋体" w:hint="eastAsia"/>
                <w:lang w:eastAsia="zh-Hans"/>
              </w:rPr>
              <w:t>4.4</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lang w:eastAsia="zh-Hans"/>
              </w:rPr>
              <w:t>-</w:t>
            </w:r>
          </w:p>
        </w:tc>
      </w:tr>
    </w:tbl>
    <w:p w:rsidR="005042B6" w:rsidRDefault="005042B6">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574358807"/>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042B6" w:rsidRDefault="005042B6">
            <w:pPr>
              <w:jc w:val="center"/>
            </w:pPr>
            <w:r>
              <w:rPr>
                <w:rFonts w:ascii="宋体" w:hAnsi="宋体" w:hint="eastAsia"/>
              </w:rPr>
              <w:t>适用费率</w:t>
            </w:r>
            <w:r>
              <w:rPr>
                <w:rFonts w:ascii="宋体" w:hAnsi="宋体" w:hint="eastAsia"/>
              </w:rPr>
              <w:t xml:space="preserve"> </w:t>
            </w:r>
          </w:p>
        </w:tc>
      </w:tr>
      <w:tr w:rsidR="00000000">
        <w:trPr>
          <w:divId w:val="57435880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-18,270.5</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-20,494.1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w:t>
            </w:r>
            <w:r>
              <w:t xml:space="preserve"> </w:t>
            </w:r>
          </w:p>
        </w:tc>
      </w:tr>
      <w:tr w:rsidR="00000000">
        <w:trPr>
          <w:divId w:val="57435880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-5,319.7</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-5,955.1</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0.2</w:t>
            </w:r>
            <w:r>
              <w:rPr>
                <w:rFonts w:ascii="宋体" w:hAnsi="宋体" w:hint="eastAsia"/>
              </w:rPr>
              <w:t>0</w:t>
            </w:r>
            <w:r>
              <w:t xml:space="preserve">% </w:t>
            </w:r>
          </w:p>
        </w:tc>
      </w:tr>
      <w:tr w:rsidR="00000000">
        <w:trPr>
          <w:divId w:val="57435880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-345,635.8</w:t>
            </w:r>
            <w:r>
              <w:rPr>
                <w:rFonts w:ascii="宋体" w:hAnsi="宋体" w:hint="eastAsia"/>
              </w:rPr>
              <w:t>6</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-386,342.8</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0.3</w:t>
            </w:r>
            <w:r>
              <w:rPr>
                <w:rFonts w:ascii="宋体" w:hAnsi="宋体" w:hint="eastAsia"/>
              </w:rPr>
              <w:t>5</w:t>
            </w:r>
            <w:r>
              <w:t xml:space="preserve">% </w:t>
            </w:r>
          </w:p>
        </w:tc>
      </w:tr>
      <w:tr w:rsidR="00000000">
        <w:trPr>
          <w:divId w:val="57435880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4</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-341,805.8</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-368,309.6</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0.2</w:t>
            </w:r>
            <w:r>
              <w:rPr>
                <w:rFonts w:ascii="宋体" w:hAnsi="宋体" w:hint="eastAsia"/>
              </w:rPr>
              <w:t>0</w:t>
            </w:r>
            <w:r>
              <w:t xml:space="preserve">% </w:t>
            </w:r>
          </w:p>
        </w:tc>
      </w:tr>
      <w:tr w:rsidR="00000000">
        <w:trPr>
          <w:divId w:val="57435880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-711,032.0</w:t>
            </w:r>
            <w:r>
              <w:rPr>
                <w:rFonts w:ascii="宋体" w:hAnsi="宋体" w:hint="eastAsia"/>
              </w:rPr>
              <w:t>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pPr>
              <w:jc w:val="right"/>
            </w:pPr>
            <w:r>
              <w:rPr>
                <w:rFonts w:ascii="宋体" w:hAnsi="宋体" w:hint="eastAsia"/>
              </w:rPr>
              <w:t>-781,101.7</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42B6" w:rsidRDefault="005042B6"/>
        </w:tc>
      </w:tr>
    </w:tbl>
    <w:p w:rsidR="005042B6" w:rsidRDefault="005042B6">
      <w:pPr>
        <w:spacing w:line="360" w:lineRule="auto"/>
        <w:jc w:val="left"/>
        <w:divId w:val="1392582937"/>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5042B6" w:rsidRDefault="005042B6">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5042B6" w:rsidRDefault="005042B6">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5042B6" w:rsidRDefault="005042B6">
      <w:pPr>
        <w:spacing w:line="360" w:lineRule="auto"/>
        <w:ind w:firstLineChars="200" w:firstLine="420"/>
        <w:divId w:val="1215966243"/>
        <w:rPr>
          <w:rFonts w:ascii="宋体" w:hAnsi="宋体" w:hint="eastAsia"/>
          <w:szCs w:val="21"/>
          <w:lang w:eastAsia="zh-Hans"/>
        </w:rPr>
      </w:pPr>
      <w:r>
        <w:rPr>
          <w:rFonts w:ascii="宋体" w:hAnsi="宋体" w:hint="eastAsia"/>
          <w:szCs w:val="21"/>
          <w:lang w:eastAsia="zh-Hans"/>
        </w:rPr>
        <w:t>无。</w:t>
      </w:r>
    </w:p>
    <w:p w:rsidR="005042B6" w:rsidRDefault="005042B6">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5042B6" w:rsidRDefault="005042B6">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摩根领先优选混合型证券投资基金基金合同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摩根领先优选混合型证券投资基金托管协议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5042B6" w:rsidRDefault="005042B6">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042B6" w:rsidRDefault="005042B6">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5042B6" w:rsidRDefault="005042B6">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5042B6" w:rsidRDefault="005042B6">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042B6" w:rsidRDefault="005042B6">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042B6" w:rsidRDefault="005042B6">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042B6" w:rsidRDefault="005042B6">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042B6">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2B6" w:rsidRDefault="005042B6">
      <w:pPr>
        <w:rPr>
          <w:szCs w:val="21"/>
        </w:rPr>
      </w:pPr>
      <w:r>
        <w:rPr>
          <w:szCs w:val="21"/>
        </w:rPr>
        <w:separator/>
      </w:r>
      <w:r>
        <w:rPr>
          <w:szCs w:val="21"/>
        </w:rPr>
        <w:t xml:space="preserve"> </w:t>
      </w:r>
    </w:p>
  </w:endnote>
  <w:endnote w:type="continuationSeparator" w:id="0">
    <w:p w:rsidR="005042B6" w:rsidRDefault="005042B6">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6" w:rsidRDefault="005042B6">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2B6" w:rsidRDefault="005042B6">
      <w:pPr>
        <w:rPr>
          <w:szCs w:val="21"/>
        </w:rPr>
      </w:pPr>
      <w:r>
        <w:rPr>
          <w:szCs w:val="21"/>
        </w:rPr>
        <w:separator/>
      </w:r>
      <w:r>
        <w:rPr>
          <w:szCs w:val="21"/>
        </w:rPr>
        <w:t xml:space="preserve"> </w:t>
      </w:r>
    </w:p>
  </w:footnote>
  <w:footnote w:type="continuationSeparator" w:id="0">
    <w:p w:rsidR="005042B6" w:rsidRDefault="005042B6">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6" w:rsidRDefault="005042B6">
    <w:pPr>
      <w:pStyle w:val="a8"/>
      <w:jc w:val="right"/>
    </w:pPr>
    <w:r>
      <w:rPr>
        <w:rFonts w:ascii="宋体" w:hAnsi="宋体" w:hint="eastAsia"/>
      </w:rPr>
      <w:t>摩根领先优选混合型证券投资基金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89851296">
    <w:abstractNumId w:val="0"/>
  </w:num>
  <w:num w:numId="2" w16cid:durableId="400102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85CA5"/>
    <w:rsid w:val="003E0F21"/>
    <w:rsid w:val="005042B6"/>
    <w:rsid w:val="00F85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380">
      <w:marLeft w:val="0"/>
      <w:marRight w:val="0"/>
      <w:marTop w:val="0"/>
      <w:marBottom w:val="0"/>
      <w:divBdr>
        <w:top w:val="none" w:sz="0" w:space="0" w:color="auto"/>
        <w:left w:val="none" w:sz="0" w:space="0" w:color="auto"/>
        <w:bottom w:val="none" w:sz="0" w:space="0" w:color="auto"/>
        <w:right w:val="none" w:sz="0" w:space="0" w:color="auto"/>
      </w:divBdr>
      <w:divsChild>
        <w:div w:id="2012751558">
          <w:marLeft w:val="0"/>
          <w:marRight w:val="0"/>
          <w:marTop w:val="0"/>
          <w:marBottom w:val="0"/>
          <w:divBdr>
            <w:top w:val="none" w:sz="0" w:space="0" w:color="auto"/>
            <w:left w:val="none" w:sz="0" w:space="0" w:color="auto"/>
            <w:bottom w:val="none" w:sz="0" w:space="0" w:color="auto"/>
            <w:right w:val="none" w:sz="0" w:space="0" w:color="auto"/>
          </w:divBdr>
        </w:div>
      </w:divsChild>
    </w:div>
    <w:div w:id="25060129">
      <w:marLeft w:val="0"/>
      <w:marRight w:val="0"/>
      <w:marTop w:val="0"/>
      <w:marBottom w:val="0"/>
      <w:divBdr>
        <w:top w:val="none" w:sz="0" w:space="0" w:color="auto"/>
        <w:left w:val="none" w:sz="0" w:space="0" w:color="auto"/>
        <w:bottom w:val="none" w:sz="0" w:space="0" w:color="auto"/>
        <w:right w:val="none" w:sz="0" w:space="0" w:color="auto"/>
      </w:divBdr>
      <w:divsChild>
        <w:div w:id="911238531">
          <w:marLeft w:val="0"/>
          <w:marRight w:val="0"/>
          <w:marTop w:val="0"/>
          <w:marBottom w:val="0"/>
          <w:divBdr>
            <w:top w:val="none" w:sz="0" w:space="0" w:color="auto"/>
            <w:left w:val="none" w:sz="0" w:space="0" w:color="auto"/>
            <w:bottom w:val="none" w:sz="0" w:space="0" w:color="auto"/>
            <w:right w:val="none" w:sz="0" w:space="0" w:color="auto"/>
          </w:divBdr>
        </w:div>
      </w:divsChild>
    </w:div>
    <w:div w:id="55444327">
      <w:marLeft w:val="0"/>
      <w:marRight w:val="0"/>
      <w:marTop w:val="0"/>
      <w:marBottom w:val="0"/>
      <w:divBdr>
        <w:top w:val="none" w:sz="0" w:space="0" w:color="auto"/>
        <w:left w:val="none" w:sz="0" w:space="0" w:color="auto"/>
        <w:bottom w:val="none" w:sz="0" w:space="0" w:color="auto"/>
        <w:right w:val="none" w:sz="0" w:space="0" w:color="auto"/>
      </w:divBdr>
    </w:div>
    <w:div w:id="107048097">
      <w:marLeft w:val="0"/>
      <w:marRight w:val="0"/>
      <w:marTop w:val="0"/>
      <w:marBottom w:val="0"/>
      <w:divBdr>
        <w:top w:val="none" w:sz="0" w:space="0" w:color="auto"/>
        <w:left w:val="none" w:sz="0" w:space="0" w:color="auto"/>
        <w:bottom w:val="none" w:sz="0" w:space="0" w:color="auto"/>
        <w:right w:val="none" w:sz="0" w:space="0" w:color="auto"/>
      </w:divBdr>
    </w:div>
    <w:div w:id="264919837">
      <w:marLeft w:val="0"/>
      <w:marRight w:val="0"/>
      <w:marTop w:val="0"/>
      <w:marBottom w:val="0"/>
      <w:divBdr>
        <w:top w:val="none" w:sz="0" w:space="0" w:color="auto"/>
        <w:left w:val="none" w:sz="0" w:space="0" w:color="auto"/>
        <w:bottom w:val="none" w:sz="0" w:space="0" w:color="auto"/>
        <w:right w:val="none" w:sz="0" w:space="0" w:color="auto"/>
      </w:divBdr>
    </w:div>
    <w:div w:id="275478884">
      <w:marLeft w:val="0"/>
      <w:marRight w:val="0"/>
      <w:marTop w:val="0"/>
      <w:marBottom w:val="0"/>
      <w:divBdr>
        <w:top w:val="none" w:sz="0" w:space="0" w:color="auto"/>
        <w:left w:val="none" w:sz="0" w:space="0" w:color="auto"/>
        <w:bottom w:val="none" w:sz="0" w:space="0" w:color="auto"/>
        <w:right w:val="none" w:sz="0" w:space="0" w:color="auto"/>
      </w:divBdr>
    </w:div>
    <w:div w:id="481965310">
      <w:marLeft w:val="0"/>
      <w:marRight w:val="0"/>
      <w:marTop w:val="0"/>
      <w:marBottom w:val="0"/>
      <w:divBdr>
        <w:top w:val="none" w:sz="0" w:space="0" w:color="auto"/>
        <w:left w:val="none" w:sz="0" w:space="0" w:color="auto"/>
        <w:bottom w:val="none" w:sz="0" w:space="0" w:color="auto"/>
        <w:right w:val="none" w:sz="0" w:space="0" w:color="auto"/>
      </w:divBdr>
    </w:div>
    <w:div w:id="731078266">
      <w:marLeft w:val="0"/>
      <w:marRight w:val="0"/>
      <w:marTop w:val="0"/>
      <w:marBottom w:val="0"/>
      <w:divBdr>
        <w:top w:val="none" w:sz="0" w:space="0" w:color="auto"/>
        <w:left w:val="none" w:sz="0" w:space="0" w:color="auto"/>
        <w:bottom w:val="none" w:sz="0" w:space="0" w:color="auto"/>
        <w:right w:val="none" w:sz="0" w:space="0" w:color="auto"/>
      </w:divBdr>
      <w:divsChild>
        <w:div w:id="433939321">
          <w:marLeft w:val="0"/>
          <w:marRight w:val="0"/>
          <w:marTop w:val="0"/>
          <w:marBottom w:val="0"/>
          <w:divBdr>
            <w:top w:val="none" w:sz="0" w:space="0" w:color="auto"/>
            <w:left w:val="none" w:sz="0" w:space="0" w:color="auto"/>
            <w:bottom w:val="none" w:sz="0" w:space="0" w:color="auto"/>
            <w:right w:val="none" w:sz="0" w:space="0" w:color="auto"/>
          </w:divBdr>
        </w:div>
      </w:divsChild>
    </w:div>
    <w:div w:id="1110735722">
      <w:marLeft w:val="0"/>
      <w:marRight w:val="0"/>
      <w:marTop w:val="0"/>
      <w:marBottom w:val="0"/>
      <w:divBdr>
        <w:top w:val="none" w:sz="0" w:space="0" w:color="auto"/>
        <w:left w:val="none" w:sz="0" w:space="0" w:color="auto"/>
        <w:bottom w:val="none" w:sz="0" w:space="0" w:color="auto"/>
        <w:right w:val="none" w:sz="0" w:space="0" w:color="auto"/>
      </w:divBdr>
      <w:divsChild>
        <w:div w:id="1042293908">
          <w:marLeft w:val="0"/>
          <w:marRight w:val="0"/>
          <w:marTop w:val="0"/>
          <w:marBottom w:val="0"/>
          <w:divBdr>
            <w:top w:val="none" w:sz="0" w:space="0" w:color="auto"/>
            <w:left w:val="none" w:sz="0" w:space="0" w:color="auto"/>
            <w:bottom w:val="none" w:sz="0" w:space="0" w:color="auto"/>
            <w:right w:val="none" w:sz="0" w:space="0" w:color="auto"/>
          </w:divBdr>
        </w:div>
      </w:divsChild>
    </w:div>
    <w:div w:id="1215966243">
      <w:marLeft w:val="0"/>
      <w:marRight w:val="0"/>
      <w:marTop w:val="0"/>
      <w:marBottom w:val="0"/>
      <w:divBdr>
        <w:top w:val="none" w:sz="0" w:space="0" w:color="auto"/>
        <w:left w:val="none" w:sz="0" w:space="0" w:color="auto"/>
        <w:bottom w:val="none" w:sz="0" w:space="0" w:color="auto"/>
        <w:right w:val="none" w:sz="0" w:space="0" w:color="auto"/>
      </w:divBdr>
    </w:div>
    <w:div w:id="1248690021">
      <w:marLeft w:val="0"/>
      <w:marRight w:val="0"/>
      <w:marTop w:val="0"/>
      <w:marBottom w:val="0"/>
      <w:divBdr>
        <w:top w:val="none" w:sz="0" w:space="0" w:color="auto"/>
        <w:left w:val="none" w:sz="0" w:space="0" w:color="auto"/>
        <w:bottom w:val="none" w:sz="0" w:space="0" w:color="auto"/>
        <w:right w:val="none" w:sz="0" w:space="0" w:color="auto"/>
      </w:divBdr>
    </w:div>
    <w:div w:id="1280377265">
      <w:marLeft w:val="0"/>
      <w:marRight w:val="0"/>
      <w:marTop w:val="0"/>
      <w:marBottom w:val="0"/>
      <w:divBdr>
        <w:top w:val="none" w:sz="0" w:space="0" w:color="auto"/>
        <w:left w:val="none" w:sz="0" w:space="0" w:color="auto"/>
        <w:bottom w:val="none" w:sz="0" w:space="0" w:color="auto"/>
        <w:right w:val="none" w:sz="0" w:space="0" w:color="auto"/>
      </w:divBdr>
      <w:divsChild>
        <w:div w:id="1823695289">
          <w:marLeft w:val="0"/>
          <w:marRight w:val="0"/>
          <w:marTop w:val="0"/>
          <w:marBottom w:val="0"/>
          <w:divBdr>
            <w:top w:val="none" w:sz="0" w:space="0" w:color="auto"/>
            <w:left w:val="none" w:sz="0" w:space="0" w:color="auto"/>
            <w:bottom w:val="none" w:sz="0" w:space="0" w:color="auto"/>
            <w:right w:val="none" w:sz="0" w:space="0" w:color="auto"/>
          </w:divBdr>
        </w:div>
        <w:div w:id="1553880846">
          <w:marLeft w:val="0"/>
          <w:marRight w:val="0"/>
          <w:marTop w:val="0"/>
          <w:marBottom w:val="0"/>
          <w:divBdr>
            <w:top w:val="none" w:sz="0" w:space="0" w:color="auto"/>
            <w:left w:val="none" w:sz="0" w:space="0" w:color="auto"/>
            <w:bottom w:val="none" w:sz="0" w:space="0" w:color="auto"/>
            <w:right w:val="none" w:sz="0" w:space="0" w:color="auto"/>
          </w:divBdr>
        </w:div>
      </w:divsChild>
    </w:div>
    <w:div w:id="1392582937">
      <w:marLeft w:val="0"/>
      <w:marRight w:val="0"/>
      <w:marTop w:val="0"/>
      <w:marBottom w:val="0"/>
      <w:divBdr>
        <w:top w:val="none" w:sz="0" w:space="0" w:color="auto"/>
        <w:left w:val="none" w:sz="0" w:space="0" w:color="auto"/>
        <w:bottom w:val="none" w:sz="0" w:space="0" w:color="auto"/>
        <w:right w:val="none" w:sz="0" w:space="0" w:color="auto"/>
      </w:divBdr>
      <w:divsChild>
        <w:div w:id="574358807">
          <w:marLeft w:val="0"/>
          <w:marRight w:val="0"/>
          <w:marTop w:val="0"/>
          <w:marBottom w:val="0"/>
          <w:divBdr>
            <w:top w:val="none" w:sz="0" w:space="0" w:color="auto"/>
            <w:left w:val="none" w:sz="0" w:space="0" w:color="auto"/>
            <w:bottom w:val="none" w:sz="0" w:space="0" w:color="auto"/>
            <w:right w:val="none" w:sz="0" w:space="0" w:color="auto"/>
          </w:divBdr>
        </w:div>
      </w:divsChild>
    </w:div>
    <w:div w:id="1434126772">
      <w:marLeft w:val="0"/>
      <w:marRight w:val="0"/>
      <w:marTop w:val="0"/>
      <w:marBottom w:val="0"/>
      <w:divBdr>
        <w:top w:val="none" w:sz="0" w:space="0" w:color="auto"/>
        <w:left w:val="none" w:sz="0" w:space="0" w:color="auto"/>
        <w:bottom w:val="none" w:sz="0" w:space="0" w:color="auto"/>
        <w:right w:val="none" w:sz="0" w:space="0" w:color="auto"/>
      </w:divBdr>
      <w:divsChild>
        <w:div w:id="503394436">
          <w:marLeft w:val="0"/>
          <w:marRight w:val="0"/>
          <w:marTop w:val="0"/>
          <w:marBottom w:val="0"/>
          <w:divBdr>
            <w:top w:val="none" w:sz="0" w:space="0" w:color="auto"/>
            <w:left w:val="none" w:sz="0" w:space="0" w:color="auto"/>
            <w:bottom w:val="none" w:sz="0" w:space="0" w:color="auto"/>
            <w:right w:val="none" w:sz="0" w:space="0" w:color="auto"/>
          </w:divBdr>
        </w:div>
      </w:divsChild>
    </w:div>
    <w:div w:id="1487287118">
      <w:marLeft w:val="0"/>
      <w:marRight w:val="0"/>
      <w:marTop w:val="0"/>
      <w:marBottom w:val="0"/>
      <w:divBdr>
        <w:top w:val="none" w:sz="0" w:space="0" w:color="auto"/>
        <w:left w:val="none" w:sz="0" w:space="0" w:color="auto"/>
        <w:bottom w:val="none" w:sz="0" w:space="0" w:color="auto"/>
        <w:right w:val="none" w:sz="0" w:space="0" w:color="auto"/>
      </w:divBdr>
    </w:div>
    <w:div w:id="1581401193">
      <w:marLeft w:val="0"/>
      <w:marRight w:val="0"/>
      <w:marTop w:val="0"/>
      <w:marBottom w:val="0"/>
      <w:divBdr>
        <w:top w:val="none" w:sz="0" w:space="0" w:color="auto"/>
        <w:left w:val="none" w:sz="0" w:space="0" w:color="auto"/>
        <w:bottom w:val="none" w:sz="0" w:space="0" w:color="auto"/>
        <w:right w:val="none" w:sz="0" w:space="0" w:color="auto"/>
      </w:divBdr>
      <w:divsChild>
        <w:div w:id="2072194510">
          <w:marLeft w:val="0"/>
          <w:marRight w:val="0"/>
          <w:marTop w:val="0"/>
          <w:marBottom w:val="0"/>
          <w:divBdr>
            <w:top w:val="none" w:sz="0" w:space="0" w:color="auto"/>
            <w:left w:val="none" w:sz="0" w:space="0" w:color="auto"/>
            <w:bottom w:val="none" w:sz="0" w:space="0" w:color="auto"/>
            <w:right w:val="none" w:sz="0" w:space="0" w:color="auto"/>
          </w:divBdr>
        </w:div>
      </w:divsChild>
    </w:div>
    <w:div w:id="1650938725">
      <w:marLeft w:val="0"/>
      <w:marRight w:val="0"/>
      <w:marTop w:val="0"/>
      <w:marBottom w:val="0"/>
      <w:divBdr>
        <w:top w:val="none" w:sz="0" w:space="0" w:color="auto"/>
        <w:left w:val="none" w:sz="0" w:space="0" w:color="auto"/>
        <w:bottom w:val="none" w:sz="0" w:space="0" w:color="auto"/>
        <w:right w:val="none" w:sz="0" w:space="0" w:color="auto"/>
      </w:divBdr>
    </w:div>
    <w:div w:id="2035423187">
      <w:marLeft w:val="0"/>
      <w:marRight w:val="0"/>
      <w:marTop w:val="0"/>
      <w:marBottom w:val="0"/>
      <w:divBdr>
        <w:top w:val="none" w:sz="0" w:space="0" w:color="auto"/>
        <w:left w:val="none" w:sz="0" w:space="0" w:color="auto"/>
        <w:bottom w:val="none" w:sz="0" w:space="0" w:color="auto"/>
        <w:right w:val="none" w:sz="0" w:space="0" w:color="auto"/>
      </w:divBdr>
    </w:div>
    <w:div w:id="2061589016">
      <w:marLeft w:val="0"/>
      <w:marRight w:val="0"/>
      <w:marTop w:val="0"/>
      <w:marBottom w:val="0"/>
      <w:divBdr>
        <w:top w:val="none" w:sz="0" w:space="0" w:color="auto"/>
        <w:left w:val="none" w:sz="0" w:space="0" w:color="auto"/>
        <w:bottom w:val="none" w:sz="0" w:space="0" w:color="auto"/>
        <w:right w:val="none" w:sz="0" w:space="0" w:color="auto"/>
      </w:divBdr>
      <w:divsChild>
        <w:div w:id="861866545">
          <w:marLeft w:val="0"/>
          <w:marRight w:val="0"/>
          <w:marTop w:val="0"/>
          <w:marBottom w:val="0"/>
          <w:divBdr>
            <w:top w:val="none" w:sz="0" w:space="0" w:color="auto"/>
            <w:left w:val="none" w:sz="0" w:space="0" w:color="auto"/>
            <w:bottom w:val="none" w:sz="0" w:space="0" w:color="auto"/>
            <w:right w:val="none" w:sz="0" w:space="0" w:color="auto"/>
          </w:divBdr>
        </w:div>
      </w:divsChild>
    </w:div>
    <w:div w:id="20756150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1380</Words>
  <Characters>7867</Characters>
  <Application>Microsoft Office Word</Application>
  <DocSecurity>4</DocSecurity>
  <Lines>65</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