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上投摩根锦程均衡养老目标三年持有期混合型基金中基金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2021</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2021</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基金管理人：上投摩根基金管理有限公司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A683B" w:rsidRDefault="00450B2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A683B" w:rsidRDefault="00450B2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2021</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A683B" w:rsidRDefault="00450B2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A683B" w:rsidRDefault="00450B2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A683B" w:rsidRDefault="00450B2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2021</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上投摩根锦程均衡养老三年持有混合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007221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007221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215,093,760.73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2A683B" w:rsidRDefault="00450B22">
            <w:pPr>
              <w:adjustRightInd w:val="0"/>
              <w:spacing w:before="29" w:line="288" w:lineRule="auto"/>
              <w:ind w:left="17"/>
              <w:jc w:val="left"/>
              <w:rPr>
                <w:color w:val="000000"/>
                <w:sz w:val="24"/>
                <w:szCs w:val="24"/>
              </w:rPr>
            </w:pPr>
            <w:r>
              <w:rPr>
                <w:color w:val="000000"/>
                <w:kern w:val="0"/>
                <w:sz w:val="24"/>
                <w:szCs w:val="24"/>
              </w:rPr>
              <w:t>1</w:t>
            </w:r>
            <w:r>
              <w:rPr>
                <w:color w:val="000000"/>
                <w:kern w:val="0"/>
                <w:sz w:val="24"/>
                <w:szCs w:val="24"/>
              </w:rPr>
              <w:t>、目标风险投资策略：</w:t>
            </w:r>
          </w:p>
          <w:p w:rsidR="002A683B" w:rsidRDefault="00450B22">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1</w:t>
            </w:r>
            <w:r>
              <w:rPr>
                <w:color w:val="000000"/>
                <w:kern w:val="0"/>
                <w:sz w:val="24"/>
                <w:szCs w:val="24"/>
              </w:rPr>
              <w:t>）大类资产配置策略：本基金的目标风险指通过将基金所投资的高风险类资产和其他资产长期保持在相对恒定的比例，以达到目标的风险水平。</w:t>
            </w:r>
          </w:p>
          <w:p w:rsidR="002A683B" w:rsidRDefault="00450B22">
            <w:pPr>
              <w:adjustRightInd w:val="0"/>
              <w:spacing w:before="29" w:line="288" w:lineRule="auto"/>
              <w:ind w:left="17"/>
              <w:jc w:val="left"/>
              <w:rPr>
                <w:color w:val="000000"/>
                <w:sz w:val="24"/>
                <w:szCs w:val="24"/>
              </w:rPr>
            </w:pPr>
            <w:r>
              <w:rPr>
                <w:color w:val="000000"/>
                <w:kern w:val="0"/>
                <w:sz w:val="24"/>
                <w:szCs w:val="24"/>
              </w:rPr>
              <w:t>管理人根据对各类资产的中长期预期假设和策略观点以及目标客户的风险收益偏好进行自上而下的资产配置，设定本基金在高风险类资产和其他资产之间的基准配置比例为</w:t>
            </w:r>
            <w:r>
              <w:rPr>
                <w:color w:val="000000"/>
                <w:kern w:val="0"/>
                <w:sz w:val="24"/>
                <w:szCs w:val="24"/>
              </w:rPr>
              <w:t>50%:50%</w:t>
            </w:r>
            <w:r>
              <w:rPr>
                <w:color w:val="000000"/>
                <w:kern w:val="0"/>
                <w:sz w:val="24"/>
                <w:szCs w:val="24"/>
              </w:rPr>
              <w:t>；高风险类资产指股票型基金、</w:t>
            </w:r>
            <w:r>
              <w:rPr>
                <w:color w:val="000000"/>
                <w:kern w:val="0"/>
                <w:sz w:val="24"/>
                <w:szCs w:val="24"/>
              </w:rPr>
              <w:lastRenderedPageBreak/>
              <w:t>应计入高风险类资产的混合型基金、商品基金（含商品期货基金和黄金</w:t>
            </w:r>
            <w:r>
              <w:rPr>
                <w:color w:val="000000"/>
                <w:kern w:val="0"/>
                <w:sz w:val="24"/>
                <w:szCs w:val="24"/>
              </w:rPr>
              <w:t>ETF</w:t>
            </w:r>
            <w:r>
              <w:rPr>
                <w:color w:val="000000"/>
                <w:kern w:val="0"/>
                <w:sz w:val="24"/>
                <w:szCs w:val="24"/>
              </w:rPr>
              <w:t>）等品种（均包含</w:t>
            </w:r>
            <w:r>
              <w:rPr>
                <w:color w:val="000000"/>
                <w:kern w:val="0"/>
                <w:sz w:val="24"/>
                <w:szCs w:val="24"/>
              </w:rPr>
              <w:t>QDII</w:t>
            </w:r>
            <w:r>
              <w:rPr>
                <w:color w:val="000000"/>
                <w:kern w:val="0"/>
                <w:sz w:val="24"/>
                <w:szCs w:val="24"/>
              </w:rPr>
              <w:t>）及股票；其他资产指债券型基金、货币市场基金和不计入高风险类资产的混合型基金（均包含</w:t>
            </w:r>
            <w:r>
              <w:rPr>
                <w:color w:val="000000"/>
                <w:kern w:val="0"/>
                <w:sz w:val="24"/>
                <w:szCs w:val="24"/>
              </w:rPr>
              <w:t>QDII</w:t>
            </w:r>
            <w:r>
              <w:rPr>
                <w:color w:val="000000"/>
                <w:kern w:val="0"/>
                <w:sz w:val="24"/>
                <w:szCs w:val="24"/>
              </w:rPr>
              <w:t>）、债券、资产支持证券、债券回购、银行存款及同业存单等；本基金高风险类资产的向上、向下调整幅度分别不超过</w:t>
            </w:r>
            <w:r>
              <w:rPr>
                <w:color w:val="000000"/>
                <w:kern w:val="0"/>
                <w:sz w:val="24"/>
                <w:szCs w:val="24"/>
              </w:rPr>
              <w:t>5%</w:t>
            </w:r>
            <w:r>
              <w:rPr>
                <w:color w:val="000000"/>
                <w:kern w:val="0"/>
                <w:sz w:val="24"/>
                <w:szCs w:val="24"/>
              </w:rPr>
              <w:t>、</w:t>
            </w:r>
            <w:r>
              <w:rPr>
                <w:color w:val="000000"/>
                <w:kern w:val="0"/>
                <w:sz w:val="24"/>
                <w:szCs w:val="24"/>
              </w:rPr>
              <w:t>10%</w:t>
            </w:r>
            <w:r>
              <w:rPr>
                <w:color w:val="000000"/>
                <w:kern w:val="0"/>
                <w:sz w:val="24"/>
                <w:szCs w:val="24"/>
              </w:rPr>
              <w:t>。</w:t>
            </w:r>
          </w:p>
          <w:p w:rsidR="002A683B" w:rsidRDefault="00450B22">
            <w:pPr>
              <w:adjustRightInd w:val="0"/>
              <w:spacing w:before="29" w:line="288" w:lineRule="auto"/>
              <w:ind w:left="17"/>
              <w:jc w:val="left"/>
              <w:rPr>
                <w:color w:val="000000"/>
                <w:sz w:val="24"/>
                <w:szCs w:val="24"/>
              </w:rPr>
            </w:pPr>
            <w:r>
              <w:rPr>
                <w:color w:val="000000"/>
                <w:kern w:val="0"/>
                <w:sz w:val="24"/>
                <w:szCs w:val="24"/>
              </w:rPr>
              <w:t>（</w:t>
            </w:r>
            <w:r>
              <w:rPr>
                <w:color w:val="000000"/>
                <w:kern w:val="0"/>
                <w:sz w:val="24"/>
                <w:szCs w:val="24"/>
              </w:rPr>
              <w:t>2</w:t>
            </w:r>
            <w:r>
              <w:rPr>
                <w:color w:val="000000"/>
                <w:kern w:val="0"/>
                <w:sz w:val="24"/>
                <w:szCs w:val="24"/>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2A683B" w:rsidRDefault="00450B22">
            <w:pPr>
              <w:adjustRightInd w:val="0"/>
              <w:spacing w:before="29" w:line="288" w:lineRule="auto"/>
              <w:ind w:left="17"/>
              <w:jc w:val="left"/>
              <w:rPr>
                <w:color w:val="000000"/>
                <w:sz w:val="24"/>
                <w:szCs w:val="24"/>
              </w:rPr>
            </w:pPr>
            <w:r>
              <w:rPr>
                <w:color w:val="000000"/>
                <w:kern w:val="0"/>
                <w:sz w:val="24"/>
                <w:szCs w:val="24"/>
              </w:rPr>
              <w:t>2</w:t>
            </w:r>
            <w:r>
              <w:rPr>
                <w:color w:val="000000"/>
                <w:kern w:val="0"/>
                <w:sz w:val="24"/>
                <w:szCs w:val="24"/>
              </w:rPr>
              <w:t>、主动管理型基金投资策略：通过自下而上的方式优选基金，研究过程中综合运用定量分析和定性分析，优选符合要求且能在中长期创造超额收益的基金。</w:t>
            </w:r>
          </w:p>
          <w:p w:rsidR="002A683B" w:rsidRDefault="00450B22">
            <w:pPr>
              <w:adjustRightInd w:val="0"/>
              <w:spacing w:before="29" w:line="288" w:lineRule="auto"/>
              <w:ind w:left="17"/>
              <w:jc w:val="left"/>
              <w:rPr>
                <w:color w:val="000000"/>
                <w:sz w:val="24"/>
                <w:szCs w:val="24"/>
              </w:rPr>
            </w:pPr>
            <w:r>
              <w:rPr>
                <w:color w:val="000000"/>
                <w:kern w:val="0"/>
                <w:sz w:val="24"/>
                <w:szCs w:val="24"/>
              </w:rPr>
              <w:t>3</w:t>
            </w:r>
            <w:r>
              <w:rPr>
                <w:color w:val="000000"/>
                <w:kern w:val="0"/>
                <w:sz w:val="24"/>
                <w:szCs w:val="24"/>
              </w:rPr>
              <w:t>、指数基金投资策略：优选中长期景气向好的指数基金进行配置，增厚组合收益，并把握阶段性投资机会，获取超额收益。</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w:t>
            </w:r>
            <w:r w:rsidRPr="00414345">
              <w:rPr>
                <w:color w:val="000000"/>
                <w:kern w:val="0"/>
                <w:sz w:val="24"/>
                <w:szCs w:val="24"/>
              </w:rPr>
              <w:t>、其他投资策略：包括股票投资策略、债券投资策略、中小企业私募债投资策略、证券公司短期公司债投资策略、资产支持证券投资策略、存托凭证投资策略。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中证综合债指数收益率</w:t>
            </w:r>
            <w:r w:rsidRPr="00414345">
              <w:rPr>
                <w:color w:val="000000"/>
                <w:kern w:val="0"/>
                <w:sz w:val="24"/>
                <w:szCs w:val="24"/>
              </w:rPr>
              <w:t>*45%+</w:t>
            </w:r>
            <w:r w:rsidRPr="00414345">
              <w:rPr>
                <w:color w:val="000000"/>
                <w:kern w:val="0"/>
                <w:sz w:val="24"/>
                <w:szCs w:val="24"/>
              </w:rPr>
              <w:t>活期存款利率（税后）</w:t>
            </w:r>
            <w:r w:rsidRPr="00414345">
              <w:rPr>
                <w:color w:val="000000"/>
                <w:kern w:val="0"/>
                <w:sz w:val="24"/>
                <w:szCs w:val="24"/>
              </w:rPr>
              <w:t>*5%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2A683B" w:rsidRDefault="00450B22">
            <w:pPr>
              <w:adjustRightInd w:val="0"/>
              <w:spacing w:before="29" w:line="288" w:lineRule="auto"/>
              <w:ind w:left="17"/>
              <w:jc w:val="left"/>
              <w:rPr>
                <w:color w:val="000000"/>
                <w:sz w:val="24"/>
                <w:szCs w:val="24"/>
              </w:rPr>
            </w:pPr>
            <w:r>
              <w:rPr>
                <w:color w:val="000000"/>
                <w:kern w:val="0"/>
                <w:sz w:val="24"/>
                <w:szCs w:val="24"/>
              </w:rPr>
              <w:t>基金管理人将养老目标风险基金根据不同风险程度进行划分。本基金的高风险类资产和其他资产的基准配置比例为</w:t>
            </w:r>
            <w:r>
              <w:rPr>
                <w:color w:val="000000"/>
                <w:kern w:val="0"/>
                <w:sz w:val="24"/>
                <w:szCs w:val="24"/>
              </w:rPr>
              <w:t>50%</w:t>
            </w:r>
            <w:r>
              <w:rPr>
                <w:color w:val="000000"/>
                <w:kern w:val="0"/>
                <w:sz w:val="24"/>
                <w:szCs w:val="24"/>
              </w:rPr>
              <w:t>：</w:t>
            </w:r>
            <w:r>
              <w:rPr>
                <w:color w:val="000000"/>
                <w:kern w:val="0"/>
                <w:sz w:val="24"/>
                <w:szCs w:val="24"/>
              </w:rPr>
              <w:t>50%</w:t>
            </w:r>
            <w:r>
              <w:rPr>
                <w:color w:val="000000"/>
                <w:kern w:val="0"/>
                <w:sz w:val="24"/>
                <w:szCs w:val="24"/>
              </w:rPr>
              <w:t>，属于基金管理人管理的养老目标风险基金中高风险和其他资产配置比例较为平衡的。</w:t>
            </w:r>
          </w:p>
          <w:p w:rsidR="002A683B" w:rsidRDefault="00450B22">
            <w:pPr>
              <w:adjustRightInd w:val="0"/>
              <w:spacing w:before="29" w:line="288" w:lineRule="auto"/>
              <w:ind w:left="17"/>
              <w:jc w:val="left"/>
              <w:rPr>
                <w:color w:val="000000"/>
                <w:sz w:val="24"/>
                <w:szCs w:val="24"/>
              </w:rPr>
            </w:pPr>
            <w:r>
              <w:rPr>
                <w:color w:val="000000"/>
                <w:kern w:val="0"/>
                <w:sz w:val="24"/>
                <w:szCs w:val="24"/>
              </w:rPr>
              <w:t>本基金属于混合型基金中基金，预期风险和收益水平低于股票型基金中基金，高于债券型基金中基金和货币型基金中基金。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w:t>
            </w:r>
            <w:r w:rsidRPr="00414345">
              <w:rPr>
                <w:color w:val="000000"/>
                <w:kern w:val="0"/>
                <w:sz w:val="24"/>
                <w:szCs w:val="24"/>
              </w:rPr>
              <w:t>2017</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w:t>
            </w:r>
            <w:r w:rsidRPr="00414345">
              <w:rPr>
                <w:color w:val="000000"/>
                <w:kern w:val="0"/>
                <w:sz w:val="24"/>
                <w:szCs w:val="24"/>
              </w:rPr>
              <w:lastRenderedPageBreak/>
              <w:t>级结果应以基金管理人和销售机构提供的评级结果为准。</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上投摩根基金管理有限公司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50B22" w:rsidRPr="00414345" w:rsidTr="00450B2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(2021</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-2021</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50B22" w:rsidRPr="00414345" w:rsidTr="00450B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5,644,977.60</w:t>
            </w:r>
          </w:p>
        </w:tc>
      </w:tr>
      <w:tr w:rsidR="00450B22" w:rsidRPr="00414345" w:rsidTr="00450B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12,540,513.81</w:t>
            </w:r>
          </w:p>
        </w:tc>
      </w:tr>
      <w:tr w:rsidR="00450B22" w:rsidRPr="00414345" w:rsidTr="00450B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0.0584</w:t>
            </w:r>
          </w:p>
        </w:tc>
      </w:tr>
      <w:tr w:rsidR="00450B22" w:rsidRPr="00414345" w:rsidTr="00450B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289,261,865.43</w:t>
            </w:r>
          </w:p>
        </w:tc>
      </w:tr>
      <w:tr w:rsidR="00450B22" w:rsidRPr="00414345" w:rsidTr="00450B2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1.3448</w:t>
            </w:r>
          </w:p>
        </w:tc>
      </w:tr>
    </w:tbl>
    <w:p w:rsidR="002A683B" w:rsidRDefault="00450B22">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A683B">
        <w:trPr>
          <w:jc w:val="center"/>
        </w:trPr>
        <w:tc>
          <w:tcPr>
            <w:tcW w:w="1701" w:type="dxa"/>
            <w:vAlign w:val="center"/>
          </w:tcPr>
          <w:p w:rsidR="002A683B" w:rsidRDefault="00450B22">
            <w:pPr>
              <w:jc w:val="left"/>
            </w:pPr>
            <w:r>
              <w:rPr>
                <w:color w:val="000000"/>
                <w:sz w:val="24"/>
                <w:szCs w:val="24"/>
              </w:rPr>
              <w:t>过去三个月</w:t>
            </w:r>
          </w:p>
        </w:tc>
        <w:tc>
          <w:tcPr>
            <w:tcW w:w="1045" w:type="dxa"/>
            <w:vAlign w:val="center"/>
          </w:tcPr>
          <w:p w:rsidR="002A683B" w:rsidRDefault="00450B22">
            <w:pPr>
              <w:jc w:val="center"/>
            </w:pPr>
            <w:r>
              <w:rPr>
                <w:color w:val="000000"/>
                <w:sz w:val="24"/>
                <w:szCs w:val="24"/>
              </w:rPr>
              <w:t>4.54%</w:t>
            </w:r>
          </w:p>
        </w:tc>
        <w:tc>
          <w:tcPr>
            <w:tcW w:w="1344" w:type="dxa"/>
            <w:vAlign w:val="center"/>
          </w:tcPr>
          <w:p w:rsidR="002A683B" w:rsidRDefault="00450B22">
            <w:pPr>
              <w:jc w:val="center"/>
            </w:pPr>
            <w:r>
              <w:rPr>
                <w:color w:val="000000"/>
                <w:sz w:val="24"/>
                <w:szCs w:val="24"/>
              </w:rPr>
              <w:t>0.39%</w:t>
            </w:r>
          </w:p>
        </w:tc>
        <w:tc>
          <w:tcPr>
            <w:tcW w:w="1194" w:type="dxa"/>
            <w:vAlign w:val="center"/>
          </w:tcPr>
          <w:p w:rsidR="002A683B" w:rsidRDefault="00450B22">
            <w:pPr>
              <w:jc w:val="center"/>
            </w:pPr>
            <w:r>
              <w:rPr>
                <w:color w:val="000000"/>
                <w:sz w:val="24"/>
                <w:szCs w:val="24"/>
              </w:rPr>
              <w:t>2.90%</w:t>
            </w:r>
          </w:p>
        </w:tc>
        <w:tc>
          <w:tcPr>
            <w:tcW w:w="1492" w:type="dxa"/>
            <w:vAlign w:val="center"/>
          </w:tcPr>
          <w:p w:rsidR="002A683B" w:rsidRDefault="00450B22">
            <w:pPr>
              <w:jc w:val="center"/>
            </w:pPr>
            <w:r>
              <w:rPr>
                <w:color w:val="000000"/>
                <w:sz w:val="24"/>
                <w:szCs w:val="24"/>
              </w:rPr>
              <w:t>0.44%</w:t>
            </w:r>
          </w:p>
        </w:tc>
        <w:tc>
          <w:tcPr>
            <w:tcW w:w="1194" w:type="dxa"/>
            <w:vAlign w:val="center"/>
          </w:tcPr>
          <w:p w:rsidR="002A683B" w:rsidRDefault="00450B22">
            <w:pPr>
              <w:jc w:val="center"/>
            </w:pPr>
            <w:r>
              <w:rPr>
                <w:color w:val="000000"/>
                <w:sz w:val="24"/>
                <w:szCs w:val="24"/>
              </w:rPr>
              <w:t>1.64%</w:t>
            </w:r>
          </w:p>
        </w:tc>
        <w:tc>
          <w:tcPr>
            <w:tcW w:w="898" w:type="dxa"/>
            <w:vAlign w:val="center"/>
          </w:tcPr>
          <w:p w:rsidR="002A683B" w:rsidRDefault="00450B22">
            <w:pPr>
              <w:jc w:val="center"/>
            </w:pPr>
            <w:r>
              <w:rPr>
                <w:color w:val="000000"/>
                <w:sz w:val="24"/>
                <w:szCs w:val="24"/>
              </w:rPr>
              <w:t>-0.05%</w:t>
            </w:r>
          </w:p>
        </w:tc>
      </w:tr>
      <w:tr w:rsidR="002A683B">
        <w:trPr>
          <w:jc w:val="center"/>
        </w:trPr>
        <w:tc>
          <w:tcPr>
            <w:tcW w:w="1701" w:type="dxa"/>
            <w:vAlign w:val="center"/>
          </w:tcPr>
          <w:p w:rsidR="002A683B" w:rsidRDefault="00450B22">
            <w:pPr>
              <w:jc w:val="left"/>
            </w:pPr>
            <w:r>
              <w:rPr>
                <w:color w:val="000000"/>
                <w:sz w:val="24"/>
                <w:szCs w:val="24"/>
              </w:rPr>
              <w:t>过去六个月</w:t>
            </w:r>
          </w:p>
        </w:tc>
        <w:tc>
          <w:tcPr>
            <w:tcW w:w="1045" w:type="dxa"/>
            <w:vAlign w:val="center"/>
          </w:tcPr>
          <w:p w:rsidR="002A683B" w:rsidRDefault="00450B22">
            <w:pPr>
              <w:jc w:val="center"/>
            </w:pPr>
            <w:r>
              <w:rPr>
                <w:color w:val="000000"/>
                <w:sz w:val="24"/>
                <w:szCs w:val="24"/>
              </w:rPr>
              <w:t>5.13%</w:t>
            </w:r>
          </w:p>
        </w:tc>
        <w:tc>
          <w:tcPr>
            <w:tcW w:w="1344" w:type="dxa"/>
            <w:vAlign w:val="center"/>
          </w:tcPr>
          <w:p w:rsidR="002A683B" w:rsidRDefault="00450B22">
            <w:pPr>
              <w:jc w:val="center"/>
            </w:pPr>
            <w:r>
              <w:rPr>
                <w:color w:val="000000"/>
                <w:sz w:val="24"/>
                <w:szCs w:val="24"/>
              </w:rPr>
              <w:t>0.60%</w:t>
            </w:r>
          </w:p>
        </w:tc>
        <w:tc>
          <w:tcPr>
            <w:tcW w:w="1194" w:type="dxa"/>
            <w:vAlign w:val="center"/>
          </w:tcPr>
          <w:p w:rsidR="002A683B" w:rsidRDefault="00450B22">
            <w:pPr>
              <w:jc w:val="center"/>
            </w:pPr>
            <w:r>
              <w:rPr>
                <w:color w:val="000000"/>
                <w:sz w:val="24"/>
                <w:szCs w:val="24"/>
              </w:rPr>
              <w:t>1.92%</w:t>
            </w:r>
          </w:p>
        </w:tc>
        <w:tc>
          <w:tcPr>
            <w:tcW w:w="1492" w:type="dxa"/>
            <w:vAlign w:val="center"/>
          </w:tcPr>
          <w:p w:rsidR="002A683B" w:rsidRDefault="00450B22">
            <w:pPr>
              <w:jc w:val="center"/>
            </w:pPr>
            <w:r>
              <w:rPr>
                <w:color w:val="000000"/>
                <w:sz w:val="24"/>
                <w:szCs w:val="24"/>
              </w:rPr>
              <w:t>0.61%</w:t>
            </w:r>
          </w:p>
        </w:tc>
        <w:tc>
          <w:tcPr>
            <w:tcW w:w="1194" w:type="dxa"/>
            <w:vAlign w:val="center"/>
          </w:tcPr>
          <w:p w:rsidR="002A683B" w:rsidRDefault="00450B22">
            <w:pPr>
              <w:jc w:val="center"/>
            </w:pPr>
            <w:r>
              <w:rPr>
                <w:color w:val="000000"/>
                <w:sz w:val="24"/>
                <w:szCs w:val="24"/>
              </w:rPr>
              <w:t>3.21%</w:t>
            </w:r>
          </w:p>
        </w:tc>
        <w:tc>
          <w:tcPr>
            <w:tcW w:w="898" w:type="dxa"/>
            <w:vAlign w:val="center"/>
          </w:tcPr>
          <w:p w:rsidR="002A683B" w:rsidRDefault="00450B22">
            <w:pPr>
              <w:jc w:val="center"/>
            </w:pPr>
            <w:r>
              <w:rPr>
                <w:color w:val="000000"/>
                <w:sz w:val="24"/>
                <w:szCs w:val="24"/>
              </w:rPr>
              <w:t>-0.01%</w:t>
            </w:r>
          </w:p>
        </w:tc>
      </w:tr>
      <w:tr w:rsidR="002A683B">
        <w:trPr>
          <w:jc w:val="center"/>
        </w:trPr>
        <w:tc>
          <w:tcPr>
            <w:tcW w:w="1701" w:type="dxa"/>
            <w:vAlign w:val="center"/>
          </w:tcPr>
          <w:p w:rsidR="002A683B" w:rsidRDefault="00450B22">
            <w:pPr>
              <w:jc w:val="left"/>
            </w:pPr>
            <w:r>
              <w:rPr>
                <w:color w:val="000000"/>
                <w:sz w:val="24"/>
                <w:szCs w:val="24"/>
              </w:rPr>
              <w:t>过去一年</w:t>
            </w:r>
          </w:p>
        </w:tc>
        <w:tc>
          <w:tcPr>
            <w:tcW w:w="1045" w:type="dxa"/>
            <w:vAlign w:val="center"/>
          </w:tcPr>
          <w:p w:rsidR="002A683B" w:rsidRDefault="00450B22">
            <w:pPr>
              <w:jc w:val="center"/>
            </w:pPr>
            <w:r>
              <w:rPr>
                <w:color w:val="000000"/>
                <w:sz w:val="24"/>
                <w:szCs w:val="24"/>
              </w:rPr>
              <w:t>18.76%</w:t>
            </w:r>
          </w:p>
        </w:tc>
        <w:tc>
          <w:tcPr>
            <w:tcW w:w="1344" w:type="dxa"/>
            <w:vAlign w:val="center"/>
          </w:tcPr>
          <w:p w:rsidR="002A683B" w:rsidRDefault="00450B22">
            <w:pPr>
              <w:jc w:val="center"/>
            </w:pPr>
            <w:r>
              <w:rPr>
                <w:color w:val="000000"/>
                <w:sz w:val="24"/>
                <w:szCs w:val="24"/>
              </w:rPr>
              <w:t>0.65%</w:t>
            </w:r>
          </w:p>
        </w:tc>
        <w:tc>
          <w:tcPr>
            <w:tcW w:w="1194" w:type="dxa"/>
            <w:vAlign w:val="center"/>
          </w:tcPr>
          <w:p w:rsidR="002A683B" w:rsidRDefault="00450B22">
            <w:pPr>
              <w:jc w:val="center"/>
            </w:pPr>
            <w:r>
              <w:rPr>
                <w:color w:val="000000"/>
                <w:sz w:val="24"/>
                <w:szCs w:val="24"/>
              </w:rPr>
              <w:t>12.75%</w:t>
            </w:r>
          </w:p>
        </w:tc>
        <w:tc>
          <w:tcPr>
            <w:tcW w:w="1492" w:type="dxa"/>
            <w:vAlign w:val="center"/>
          </w:tcPr>
          <w:p w:rsidR="002A683B" w:rsidRDefault="00450B22">
            <w:pPr>
              <w:jc w:val="center"/>
            </w:pPr>
            <w:r>
              <w:rPr>
                <w:color w:val="000000"/>
                <w:sz w:val="24"/>
                <w:szCs w:val="24"/>
              </w:rPr>
              <w:t>0.65%</w:t>
            </w:r>
          </w:p>
        </w:tc>
        <w:tc>
          <w:tcPr>
            <w:tcW w:w="1194" w:type="dxa"/>
            <w:vAlign w:val="center"/>
          </w:tcPr>
          <w:p w:rsidR="002A683B" w:rsidRDefault="00450B22">
            <w:pPr>
              <w:jc w:val="center"/>
            </w:pPr>
            <w:r>
              <w:rPr>
                <w:color w:val="000000"/>
                <w:sz w:val="24"/>
                <w:szCs w:val="24"/>
              </w:rPr>
              <w:t>6.01%</w:t>
            </w:r>
          </w:p>
        </w:tc>
        <w:tc>
          <w:tcPr>
            <w:tcW w:w="898" w:type="dxa"/>
            <w:vAlign w:val="center"/>
          </w:tcPr>
          <w:p w:rsidR="002A683B" w:rsidRDefault="00450B22">
            <w:pPr>
              <w:jc w:val="center"/>
            </w:pPr>
            <w:r>
              <w:rPr>
                <w:color w:val="000000"/>
                <w:sz w:val="24"/>
                <w:szCs w:val="24"/>
              </w:rPr>
              <w:t>0.00%</w:t>
            </w:r>
          </w:p>
        </w:tc>
      </w:tr>
      <w:tr w:rsidR="002A683B">
        <w:trPr>
          <w:jc w:val="center"/>
        </w:trPr>
        <w:tc>
          <w:tcPr>
            <w:tcW w:w="1701" w:type="dxa"/>
            <w:vAlign w:val="center"/>
          </w:tcPr>
          <w:p w:rsidR="002A683B" w:rsidRDefault="00450B22">
            <w:pPr>
              <w:jc w:val="left"/>
            </w:pPr>
            <w:r>
              <w:rPr>
                <w:color w:val="000000"/>
                <w:sz w:val="24"/>
                <w:szCs w:val="24"/>
              </w:rPr>
              <w:t>过去三年</w:t>
            </w:r>
          </w:p>
        </w:tc>
        <w:tc>
          <w:tcPr>
            <w:tcW w:w="1045" w:type="dxa"/>
            <w:vAlign w:val="center"/>
          </w:tcPr>
          <w:p w:rsidR="002A683B" w:rsidRDefault="00450B22">
            <w:pPr>
              <w:jc w:val="center"/>
            </w:pPr>
            <w:r>
              <w:rPr>
                <w:color w:val="000000"/>
                <w:sz w:val="24"/>
                <w:szCs w:val="24"/>
              </w:rPr>
              <w:t>-</w:t>
            </w:r>
          </w:p>
        </w:tc>
        <w:tc>
          <w:tcPr>
            <w:tcW w:w="1344" w:type="dxa"/>
            <w:vAlign w:val="center"/>
          </w:tcPr>
          <w:p w:rsidR="002A683B" w:rsidRDefault="00450B22">
            <w:pPr>
              <w:jc w:val="center"/>
            </w:pPr>
            <w:r>
              <w:rPr>
                <w:color w:val="000000"/>
                <w:sz w:val="24"/>
                <w:szCs w:val="24"/>
              </w:rPr>
              <w:t>-</w:t>
            </w:r>
          </w:p>
        </w:tc>
        <w:tc>
          <w:tcPr>
            <w:tcW w:w="1194" w:type="dxa"/>
            <w:vAlign w:val="center"/>
          </w:tcPr>
          <w:p w:rsidR="002A683B" w:rsidRDefault="00450B22">
            <w:pPr>
              <w:jc w:val="center"/>
            </w:pPr>
            <w:r>
              <w:rPr>
                <w:color w:val="000000"/>
                <w:sz w:val="24"/>
                <w:szCs w:val="24"/>
              </w:rPr>
              <w:t>-</w:t>
            </w:r>
          </w:p>
        </w:tc>
        <w:tc>
          <w:tcPr>
            <w:tcW w:w="1492" w:type="dxa"/>
            <w:vAlign w:val="center"/>
          </w:tcPr>
          <w:p w:rsidR="002A683B" w:rsidRDefault="00450B22">
            <w:pPr>
              <w:jc w:val="center"/>
            </w:pPr>
            <w:r>
              <w:rPr>
                <w:color w:val="000000"/>
                <w:sz w:val="24"/>
                <w:szCs w:val="24"/>
              </w:rPr>
              <w:t>-</w:t>
            </w:r>
          </w:p>
        </w:tc>
        <w:tc>
          <w:tcPr>
            <w:tcW w:w="1194" w:type="dxa"/>
            <w:vAlign w:val="center"/>
          </w:tcPr>
          <w:p w:rsidR="002A683B" w:rsidRDefault="00450B22">
            <w:pPr>
              <w:jc w:val="center"/>
            </w:pPr>
            <w:r>
              <w:rPr>
                <w:color w:val="000000"/>
                <w:sz w:val="24"/>
                <w:szCs w:val="24"/>
              </w:rPr>
              <w:t>-</w:t>
            </w:r>
          </w:p>
        </w:tc>
        <w:tc>
          <w:tcPr>
            <w:tcW w:w="898" w:type="dxa"/>
            <w:vAlign w:val="center"/>
          </w:tcPr>
          <w:p w:rsidR="002A683B" w:rsidRDefault="00450B22">
            <w:pPr>
              <w:jc w:val="center"/>
            </w:pPr>
            <w:r>
              <w:rPr>
                <w:color w:val="000000"/>
                <w:sz w:val="24"/>
                <w:szCs w:val="24"/>
              </w:rPr>
              <w:t>-</w:t>
            </w:r>
          </w:p>
        </w:tc>
      </w:tr>
      <w:tr w:rsidR="002A683B">
        <w:trPr>
          <w:jc w:val="center"/>
        </w:trPr>
        <w:tc>
          <w:tcPr>
            <w:tcW w:w="1701" w:type="dxa"/>
            <w:vAlign w:val="center"/>
          </w:tcPr>
          <w:p w:rsidR="002A683B" w:rsidRDefault="00450B22">
            <w:pPr>
              <w:jc w:val="left"/>
            </w:pPr>
            <w:r>
              <w:rPr>
                <w:color w:val="000000"/>
                <w:sz w:val="24"/>
                <w:szCs w:val="24"/>
              </w:rPr>
              <w:t>过去五年</w:t>
            </w:r>
          </w:p>
        </w:tc>
        <w:tc>
          <w:tcPr>
            <w:tcW w:w="1045" w:type="dxa"/>
            <w:vAlign w:val="center"/>
          </w:tcPr>
          <w:p w:rsidR="002A683B" w:rsidRDefault="00450B22">
            <w:pPr>
              <w:jc w:val="center"/>
            </w:pPr>
            <w:r>
              <w:rPr>
                <w:color w:val="000000"/>
                <w:sz w:val="24"/>
                <w:szCs w:val="24"/>
              </w:rPr>
              <w:t>-</w:t>
            </w:r>
          </w:p>
        </w:tc>
        <w:tc>
          <w:tcPr>
            <w:tcW w:w="1344" w:type="dxa"/>
            <w:vAlign w:val="center"/>
          </w:tcPr>
          <w:p w:rsidR="002A683B" w:rsidRDefault="00450B22">
            <w:pPr>
              <w:jc w:val="center"/>
            </w:pPr>
            <w:r>
              <w:rPr>
                <w:color w:val="000000"/>
                <w:sz w:val="24"/>
                <w:szCs w:val="24"/>
              </w:rPr>
              <w:t>-</w:t>
            </w:r>
          </w:p>
        </w:tc>
        <w:tc>
          <w:tcPr>
            <w:tcW w:w="1194" w:type="dxa"/>
            <w:vAlign w:val="center"/>
          </w:tcPr>
          <w:p w:rsidR="002A683B" w:rsidRDefault="00450B22">
            <w:pPr>
              <w:jc w:val="center"/>
            </w:pPr>
            <w:r>
              <w:rPr>
                <w:color w:val="000000"/>
                <w:sz w:val="24"/>
                <w:szCs w:val="24"/>
              </w:rPr>
              <w:t>-</w:t>
            </w:r>
          </w:p>
        </w:tc>
        <w:tc>
          <w:tcPr>
            <w:tcW w:w="1492" w:type="dxa"/>
            <w:vAlign w:val="center"/>
          </w:tcPr>
          <w:p w:rsidR="002A683B" w:rsidRDefault="00450B22">
            <w:pPr>
              <w:jc w:val="center"/>
            </w:pPr>
            <w:r>
              <w:rPr>
                <w:color w:val="000000"/>
                <w:sz w:val="24"/>
                <w:szCs w:val="24"/>
              </w:rPr>
              <w:t>-</w:t>
            </w:r>
          </w:p>
        </w:tc>
        <w:tc>
          <w:tcPr>
            <w:tcW w:w="1194" w:type="dxa"/>
            <w:vAlign w:val="center"/>
          </w:tcPr>
          <w:p w:rsidR="002A683B" w:rsidRDefault="00450B22">
            <w:pPr>
              <w:jc w:val="center"/>
            </w:pPr>
            <w:r>
              <w:rPr>
                <w:color w:val="000000"/>
                <w:sz w:val="24"/>
                <w:szCs w:val="24"/>
              </w:rPr>
              <w:t>-</w:t>
            </w:r>
          </w:p>
        </w:tc>
        <w:tc>
          <w:tcPr>
            <w:tcW w:w="898" w:type="dxa"/>
            <w:vAlign w:val="center"/>
          </w:tcPr>
          <w:p w:rsidR="002A683B" w:rsidRDefault="00450B22">
            <w:pPr>
              <w:jc w:val="center"/>
            </w:pPr>
            <w:r>
              <w:rPr>
                <w:color w:val="000000"/>
                <w:sz w:val="24"/>
                <w:szCs w:val="24"/>
              </w:rPr>
              <w:t>-</w:t>
            </w:r>
          </w:p>
        </w:tc>
      </w:tr>
      <w:tr w:rsidR="002A683B">
        <w:trPr>
          <w:jc w:val="center"/>
        </w:trPr>
        <w:tc>
          <w:tcPr>
            <w:tcW w:w="1701" w:type="dxa"/>
            <w:vAlign w:val="center"/>
          </w:tcPr>
          <w:p w:rsidR="002A683B" w:rsidRDefault="00450B22">
            <w:pPr>
              <w:jc w:val="left"/>
            </w:pPr>
            <w:r>
              <w:rPr>
                <w:color w:val="000000"/>
                <w:sz w:val="24"/>
                <w:szCs w:val="24"/>
              </w:rPr>
              <w:lastRenderedPageBreak/>
              <w:t>自基金合同生效起至今</w:t>
            </w:r>
          </w:p>
        </w:tc>
        <w:tc>
          <w:tcPr>
            <w:tcW w:w="1045" w:type="dxa"/>
            <w:vAlign w:val="center"/>
          </w:tcPr>
          <w:p w:rsidR="002A683B" w:rsidRDefault="00450B22">
            <w:pPr>
              <w:jc w:val="center"/>
            </w:pPr>
            <w:r>
              <w:rPr>
                <w:color w:val="000000"/>
                <w:sz w:val="24"/>
                <w:szCs w:val="24"/>
              </w:rPr>
              <w:t>34.48%</w:t>
            </w:r>
          </w:p>
        </w:tc>
        <w:tc>
          <w:tcPr>
            <w:tcW w:w="1344" w:type="dxa"/>
            <w:vAlign w:val="center"/>
          </w:tcPr>
          <w:p w:rsidR="002A683B" w:rsidRDefault="00450B22">
            <w:pPr>
              <w:jc w:val="center"/>
            </w:pPr>
            <w:r>
              <w:rPr>
                <w:color w:val="000000"/>
                <w:sz w:val="24"/>
                <w:szCs w:val="24"/>
              </w:rPr>
              <w:t>0.67%</w:t>
            </w:r>
          </w:p>
        </w:tc>
        <w:tc>
          <w:tcPr>
            <w:tcW w:w="1194" w:type="dxa"/>
            <w:vAlign w:val="center"/>
          </w:tcPr>
          <w:p w:rsidR="002A683B" w:rsidRDefault="00450B22">
            <w:pPr>
              <w:jc w:val="center"/>
            </w:pPr>
            <w:r>
              <w:rPr>
                <w:color w:val="000000"/>
                <w:sz w:val="24"/>
                <w:szCs w:val="24"/>
              </w:rPr>
              <w:t>21.65%</w:t>
            </w:r>
          </w:p>
        </w:tc>
        <w:tc>
          <w:tcPr>
            <w:tcW w:w="1492" w:type="dxa"/>
            <w:vAlign w:val="center"/>
          </w:tcPr>
          <w:p w:rsidR="002A683B" w:rsidRDefault="00450B22">
            <w:pPr>
              <w:jc w:val="center"/>
            </w:pPr>
            <w:r>
              <w:rPr>
                <w:color w:val="000000"/>
                <w:sz w:val="24"/>
                <w:szCs w:val="24"/>
              </w:rPr>
              <w:t>0.64%</w:t>
            </w:r>
          </w:p>
        </w:tc>
        <w:tc>
          <w:tcPr>
            <w:tcW w:w="1194" w:type="dxa"/>
            <w:vAlign w:val="center"/>
          </w:tcPr>
          <w:p w:rsidR="002A683B" w:rsidRDefault="00450B22">
            <w:pPr>
              <w:jc w:val="center"/>
            </w:pPr>
            <w:r>
              <w:rPr>
                <w:color w:val="000000"/>
                <w:sz w:val="24"/>
                <w:szCs w:val="24"/>
              </w:rPr>
              <w:t>12.83%</w:t>
            </w:r>
          </w:p>
        </w:tc>
        <w:tc>
          <w:tcPr>
            <w:tcW w:w="898" w:type="dxa"/>
            <w:vAlign w:val="center"/>
          </w:tcPr>
          <w:p w:rsidR="002A683B" w:rsidRDefault="00450B22">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上投摩根锦程均衡养老目标三年持有期混合型基金中基金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2021</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2A683B" w:rsidRDefault="00450B22">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2019</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日，图示的时间段为合同生效日至本报告期末。</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本基金建仓期为本基金合同生效日起</w:t>
      </w:r>
      <w:r w:rsidRPr="00414345">
        <w:rPr>
          <w:color w:val="000000"/>
          <w:sz w:val="24"/>
          <w:szCs w:val="24"/>
        </w:rPr>
        <w:t>6</w:t>
      </w:r>
      <w:r w:rsidRPr="00414345">
        <w:rPr>
          <w:color w:val="000000"/>
          <w:sz w:val="24"/>
          <w:szCs w:val="24"/>
        </w:rPr>
        <w:t>个月，建仓期结束时资产配置比例符合本基金基金合同规定。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A683B">
        <w:trPr>
          <w:jc w:val="center"/>
        </w:trPr>
        <w:tc>
          <w:tcPr>
            <w:tcW w:w="846" w:type="dxa"/>
            <w:vAlign w:val="center"/>
          </w:tcPr>
          <w:p w:rsidR="002A683B" w:rsidRDefault="00450B22">
            <w:pPr>
              <w:jc w:val="center"/>
            </w:pPr>
            <w:r>
              <w:rPr>
                <w:color w:val="000000"/>
                <w:sz w:val="24"/>
                <w:szCs w:val="24"/>
              </w:rPr>
              <w:t>杜习杰</w:t>
            </w:r>
          </w:p>
        </w:tc>
        <w:tc>
          <w:tcPr>
            <w:tcW w:w="845" w:type="dxa"/>
            <w:vAlign w:val="center"/>
          </w:tcPr>
          <w:p w:rsidR="002A683B" w:rsidRDefault="00450B22">
            <w:pPr>
              <w:jc w:val="center"/>
            </w:pPr>
            <w:r>
              <w:rPr>
                <w:color w:val="000000"/>
                <w:sz w:val="24"/>
                <w:szCs w:val="24"/>
              </w:rPr>
              <w:t>本基金基</w:t>
            </w:r>
            <w:r>
              <w:rPr>
                <w:color w:val="000000"/>
                <w:sz w:val="24"/>
                <w:szCs w:val="24"/>
              </w:rPr>
              <w:lastRenderedPageBreak/>
              <w:t>金经理</w:t>
            </w:r>
          </w:p>
        </w:tc>
        <w:tc>
          <w:tcPr>
            <w:tcW w:w="1549" w:type="dxa"/>
            <w:vAlign w:val="center"/>
          </w:tcPr>
          <w:p w:rsidR="002A683B" w:rsidRDefault="00450B22">
            <w:pPr>
              <w:jc w:val="center"/>
            </w:pPr>
            <w:r>
              <w:rPr>
                <w:color w:val="000000"/>
                <w:sz w:val="24"/>
                <w:szCs w:val="24"/>
              </w:rPr>
              <w:lastRenderedPageBreak/>
              <w:t>2019-09-02</w:t>
            </w:r>
          </w:p>
        </w:tc>
        <w:tc>
          <w:tcPr>
            <w:tcW w:w="1548" w:type="dxa"/>
            <w:vAlign w:val="center"/>
          </w:tcPr>
          <w:p w:rsidR="002A683B" w:rsidRDefault="00450B22">
            <w:pPr>
              <w:jc w:val="center"/>
            </w:pPr>
            <w:r>
              <w:rPr>
                <w:color w:val="000000"/>
                <w:sz w:val="24"/>
                <w:szCs w:val="24"/>
              </w:rPr>
              <w:t>-</w:t>
            </w:r>
          </w:p>
        </w:tc>
        <w:tc>
          <w:tcPr>
            <w:tcW w:w="1407" w:type="dxa"/>
            <w:vAlign w:val="center"/>
          </w:tcPr>
          <w:p w:rsidR="002A683B" w:rsidRDefault="00450B22">
            <w:pPr>
              <w:jc w:val="center"/>
            </w:pPr>
            <w:r>
              <w:rPr>
                <w:color w:val="000000"/>
                <w:sz w:val="24"/>
                <w:szCs w:val="24"/>
              </w:rPr>
              <w:t>13</w:t>
            </w:r>
            <w:r>
              <w:rPr>
                <w:color w:val="000000"/>
                <w:sz w:val="24"/>
                <w:szCs w:val="24"/>
              </w:rPr>
              <w:t>年</w:t>
            </w:r>
          </w:p>
        </w:tc>
        <w:tc>
          <w:tcPr>
            <w:tcW w:w="2673" w:type="dxa"/>
            <w:vAlign w:val="center"/>
          </w:tcPr>
          <w:p w:rsidR="002A683B" w:rsidRDefault="00450B22">
            <w:r>
              <w:rPr>
                <w:color w:val="000000"/>
                <w:sz w:val="24"/>
                <w:szCs w:val="24"/>
              </w:rPr>
              <w:t>杜习杰先生，上海财经大学金融学硕士。自</w:t>
            </w:r>
            <w:r>
              <w:rPr>
                <w:color w:val="000000"/>
                <w:sz w:val="24"/>
                <w:szCs w:val="24"/>
              </w:rPr>
              <w:lastRenderedPageBreak/>
              <w:t>2008</w:t>
            </w:r>
            <w:r>
              <w:rPr>
                <w:color w:val="000000"/>
                <w:sz w:val="24"/>
                <w:szCs w:val="24"/>
              </w:rPr>
              <w:t>年</w:t>
            </w:r>
            <w:r>
              <w:rPr>
                <w:color w:val="000000"/>
                <w:sz w:val="24"/>
                <w:szCs w:val="24"/>
              </w:rPr>
              <w:t>7</w:t>
            </w:r>
            <w:r>
              <w:rPr>
                <w:color w:val="000000"/>
                <w:sz w:val="24"/>
                <w:szCs w:val="24"/>
              </w:rPr>
              <w:t>月至</w:t>
            </w:r>
            <w:r>
              <w:rPr>
                <w:color w:val="000000"/>
                <w:sz w:val="24"/>
                <w:szCs w:val="24"/>
              </w:rPr>
              <w:t>2011</w:t>
            </w:r>
            <w:r>
              <w:rPr>
                <w:color w:val="000000"/>
                <w:sz w:val="24"/>
                <w:szCs w:val="24"/>
              </w:rPr>
              <w:t>年</w:t>
            </w:r>
            <w:r>
              <w:rPr>
                <w:color w:val="000000"/>
                <w:sz w:val="24"/>
                <w:szCs w:val="24"/>
              </w:rPr>
              <w:t>5</w:t>
            </w:r>
            <w:r>
              <w:rPr>
                <w:color w:val="000000"/>
                <w:sz w:val="24"/>
                <w:szCs w:val="24"/>
              </w:rPr>
              <w:t>月在长信基金任研究员；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月起加入上投摩根基金管理有限公司，历任研究员、投资经理兼研究员，现任组合基金投资部基金经理。自</w:t>
            </w:r>
            <w:r>
              <w:rPr>
                <w:color w:val="000000"/>
                <w:sz w:val="24"/>
                <w:szCs w:val="24"/>
              </w:rPr>
              <w:t>2019</w:t>
            </w:r>
            <w:r>
              <w:rPr>
                <w:color w:val="000000"/>
                <w:sz w:val="24"/>
                <w:szCs w:val="24"/>
              </w:rPr>
              <w:t>年</w:t>
            </w:r>
            <w:r>
              <w:rPr>
                <w:color w:val="000000"/>
                <w:sz w:val="24"/>
                <w:szCs w:val="24"/>
              </w:rPr>
              <w:t>9</w:t>
            </w:r>
            <w:r>
              <w:rPr>
                <w:color w:val="000000"/>
                <w:sz w:val="24"/>
                <w:szCs w:val="24"/>
              </w:rPr>
              <w:t>月起担任上投摩根锦程均衡养老目标三年持有期混合型基金中基金（</w:t>
            </w:r>
            <w:r>
              <w:rPr>
                <w:color w:val="000000"/>
                <w:sz w:val="24"/>
                <w:szCs w:val="24"/>
              </w:rPr>
              <w:t>FOF</w:t>
            </w:r>
            <w:r>
              <w:rPr>
                <w:color w:val="000000"/>
                <w:sz w:val="24"/>
                <w:szCs w:val="24"/>
              </w:rPr>
              <w:t>）基金经理，自</w:t>
            </w:r>
            <w:r>
              <w:rPr>
                <w:color w:val="000000"/>
                <w:sz w:val="24"/>
                <w:szCs w:val="24"/>
              </w:rPr>
              <w:t>2020</w:t>
            </w:r>
            <w:r>
              <w:rPr>
                <w:color w:val="000000"/>
                <w:sz w:val="24"/>
                <w:szCs w:val="24"/>
              </w:rPr>
              <w:t>年</w:t>
            </w:r>
            <w:r>
              <w:rPr>
                <w:color w:val="000000"/>
                <w:sz w:val="24"/>
                <w:szCs w:val="24"/>
              </w:rPr>
              <w:t>4</w:t>
            </w:r>
            <w:r>
              <w:rPr>
                <w:color w:val="000000"/>
                <w:sz w:val="24"/>
                <w:szCs w:val="24"/>
              </w:rPr>
              <w:t>月起同时担任上投摩根锦程稳健养老目标一年持有期混合型基金中基金</w:t>
            </w:r>
            <w:r>
              <w:rPr>
                <w:color w:val="000000"/>
                <w:sz w:val="24"/>
                <w:szCs w:val="24"/>
              </w:rPr>
              <w:t>(FOF)</w:t>
            </w:r>
            <w:r>
              <w:rPr>
                <w:color w:val="000000"/>
                <w:sz w:val="24"/>
                <w:szCs w:val="24"/>
              </w:rPr>
              <w:t>基金经理及上投摩根锦程积极成长养老目标五年持有期混合型发起式基金中基金</w:t>
            </w:r>
            <w:r>
              <w:rPr>
                <w:color w:val="000000"/>
                <w:sz w:val="24"/>
                <w:szCs w:val="24"/>
              </w:rPr>
              <w:t xml:space="preserve">(FOF) </w:t>
            </w:r>
            <w:r>
              <w:rPr>
                <w:color w:val="000000"/>
                <w:sz w:val="24"/>
                <w:szCs w:val="24"/>
              </w:rPr>
              <w:t>基金经理，自</w:t>
            </w:r>
            <w:r>
              <w:rPr>
                <w:color w:val="000000"/>
                <w:sz w:val="24"/>
                <w:szCs w:val="24"/>
              </w:rPr>
              <w:t>2020</w:t>
            </w:r>
            <w:r>
              <w:rPr>
                <w:color w:val="000000"/>
                <w:sz w:val="24"/>
                <w:szCs w:val="24"/>
              </w:rPr>
              <w:t>年</w:t>
            </w:r>
            <w:r>
              <w:rPr>
                <w:color w:val="000000"/>
                <w:sz w:val="24"/>
                <w:szCs w:val="24"/>
              </w:rPr>
              <w:t>12</w:t>
            </w:r>
            <w:r>
              <w:rPr>
                <w:color w:val="000000"/>
                <w:sz w:val="24"/>
                <w:szCs w:val="24"/>
              </w:rPr>
              <w:t>月起同时担任上投摩根尚睿混合型基金中基金</w:t>
            </w:r>
            <w:r>
              <w:rPr>
                <w:color w:val="000000"/>
                <w:sz w:val="24"/>
                <w:szCs w:val="24"/>
              </w:rPr>
              <w:t>(FOF)</w:t>
            </w:r>
            <w:r>
              <w:rPr>
                <w:color w:val="000000"/>
                <w:sz w:val="24"/>
                <w:szCs w:val="24"/>
              </w:rPr>
              <w:t>基金经理。</w:t>
            </w:r>
          </w:p>
        </w:tc>
      </w:tr>
    </w:tbl>
    <w:p w:rsidR="002A683B" w:rsidRDefault="00450B22">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1.</w:t>
      </w:r>
      <w:r>
        <w:rPr>
          <w:color w:val="000000"/>
          <w:sz w:val="24"/>
          <w:szCs w:val="24"/>
        </w:rPr>
        <w:t>任职日期和离任日期均指根据公司决定确定的聘任日期和解聘日期。</w:t>
      </w:r>
    </w:p>
    <w:p w:rsidR="002A683B" w:rsidRDefault="00450B22">
      <w:pPr>
        <w:autoSpaceDE w:val="0"/>
        <w:autoSpaceDN w:val="0"/>
        <w:adjustRightInd w:val="0"/>
        <w:spacing w:before="29" w:line="288" w:lineRule="auto"/>
        <w:jc w:val="left"/>
        <w:rPr>
          <w:color w:val="000000"/>
          <w:sz w:val="24"/>
          <w:szCs w:val="24"/>
        </w:rPr>
      </w:pPr>
      <w:r>
        <w:rPr>
          <w:color w:val="000000"/>
          <w:sz w:val="24"/>
          <w:szCs w:val="24"/>
        </w:rPr>
        <w:t>2.</w:t>
      </w:r>
      <w:r>
        <w:rPr>
          <w:color w:val="000000"/>
          <w:sz w:val="24"/>
          <w:szCs w:val="24"/>
        </w:rPr>
        <w:t>杜习杰先生为本基金首任基金经理，其任职日期指本基金基金合同生效之日。</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3.</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上投摩根锦程均衡养老目标三年持有期混合型基金中基金（</w:t>
      </w:r>
      <w:r w:rsidRPr="00414345">
        <w:rPr>
          <w:color w:val="000000"/>
          <w:sz w:val="24"/>
          <w:szCs w:val="24"/>
        </w:rPr>
        <w:t>FOF</w:t>
      </w:r>
      <w:r w:rsidRPr="00414345">
        <w:rPr>
          <w:color w:val="000000"/>
          <w:sz w:val="24"/>
          <w:szCs w:val="24"/>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A683B" w:rsidRDefault="00450B22">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w:t>
      </w:r>
      <w:r>
        <w:rPr>
          <w:color w:val="000000"/>
          <w:sz w:val="24"/>
          <w:szCs w:val="24"/>
        </w:rPr>
        <w:lastRenderedPageBreak/>
        <w:t>控分析，以确保本公司管理的不同投资组合在授权、研究分析、投资决策、交易执行、业绩评估等投资管理活动相关的环节均得到公平对待。</w:t>
      </w:r>
    </w:p>
    <w:p w:rsidR="002A683B" w:rsidRDefault="00450B22">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2A683B" w:rsidRDefault="00450B22">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A683B" w:rsidRDefault="00450B22">
      <w:pPr>
        <w:spacing w:before="29" w:line="288" w:lineRule="auto"/>
        <w:ind w:firstLineChars="200" w:firstLine="480"/>
        <w:rPr>
          <w:color w:val="000000"/>
          <w:sz w:val="24"/>
          <w:szCs w:val="24"/>
        </w:rPr>
      </w:pPr>
      <w:r>
        <w:rPr>
          <w:color w:val="000000"/>
          <w:sz w:val="24"/>
          <w:szCs w:val="24"/>
        </w:rPr>
        <w:t>二季度以来国内各项主要宏观指标显示经济面临较大的下行压力。</w:t>
      </w:r>
      <w:r>
        <w:rPr>
          <w:color w:val="000000"/>
          <w:sz w:val="24"/>
          <w:szCs w:val="24"/>
        </w:rPr>
        <w:t>PPI</w:t>
      </w:r>
      <w:r>
        <w:rPr>
          <w:color w:val="000000"/>
          <w:sz w:val="24"/>
          <w:szCs w:val="24"/>
        </w:rPr>
        <w:t>高位运行，但市场预期其大概率见顶，对通胀的担忧下降，利率下行，资金面成为驱动股债上涨的主要因素。风险偏好抬升，各大类资产涨幅明显。海外经济依旧强劲复苏，推升原油大幅上涨。疫苗接种率较高的地区，经济活动逐步恢复，</w:t>
      </w:r>
      <w:r>
        <w:rPr>
          <w:color w:val="000000"/>
          <w:sz w:val="24"/>
          <w:szCs w:val="24"/>
        </w:rPr>
        <w:t>REITs</w:t>
      </w:r>
      <w:r>
        <w:rPr>
          <w:color w:val="000000"/>
          <w:sz w:val="24"/>
          <w:szCs w:val="24"/>
        </w:rPr>
        <w:t>基本面改善明显，在二季度涨幅显著。本季度上证综指涨幅</w:t>
      </w:r>
      <w:r>
        <w:rPr>
          <w:color w:val="000000"/>
          <w:sz w:val="24"/>
          <w:szCs w:val="24"/>
        </w:rPr>
        <w:t>4.34%</w:t>
      </w:r>
      <w:r>
        <w:rPr>
          <w:color w:val="000000"/>
          <w:sz w:val="24"/>
          <w:szCs w:val="24"/>
        </w:rPr>
        <w:t>，但风格分化明显，成长大幅跑赢价值。行业层面高景气的半导体、新能源车涨幅居前，以及受到行业需求改善消息驱动的消费电子、光伏表现紧随其后。海外主要经济体指数中标普</w:t>
      </w:r>
      <w:r>
        <w:rPr>
          <w:color w:val="000000"/>
          <w:sz w:val="24"/>
          <w:szCs w:val="24"/>
        </w:rPr>
        <w:t>500</w:t>
      </w:r>
      <w:r>
        <w:rPr>
          <w:color w:val="000000"/>
          <w:sz w:val="24"/>
          <w:szCs w:val="24"/>
        </w:rPr>
        <w:t>，富时</w:t>
      </w:r>
      <w:r>
        <w:rPr>
          <w:color w:val="000000"/>
          <w:sz w:val="24"/>
          <w:szCs w:val="24"/>
        </w:rPr>
        <w:t>100</w:t>
      </w:r>
      <w:r>
        <w:rPr>
          <w:color w:val="000000"/>
          <w:sz w:val="24"/>
          <w:szCs w:val="24"/>
        </w:rPr>
        <w:t>和德国</w:t>
      </w:r>
      <w:r>
        <w:rPr>
          <w:color w:val="000000"/>
          <w:sz w:val="24"/>
          <w:szCs w:val="24"/>
        </w:rPr>
        <w:t>30</w:t>
      </w:r>
      <w:r>
        <w:rPr>
          <w:color w:val="000000"/>
          <w:sz w:val="24"/>
          <w:szCs w:val="24"/>
        </w:rPr>
        <w:t>涨幅居前。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驱动近期行情的宏观主导因素是政策和流动性比预期友好，同时市场的风险偏好和交投情绪进入上行周期。展望三季度市场大概率回归基本面驱动。国内投资、消费依旧偏弱，海外需求虽然较强，但美国消费由商品转向服务，对国内出口拉动减弱，未来国内经济仍有较大的下行压力。若风险偏好降低，市场趋于防守，风格可能重新偏向低估值风格。随着中报业绩期的到来，市场仍充满结构性机会，景气度高、盈利预期明确的行业仍将得到市场的青睐。美国就业数据向好可能带来量化宽松减码的进度快于预期，该风险因素将大概率扰动市场。近期国债收益率在中枢下沿运行，未来利率趋势易上难下，对长久期保持谨慎。信用风险仍有较大的爆发可能，利率债优于信用债。</w:t>
      </w:r>
      <w:r w:rsidRPr="00414345">
        <w:rPr>
          <w:color w:val="000000"/>
          <w:sz w:val="24"/>
          <w:szCs w:val="24"/>
        </w:rPr>
        <w:t>REITs</w:t>
      </w:r>
      <w:r w:rsidRPr="00414345">
        <w:rPr>
          <w:color w:val="000000"/>
          <w:sz w:val="24"/>
          <w:szCs w:val="24"/>
        </w:rPr>
        <w:t>基本面将大幅改善，在通胀环境下预计将会有较好的表现。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本报告期上投摩根锦程均衡养老三年持有混合</w:t>
      </w:r>
      <w:r w:rsidRPr="00414345">
        <w:rPr>
          <w:color w:val="000000"/>
          <w:sz w:val="24"/>
          <w:szCs w:val="24"/>
        </w:rPr>
        <w:t>(FOF)</w:t>
      </w:r>
      <w:r w:rsidRPr="00414345">
        <w:rPr>
          <w:color w:val="000000"/>
          <w:sz w:val="24"/>
          <w:szCs w:val="24"/>
        </w:rPr>
        <w:t>份额净值增长率为</w:t>
      </w:r>
      <w:r w:rsidRPr="00414345">
        <w:rPr>
          <w:color w:val="000000"/>
          <w:sz w:val="24"/>
          <w:szCs w:val="24"/>
        </w:rPr>
        <w:t>:4.54%</w:t>
      </w:r>
      <w:r w:rsidRPr="00414345">
        <w:rPr>
          <w:color w:val="000000"/>
          <w:sz w:val="24"/>
          <w:szCs w:val="24"/>
        </w:rPr>
        <w:t>，同期业绩比较基准收益率为</w:t>
      </w:r>
      <w:r w:rsidRPr="00414345">
        <w:rPr>
          <w:color w:val="000000"/>
          <w:sz w:val="24"/>
          <w:szCs w:val="24"/>
        </w:rPr>
        <w:t>:2.90%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4,289,676.60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4,289,676.60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267,416,188.33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92.33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13,944,754.50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13,944,754.50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894,280.14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3,075,097.89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289,619,997.46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1,421,971.60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2,867,705.00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4,289,676.60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w:t>
            </w:r>
          </w:p>
        </w:tc>
      </w:tr>
    </w:tbl>
    <w:p w:rsidR="004061AC" w:rsidRPr="00F51C4E" w:rsidRDefault="004061AC" w:rsidP="00C15CAC">
      <w:pPr>
        <w:autoSpaceDE w:val="0"/>
        <w:autoSpaceDN w:val="0"/>
        <w:adjustRightInd w:val="0"/>
        <w:spacing w:before="29" w:line="288" w:lineRule="auto"/>
        <w:jc w:val="left"/>
        <w:rPr>
          <w:color w:val="000000"/>
          <w:kern w:val="0"/>
          <w:sz w:val="24"/>
          <w:szCs w:val="24"/>
        </w:rPr>
      </w:pPr>
    </w:p>
    <w:p w:rsidR="00E133DE" w:rsidRPr="00E133DE" w:rsidRDefault="004061AC" w:rsidP="00C15CAC">
      <w:pPr>
        <w:autoSpaceDE w:val="0"/>
        <w:autoSpaceDN w:val="0"/>
        <w:adjustRightInd w:val="0"/>
        <w:spacing w:before="29" w:line="288" w:lineRule="auto"/>
        <w:jc w:val="left"/>
        <w:rPr>
          <w:b/>
          <w:bCs/>
          <w:kern w:val="0"/>
          <w:sz w:val="24"/>
          <w:szCs w:val="24"/>
        </w:rPr>
      </w:pPr>
      <w:r w:rsidRPr="00E133DE">
        <w:rPr>
          <w:b/>
          <w:bCs/>
          <w:kern w:val="0"/>
          <w:sz w:val="24"/>
          <w:szCs w:val="24"/>
        </w:rPr>
        <w:t xml:space="preserve">5.3 </w:t>
      </w:r>
      <w:r w:rsidR="00E133DE" w:rsidRPr="00E133DE">
        <w:rPr>
          <w:rFonts w:asciiTheme="minorEastAsia" w:eastAsiaTheme="minorEastAsia" w:hAnsiTheme="minorEastAsia" w:hint="eastAsia"/>
          <w:b/>
          <w:bCs/>
          <w:kern w:val="0"/>
          <w:sz w:val="24"/>
          <w:szCs w:val="24"/>
        </w:rPr>
        <w:t>期末按公允价值占基金资产净值比例大小排序的股票投资明细</w:t>
      </w:r>
      <w:r w:rsidR="00E133DE" w:rsidRPr="00E133DE">
        <w:rPr>
          <w:rFonts w:asciiTheme="minorEastAsia" w:eastAsiaTheme="minorEastAsia" w:hAnsiTheme="minorEastAsia" w:hint="eastAsia"/>
          <w:b/>
          <w:bCs/>
          <w:kern w:val="0"/>
          <w:sz w:val="24"/>
          <w:szCs w:val="24"/>
        </w:rPr>
        <w:cr/>
      </w:r>
    </w:p>
    <w:p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5.3.1 </w:t>
      </w:r>
      <w:r w:rsidR="004061AC" w:rsidRPr="00E133DE">
        <w:rPr>
          <w:b/>
          <w:bCs/>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E133DE" w:rsidRPr="00E133DE" w:rsidTr="00A324F4">
        <w:trPr>
          <w:jc w:val="center"/>
        </w:trPr>
        <w:tc>
          <w:tcPr>
            <w:tcW w:w="869" w:type="dxa"/>
            <w:vAlign w:val="center"/>
          </w:tcPr>
          <w:p w:rsidR="00853140" w:rsidRPr="00E133DE" w:rsidRDefault="00853140" w:rsidP="00C15CAC">
            <w:pPr>
              <w:spacing w:before="29" w:line="288" w:lineRule="auto"/>
              <w:ind w:left="17"/>
              <w:jc w:val="center"/>
              <w:rPr>
                <w:sz w:val="24"/>
                <w:szCs w:val="24"/>
              </w:rPr>
            </w:pPr>
            <w:r w:rsidRPr="00E133DE">
              <w:rPr>
                <w:sz w:val="24"/>
                <w:szCs w:val="24"/>
              </w:rPr>
              <w:t>序号</w:t>
            </w:r>
          </w:p>
        </w:tc>
        <w:tc>
          <w:tcPr>
            <w:tcW w:w="1357" w:type="dxa"/>
            <w:vAlign w:val="center"/>
          </w:tcPr>
          <w:p w:rsidR="00853140" w:rsidRPr="00E133DE" w:rsidRDefault="00853140" w:rsidP="00C15CAC">
            <w:pPr>
              <w:spacing w:before="29" w:line="288" w:lineRule="auto"/>
              <w:ind w:left="17"/>
              <w:jc w:val="center"/>
              <w:rPr>
                <w:sz w:val="24"/>
                <w:szCs w:val="24"/>
              </w:rPr>
            </w:pPr>
            <w:r w:rsidRPr="00E133DE">
              <w:rPr>
                <w:sz w:val="24"/>
                <w:szCs w:val="24"/>
              </w:rPr>
              <w:t>股票代码</w:t>
            </w:r>
          </w:p>
        </w:tc>
        <w:tc>
          <w:tcPr>
            <w:tcW w:w="1810" w:type="dxa"/>
            <w:vAlign w:val="center"/>
          </w:tcPr>
          <w:p w:rsidR="00853140" w:rsidRPr="00E133DE" w:rsidRDefault="00853140" w:rsidP="00C15CAC">
            <w:pPr>
              <w:spacing w:before="29" w:line="288" w:lineRule="auto"/>
              <w:ind w:left="17"/>
              <w:jc w:val="center"/>
              <w:rPr>
                <w:sz w:val="24"/>
                <w:szCs w:val="24"/>
              </w:rPr>
            </w:pPr>
            <w:r w:rsidRPr="00E133DE">
              <w:rPr>
                <w:sz w:val="24"/>
                <w:szCs w:val="24"/>
              </w:rPr>
              <w:t>股票名称</w:t>
            </w:r>
          </w:p>
        </w:tc>
        <w:tc>
          <w:tcPr>
            <w:tcW w:w="1357" w:type="dxa"/>
            <w:vAlign w:val="center"/>
          </w:tcPr>
          <w:p w:rsidR="00853140" w:rsidRPr="00E133DE" w:rsidRDefault="00853140" w:rsidP="00C15CAC">
            <w:pPr>
              <w:spacing w:before="29" w:line="288" w:lineRule="auto"/>
              <w:ind w:left="17"/>
              <w:jc w:val="center"/>
              <w:rPr>
                <w:sz w:val="24"/>
                <w:szCs w:val="24"/>
              </w:rPr>
            </w:pPr>
            <w:r w:rsidRPr="00E133DE">
              <w:rPr>
                <w:sz w:val="24"/>
                <w:szCs w:val="24"/>
              </w:rPr>
              <w:t>数量</w:t>
            </w:r>
            <w:r w:rsidR="00B47982" w:rsidRPr="00E133DE">
              <w:rPr>
                <w:sz w:val="24"/>
              </w:rPr>
              <w:t>（股）</w:t>
            </w:r>
          </w:p>
        </w:tc>
        <w:tc>
          <w:tcPr>
            <w:tcW w:w="1960" w:type="dxa"/>
            <w:vAlign w:val="center"/>
          </w:tcPr>
          <w:p w:rsidR="00853140" w:rsidRPr="00E133DE" w:rsidRDefault="00853140" w:rsidP="00C15CAC">
            <w:pPr>
              <w:autoSpaceDE w:val="0"/>
              <w:autoSpaceDN w:val="0"/>
              <w:adjustRightInd w:val="0"/>
              <w:spacing w:before="29" w:line="288" w:lineRule="auto"/>
              <w:ind w:left="17"/>
              <w:jc w:val="center"/>
              <w:rPr>
                <w:sz w:val="24"/>
                <w:szCs w:val="24"/>
              </w:rPr>
            </w:pPr>
            <w:r w:rsidRPr="00E133DE">
              <w:rPr>
                <w:sz w:val="24"/>
                <w:szCs w:val="24"/>
              </w:rPr>
              <w:t>公允价值</w:t>
            </w:r>
            <w:r w:rsidRPr="00E133DE">
              <w:rPr>
                <w:sz w:val="24"/>
                <w:szCs w:val="24"/>
              </w:rPr>
              <w:t>(</w:t>
            </w:r>
            <w:r w:rsidRPr="00E133DE">
              <w:rPr>
                <w:sz w:val="24"/>
                <w:szCs w:val="24"/>
              </w:rPr>
              <w:t>元</w:t>
            </w:r>
            <w:r w:rsidRPr="00E133DE">
              <w:rPr>
                <w:sz w:val="24"/>
                <w:szCs w:val="24"/>
              </w:rPr>
              <w:t>)</w:t>
            </w:r>
          </w:p>
        </w:tc>
        <w:tc>
          <w:tcPr>
            <w:tcW w:w="1674" w:type="dxa"/>
            <w:vAlign w:val="center"/>
          </w:tcPr>
          <w:p w:rsidR="00853140" w:rsidRPr="00E133DE" w:rsidRDefault="00853140" w:rsidP="00C15CAC">
            <w:pPr>
              <w:spacing w:before="29" w:line="288" w:lineRule="auto"/>
              <w:ind w:left="17"/>
              <w:jc w:val="center"/>
              <w:rPr>
                <w:sz w:val="24"/>
                <w:szCs w:val="24"/>
              </w:rPr>
            </w:pPr>
            <w:r w:rsidRPr="00E133DE">
              <w:rPr>
                <w:sz w:val="24"/>
                <w:szCs w:val="24"/>
              </w:rPr>
              <w:t>占基金资产净值比例</w:t>
            </w:r>
            <w:r w:rsidR="00B47982" w:rsidRPr="00E133DE">
              <w:rPr>
                <w:sz w:val="24"/>
              </w:rPr>
              <w:t>（％）</w:t>
            </w:r>
          </w:p>
        </w:tc>
      </w:tr>
      <w:tr w:rsidR="002A683B">
        <w:trPr>
          <w:jc w:val="center"/>
        </w:trPr>
        <w:tc>
          <w:tcPr>
            <w:tcW w:w="855" w:type="dxa"/>
            <w:vAlign w:val="center"/>
          </w:tcPr>
          <w:p w:rsidR="002A683B" w:rsidRDefault="00450B22">
            <w:pPr>
              <w:jc w:val="center"/>
            </w:pPr>
            <w:r>
              <w:rPr>
                <w:sz w:val="24"/>
                <w:szCs w:val="24"/>
              </w:rPr>
              <w:t>1</w:t>
            </w:r>
          </w:p>
        </w:tc>
        <w:tc>
          <w:tcPr>
            <w:tcW w:w="1334" w:type="dxa"/>
            <w:vAlign w:val="center"/>
          </w:tcPr>
          <w:p w:rsidR="002A683B" w:rsidRDefault="00450B22">
            <w:pPr>
              <w:jc w:val="center"/>
            </w:pPr>
            <w:r>
              <w:rPr>
                <w:sz w:val="24"/>
                <w:szCs w:val="24"/>
              </w:rPr>
              <w:t>002157</w:t>
            </w:r>
          </w:p>
        </w:tc>
        <w:tc>
          <w:tcPr>
            <w:tcW w:w="1777" w:type="dxa"/>
            <w:vAlign w:val="center"/>
          </w:tcPr>
          <w:p w:rsidR="002A683B" w:rsidRDefault="00450B22">
            <w:pPr>
              <w:jc w:val="center"/>
            </w:pPr>
            <w:r>
              <w:rPr>
                <w:sz w:val="24"/>
                <w:szCs w:val="24"/>
              </w:rPr>
              <w:t>正邦科技</w:t>
            </w:r>
          </w:p>
        </w:tc>
        <w:tc>
          <w:tcPr>
            <w:tcW w:w="1334" w:type="dxa"/>
            <w:vAlign w:val="center"/>
          </w:tcPr>
          <w:p w:rsidR="002A683B" w:rsidRDefault="00450B22">
            <w:pPr>
              <w:jc w:val="right"/>
            </w:pPr>
            <w:r>
              <w:rPr>
                <w:sz w:val="24"/>
                <w:szCs w:val="24"/>
              </w:rPr>
              <w:t>120,600.00</w:t>
            </w:r>
          </w:p>
        </w:tc>
        <w:tc>
          <w:tcPr>
            <w:tcW w:w="1924" w:type="dxa"/>
            <w:vAlign w:val="center"/>
          </w:tcPr>
          <w:p w:rsidR="002A683B" w:rsidRDefault="00450B22">
            <w:pPr>
              <w:jc w:val="right"/>
            </w:pPr>
            <w:r>
              <w:rPr>
                <w:sz w:val="24"/>
                <w:szCs w:val="24"/>
              </w:rPr>
              <w:t>1,441,170.00</w:t>
            </w:r>
          </w:p>
        </w:tc>
        <w:tc>
          <w:tcPr>
            <w:tcW w:w="1644" w:type="dxa"/>
            <w:vAlign w:val="center"/>
          </w:tcPr>
          <w:p w:rsidR="002A683B" w:rsidRDefault="00450B22">
            <w:pPr>
              <w:jc w:val="right"/>
            </w:pPr>
            <w:r>
              <w:rPr>
                <w:sz w:val="24"/>
                <w:szCs w:val="24"/>
              </w:rPr>
              <w:t>0.50</w:t>
            </w:r>
          </w:p>
        </w:tc>
      </w:tr>
      <w:tr w:rsidR="002A683B">
        <w:trPr>
          <w:jc w:val="center"/>
        </w:trPr>
        <w:tc>
          <w:tcPr>
            <w:tcW w:w="855" w:type="dxa"/>
            <w:vAlign w:val="center"/>
          </w:tcPr>
          <w:p w:rsidR="002A683B" w:rsidRDefault="00450B22">
            <w:pPr>
              <w:jc w:val="center"/>
            </w:pPr>
            <w:r>
              <w:rPr>
                <w:sz w:val="24"/>
                <w:szCs w:val="24"/>
              </w:rPr>
              <w:t>2</w:t>
            </w:r>
          </w:p>
        </w:tc>
        <w:tc>
          <w:tcPr>
            <w:tcW w:w="1334" w:type="dxa"/>
            <w:vAlign w:val="center"/>
          </w:tcPr>
          <w:p w:rsidR="002A683B" w:rsidRDefault="00450B22">
            <w:pPr>
              <w:jc w:val="center"/>
            </w:pPr>
            <w:r>
              <w:rPr>
                <w:sz w:val="24"/>
                <w:szCs w:val="24"/>
              </w:rPr>
              <w:t>002124</w:t>
            </w:r>
          </w:p>
        </w:tc>
        <w:tc>
          <w:tcPr>
            <w:tcW w:w="1777" w:type="dxa"/>
            <w:vAlign w:val="center"/>
          </w:tcPr>
          <w:p w:rsidR="002A683B" w:rsidRDefault="00450B22">
            <w:pPr>
              <w:jc w:val="center"/>
            </w:pPr>
            <w:r>
              <w:rPr>
                <w:sz w:val="24"/>
                <w:szCs w:val="24"/>
              </w:rPr>
              <w:t>天邦股份</w:t>
            </w:r>
          </w:p>
        </w:tc>
        <w:tc>
          <w:tcPr>
            <w:tcW w:w="1334" w:type="dxa"/>
            <w:vAlign w:val="center"/>
          </w:tcPr>
          <w:p w:rsidR="002A683B" w:rsidRDefault="00450B22">
            <w:pPr>
              <w:jc w:val="right"/>
            </w:pPr>
            <w:r>
              <w:rPr>
                <w:sz w:val="24"/>
                <w:szCs w:val="24"/>
              </w:rPr>
              <w:t>203,500.00</w:t>
            </w:r>
          </w:p>
        </w:tc>
        <w:tc>
          <w:tcPr>
            <w:tcW w:w="1924" w:type="dxa"/>
            <w:vAlign w:val="center"/>
          </w:tcPr>
          <w:p w:rsidR="002A683B" w:rsidRDefault="00450B22">
            <w:pPr>
              <w:jc w:val="right"/>
            </w:pPr>
            <w:r>
              <w:rPr>
                <w:sz w:val="24"/>
                <w:szCs w:val="24"/>
              </w:rPr>
              <w:t>1,426,535.00</w:t>
            </w:r>
          </w:p>
        </w:tc>
        <w:tc>
          <w:tcPr>
            <w:tcW w:w="1644" w:type="dxa"/>
            <w:vAlign w:val="center"/>
          </w:tcPr>
          <w:p w:rsidR="002A683B" w:rsidRDefault="00450B22">
            <w:pPr>
              <w:jc w:val="right"/>
            </w:pPr>
            <w:r>
              <w:rPr>
                <w:sz w:val="24"/>
                <w:szCs w:val="24"/>
              </w:rPr>
              <w:t>0.49</w:t>
            </w:r>
          </w:p>
        </w:tc>
      </w:tr>
      <w:tr w:rsidR="002A683B">
        <w:trPr>
          <w:jc w:val="center"/>
        </w:trPr>
        <w:tc>
          <w:tcPr>
            <w:tcW w:w="855" w:type="dxa"/>
            <w:vAlign w:val="center"/>
          </w:tcPr>
          <w:p w:rsidR="002A683B" w:rsidRDefault="00450B22">
            <w:pPr>
              <w:jc w:val="center"/>
            </w:pPr>
            <w:r>
              <w:rPr>
                <w:sz w:val="24"/>
                <w:szCs w:val="24"/>
              </w:rPr>
              <w:t>3</w:t>
            </w:r>
          </w:p>
        </w:tc>
        <w:tc>
          <w:tcPr>
            <w:tcW w:w="1334" w:type="dxa"/>
            <w:vAlign w:val="center"/>
          </w:tcPr>
          <w:p w:rsidR="002A683B" w:rsidRDefault="00450B22">
            <w:pPr>
              <w:jc w:val="center"/>
            </w:pPr>
            <w:r>
              <w:rPr>
                <w:sz w:val="24"/>
                <w:szCs w:val="24"/>
              </w:rPr>
              <w:t>002714</w:t>
            </w:r>
          </w:p>
        </w:tc>
        <w:tc>
          <w:tcPr>
            <w:tcW w:w="1777" w:type="dxa"/>
            <w:vAlign w:val="center"/>
          </w:tcPr>
          <w:p w:rsidR="002A683B" w:rsidRDefault="00450B22">
            <w:pPr>
              <w:jc w:val="center"/>
            </w:pPr>
            <w:r>
              <w:rPr>
                <w:sz w:val="24"/>
                <w:szCs w:val="24"/>
              </w:rPr>
              <w:t>牧原股份</w:t>
            </w:r>
          </w:p>
        </w:tc>
        <w:tc>
          <w:tcPr>
            <w:tcW w:w="1334" w:type="dxa"/>
            <w:vAlign w:val="center"/>
          </w:tcPr>
          <w:p w:rsidR="002A683B" w:rsidRDefault="00450B22">
            <w:pPr>
              <w:jc w:val="right"/>
            </w:pPr>
            <w:r>
              <w:rPr>
                <w:sz w:val="24"/>
                <w:szCs w:val="24"/>
              </w:rPr>
              <w:t>23,380.00</w:t>
            </w:r>
          </w:p>
        </w:tc>
        <w:tc>
          <w:tcPr>
            <w:tcW w:w="1924" w:type="dxa"/>
            <w:vAlign w:val="center"/>
          </w:tcPr>
          <w:p w:rsidR="002A683B" w:rsidRDefault="00450B22">
            <w:pPr>
              <w:jc w:val="right"/>
            </w:pPr>
            <w:r>
              <w:rPr>
                <w:sz w:val="24"/>
                <w:szCs w:val="24"/>
              </w:rPr>
              <w:t>1,421,971.60</w:t>
            </w:r>
          </w:p>
        </w:tc>
        <w:tc>
          <w:tcPr>
            <w:tcW w:w="1644" w:type="dxa"/>
            <w:vAlign w:val="center"/>
          </w:tcPr>
          <w:p w:rsidR="002A683B" w:rsidRDefault="00450B22">
            <w:pPr>
              <w:jc w:val="right"/>
            </w:pPr>
            <w:r>
              <w:rPr>
                <w:sz w:val="24"/>
                <w:szCs w:val="24"/>
              </w:rPr>
              <w:t>0.49</w:t>
            </w:r>
          </w:p>
        </w:tc>
      </w:tr>
    </w:tbl>
    <w:p w:rsidR="004061AC" w:rsidRPr="00E133DE" w:rsidRDefault="004061AC" w:rsidP="00C15CAC">
      <w:pPr>
        <w:autoSpaceDE w:val="0"/>
        <w:autoSpaceDN w:val="0"/>
        <w:adjustRightInd w:val="0"/>
        <w:spacing w:before="29" w:line="288" w:lineRule="auto"/>
        <w:jc w:val="left"/>
        <w:rPr>
          <w:b/>
          <w:bCs/>
          <w:kern w:val="0"/>
          <w:sz w:val="24"/>
          <w:szCs w:val="24"/>
        </w:rPr>
      </w:pPr>
    </w:p>
    <w:p w:rsidR="00E133DE" w:rsidRPr="00E133DE" w:rsidRDefault="00E133D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13,944,754.50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13,944,754.50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A683B">
        <w:trPr>
          <w:jc w:val="center"/>
        </w:trPr>
        <w:tc>
          <w:tcPr>
            <w:tcW w:w="850" w:type="dxa"/>
            <w:vAlign w:val="center"/>
          </w:tcPr>
          <w:p w:rsidR="002A683B" w:rsidRDefault="00450B22">
            <w:pPr>
              <w:jc w:val="center"/>
            </w:pPr>
            <w:r>
              <w:rPr>
                <w:color w:val="000000"/>
                <w:sz w:val="24"/>
                <w:szCs w:val="24"/>
              </w:rPr>
              <w:t>1</w:t>
            </w:r>
          </w:p>
        </w:tc>
        <w:tc>
          <w:tcPr>
            <w:tcW w:w="1475" w:type="dxa"/>
            <w:vAlign w:val="center"/>
          </w:tcPr>
          <w:p w:rsidR="002A683B" w:rsidRDefault="00450B22">
            <w:pPr>
              <w:jc w:val="center"/>
            </w:pPr>
            <w:r>
              <w:rPr>
                <w:color w:val="000000"/>
                <w:sz w:val="24"/>
                <w:szCs w:val="24"/>
              </w:rPr>
              <w:t>019649</w:t>
            </w:r>
          </w:p>
        </w:tc>
        <w:tc>
          <w:tcPr>
            <w:tcW w:w="1769" w:type="dxa"/>
            <w:vAlign w:val="center"/>
          </w:tcPr>
          <w:p w:rsidR="002A683B" w:rsidRDefault="00450B22">
            <w:pPr>
              <w:jc w:val="center"/>
            </w:pPr>
            <w:r>
              <w:rPr>
                <w:color w:val="000000"/>
                <w:sz w:val="24"/>
                <w:szCs w:val="24"/>
              </w:rPr>
              <w:t>21</w:t>
            </w:r>
            <w:r>
              <w:rPr>
                <w:color w:val="000000"/>
                <w:sz w:val="24"/>
                <w:szCs w:val="24"/>
              </w:rPr>
              <w:t>国债</w:t>
            </w:r>
            <w:r>
              <w:rPr>
                <w:color w:val="000000"/>
                <w:sz w:val="24"/>
                <w:szCs w:val="24"/>
              </w:rPr>
              <w:t>01</w:t>
            </w:r>
          </w:p>
        </w:tc>
        <w:tc>
          <w:tcPr>
            <w:tcW w:w="1387" w:type="dxa"/>
            <w:vAlign w:val="center"/>
          </w:tcPr>
          <w:p w:rsidR="002A683B" w:rsidRDefault="00450B22">
            <w:pPr>
              <w:jc w:val="right"/>
            </w:pPr>
            <w:r>
              <w:rPr>
                <w:color w:val="000000"/>
                <w:sz w:val="24"/>
                <w:szCs w:val="24"/>
              </w:rPr>
              <w:t>139,350</w:t>
            </w:r>
          </w:p>
        </w:tc>
        <w:tc>
          <w:tcPr>
            <w:tcW w:w="2150" w:type="dxa"/>
            <w:vAlign w:val="center"/>
          </w:tcPr>
          <w:p w:rsidR="002A683B" w:rsidRDefault="00450B22">
            <w:pPr>
              <w:jc w:val="right"/>
            </w:pPr>
            <w:r>
              <w:rPr>
                <w:color w:val="000000"/>
                <w:sz w:val="24"/>
                <w:szCs w:val="24"/>
              </w:rPr>
              <w:t>13,944,754.50</w:t>
            </w:r>
          </w:p>
        </w:tc>
        <w:tc>
          <w:tcPr>
            <w:tcW w:w="1237" w:type="dxa"/>
            <w:vAlign w:val="center"/>
          </w:tcPr>
          <w:p w:rsidR="002A683B" w:rsidRDefault="00450B22">
            <w:pPr>
              <w:jc w:val="right"/>
            </w:pPr>
            <w:r>
              <w:rPr>
                <w:color w:val="000000"/>
                <w:sz w:val="24"/>
                <w:szCs w:val="24"/>
              </w:rPr>
              <w:t>4.82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37,546.39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2,856,363.58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801.90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149,999.01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30,086.78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300.23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3,075,097.89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因四舍五入的原因，投资组合报告中分项之和与合计数可能存在尾差。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CD14C0">
        <w:tc>
          <w:tcPr>
            <w:tcW w:w="452"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CD14C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t>占基金资产净</w:t>
            </w:r>
            <w:r w:rsidRPr="00575270">
              <w:rPr>
                <w:rFonts w:ascii="Times New Roman" w:hAnsi="Times New Roman" w:cs="Times New Roman"/>
              </w:rPr>
              <w:lastRenderedPageBreak/>
              <w:t>值比例</w:t>
            </w:r>
          </w:p>
        </w:tc>
        <w:tc>
          <w:tcPr>
            <w:tcW w:w="704" w:type="pct"/>
            <w:vAlign w:val="center"/>
          </w:tcPr>
          <w:p w:rsidR="001F3E2A" w:rsidRPr="00575270" w:rsidRDefault="001F3E2A" w:rsidP="00CD14C0">
            <w:pPr>
              <w:pStyle w:val="Default"/>
              <w:spacing w:line="276" w:lineRule="auto"/>
              <w:rPr>
                <w:rFonts w:ascii="Times New Roman" w:hAnsi="Times New Roman" w:cs="Times New Roman"/>
              </w:rPr>
            </w:pPr>
            <w:r w:rsidRPr="00575270">
              <w:rPr>
                <w:rFonts w:ascii="Times New Roman" w:hAnsi="Times New Roman" w:cs="Times New Roman"/>
              </w:rPr>
              <w:lastRenderedPageBreak/>
              <w:t>是否属于基金管理</w:t>
            </w:r>
            <w:r w:rsidRPr="00575270">
              <w:rPr>
                <w:rFonts w:ascii="Times New Roman" w:hAnsi="Times New Roman" w:cs="Times New Roman"/>
              </w:rPr>
              <w:lastRenderedPageBreak/>
              <w:t>人及管理人关联方所管理的基金</w:t>
            </w:r>
          </w:p>
        </w:tc>
      </w:tr>
      <w:tr w:rsidR="002A683B">
        <w:tc>
          <w:tcPr>
            <w:tcW w:w="835" w:type="dxa"/>
            <w:vAlign w:val="center"/>
          </w:tcPr>
          <w:p w:rsidR="002A683B" w:rsidRDefault="00450B22">
            <w:pPr>
              <w:jc w:val="center"/>
            </w:pPr>
            <w:r>
              <w:rPr>
                <w:sz w:val="24"/>
                <w:szCs w:val="24"/>
              </w:rPr>
              <w:lastRenderedPageBreak/>
              <w:t>1</w:t>
            </w:r>
          </w:p>
        </w:tc>
        <w:tc>
          <w:tcPr>
            <w:tcW w:w="1159" w:type="dxa"/>
            <w:vAlign w:val="center"/>
          </w:tcPr>
          <w:p w:rsidR="002A683B" w:rsidRDefault="00450B22">
            <w:pPr>
              <w:jc w:val="center"/>
            </w:pPr>
            <w:r>
              <w:rPr>
                <w:sz w:val="24"/>
                <w:szCs w:val="24"/>
              </w:rPr>
              <w:t>372010</w:t>
            </w:r>
          </w:p>
        </w:tc>
        <w:tc>
          <w:tcPr>
            <w:tcW w:w="1161" w:type="dxa"/>
            <w:vAlign w:val="center"/>
          </w:tcPr>
          <w:p w:rsidR="002A683B" w:rsidRDefault="00450B22">
            <w:pPr>
              <w:jc w:val="center"/>
            </w:pPr>
            <w:r>
              <w:rPr>
                <w:sz w:val="24"/>
                <w:szCs w:val="24"/>
              </w:rPr>
              <w:t>上投摩根强化回报债券</w:t>
            </w:r>
            <w:r>
              <w:rPr>
                <w:sz w:val="24"/>
                <w:szCs w:val="24"/>
              </w:rPr>
              <w:t>A</w:t>
            </w:r>
          </w:p>
        </w:tc>
        <w:tc>
          <w:tcPr>
            <w:tcW w:w="1161" w:type="dxa"/>
            <w:vAlign w:val="center"/>
          </w:tcPr>
          <w:p w:rsidR="002A683B" w:rsidRDefault="00450B22">
            <w:pPr>
              <w:jc w:val="center"/>
            </w:pPr>
            <w:r>
              <w:rPr>
                <w:sz w:val="24"/>
                <w:szCs w:val="24"/>
              </w:rPr>
              <w:t>契约型开放式</w:t>
            </w:r>
          </w:p>
        </w:tc>
        <w:tc>
          <w:tcPr>
            <w:tcW w:w="1159" w:type="dxa"/>
            <w:vAlign w:val="center"/>
          </w:tcPr>
          <w:p w:rsidR="002A683B" w:rsidRDefault="00450B22">
            <w:pPr>
              <w:jc w:val="center"/>
            </w:pPr>
            <w:r>
              <w:rPr>
                <w:sz w:val="24"/>
                <w:szCs w:val="24"/>
              </w:rPr>
              <w:t>16,229,081.84</w:t>
            </w:r>
          </w:p>
        </w:tc>
        <w:tc>
          <w:tcPr>
            <w:tcW w:w="1305" w:type="dxa"/>
            <w:vAlign w:val="center"/>
          </w:tcPr>
          <w:p w:rsidR="002A683B" w:rsidRDefault="00450B22">
            <w:pPr>
              <w:jc w:val="center"/>
            </w:pPr>
            <w:r>
              <w:rPr>
                <w:sz w:val="24"/>
                <w:szCs w:val="24"/>
              </w:rPr>
              <w:t>24,484,815.77</w:t>
            </w:r>
          </w:p>
        </w:tc>
        <w:tc>
          <w:tcPr>
            <w:tcW w:w="1161" w:type="dxa"/>
            <w:vAlign w:val="center"/>
          </w:tcPr>
          <w:p w:rsidR="002A683B" w:rsidRDefault="00450B22">
            <w:pPr>
              <w:jc w:val="center"/>
            </w:pPr>
            <w:r>
              <w:rPr>
                <w:sz w:val="24"/>
                <w:szCs w:val="24"/>
              </w:rPr>
              <w:t>8.46%</w:t>
            </w:r>
          </w:p>
        </w:tc>
        <w:tc>
          <w:tcPr>
            <w:tcW w:w="1301" w:type="dxa"/>
            <w:vAlign w:val="center"/>
          </w:tcPr>
          <w:p w:rsidR="002A683B" w:rsidRDefault="00450B22">
            <w:pPr>
              <w:jc w:val="center"/>
            </w:pPr>
            <w:r>
              <w:rPr>
                <w:sz w:val="24"/>
                <w:szCs w:val="24"/>
              </w:rPr>
              <w:t>是</w:t>
            </w:r>
          </w:p>
        </w:tc>
      </w:tr>
      <w:tr w:rsidR="002A683B">
        <w:tc>
          <w:tcPr>
            <w:tcW w:w="835" w:type="dxa"/>
            <w:vAlign w:val="center"/>
          </w:tcPr>
          <w:p w:rsidR="002A683B" w:rsidRDefault="00450B22">
            <w:pPr>
              <w:jc w:val="center"/>
            </w:pPr>
            <w:r>
              <w:rPr>
                <w:sz w:val="24"/>
                <w:szCs w:val="24"/>
              </w:rPr>
              <w:t>2</w:t>
            </w:r>
          </w:p>
        </w:tc>
        <w:tc>
          <w:tcPr>
            <w:tcW w:w="1159" w:type="dxa"/>
            <w:vAlign w:val="center"/>
          </w:tcPr>
          <w:p w:rsidR="002A683B" w:rsidRDefault="00450B22">
            <w:pPr>
              <w:jc w:val="center"/>
            </w:pPr>
            <w:r>
              <w:rPr>
                <w:sz w:val="24"/>
                <w:szCs w:val="24"/>
              </w:rPr>
              <w:t>000839</w:t>
            </w:r>
          </w:p>
        </w:tc>
        <w:tc>
          <w:tcPr>
            <w:tcW w:w="1161" w:type="dxa"/>
            <w:vAlign w:val="center"/>
          </w:tcPr>
          <w:p w:rsidR="002A683B" w:rsidRDefault="00450B22">
            <w:pPr>
              <w:jc w:val="center"/>
            </w:pPr>
            <w:r>
              <w:rPr>
                <w:sz w:val="24"/>
                <w:szCs w:val="24"/>
              </w:rPr>
              <w:t>上投摩根纯债丰利债券</w:t>
            </w:r>
            <w:r>
              <w:rPr>
                <w:sz w:val="24"/>
                <w:szCs w:val="24"/>
              </w:rPr>
              <w:t>A</w:t>
            </w:r>
          </w:p>
        </w:tc>
        <w:tc>
          <w:tcPr>
            <w:tcW w:w="1161" w:type="dxa"/>
            <w:vAlign w:val="center"/>
          </w:tcPr>
          <w:p w:rsidR="002A683B" w:rsidRDefault="00450B22">
            <w:pPr>
              <w:jc w:val="center"/>
            </w:pPr>
            <w:r>
              <w:rPr>
                <w:sz w:val="24"/>
                <w:szCs w:val="24"/>
              </w:rPr>
              <w:t>契约型开放式</w:t>
            </w:r>
          </w:p>
        </w:tc>
        <w:tc>
          <w:tcPr>
            <w:tcW w:w="1159" w:type="dxa"/>
            <w:vAlign w:val="center"/>
          </w:tcPr>
          <w:p w:rsidR="002A683B" w:rsidRDefault="00450B22">
            <w:pPr>
              <w:jc w:val="center"/>
            </w:pPr>
            <w:r>
              <w:rPr>
                <w:sz w:val="24"/>
                <w:szCs w:val="24"/>
              </w:rPr>
              <w:t>18,161,117.56</w:t>
            </w:r>
          </w:p>
        </w:tc>
        <w:tc>
          <w:tcPr>
            <w:tcW w:w="1305" w:type="dxa"/>
            <w:vAlign w:val="center"/>
          </w:tcPr>
          <w:p w:rsidR="002A683B" w:rsidRDefault="00450B22">
            <w:pPr>
              <w:jc w:val="center"/>
            </w:pPr>
            <w:r>
              <w:rPr>
                <w:sz w:val="24"/>
                <w:szCs w:val="24"/>
              </w:rPr>
              <w:t>18,593,352.16</w:t>
            </w:r>
          </w:p>
        </w:tc>
        <w:tc>
          <w:tcPr>
            <w:tcW w:w="1161" w:type="dxa"/>
            <w:vAlign w:val="center"/>
          </w:tcPr>
          <w:p w:rsidR="002A683B" w:rsidRDefault="00450B22">
            <w:pPr>
              <w:jc w:val="center"/>
            </w:pPr>
            <w:r>
              <w:rPr>
                <w:sz w:val="24"/>
                <w:szCs w:val="24"/>
              </w:rPr>
              <w:t>6.43%</w:t>
            </w:r>
          </w:p>
        </w:tc>
        <w:tc>
          <w:tcPr>
            <w:tcW w:w="1301" w:type="dxa"/>
            <w:vAlign w:val="center"/>
          </w:tcPr>
          <w:p w:rsidR="002A683B" w:rsidRDefault="00450B22">
            <w:pPr>
              <w:jc w:val="center"/>
            </w:pPr>
            <w:r>
              <w:rPr>
                <w:sz w:val="24"/>
                <w:szCs w:val="24"/>
              </w:rPr>
              <w:t>是</w:t>
            </w:r>
          </w:p>
        </w:tc>
      </w:tr>
      <w:tr w:rsidR="002A683B">
        <w:tc>
          <w:tcPr>
            <w:tcW w:w="835" w:type="dxa"/>
            <w:vAlign w:val="center"/>
          </w:tcPr>
          <w:p w:rsidR="002A683B" w:rsidRDefault="00450B22">
            <w:pPr>
              <w:jc w:val="center"/>
            </w:pPr>
            <w:r>
              <w:rPr>
                <w:sz w:val="24"/>
                <w:szCs w:val="24"/>
              </w:rPr>
              <w:t>3</w:t>
            </w:r>
          </w:p>
        </w:tc>
        <w:tc>
          <w:tcPr>
            <w:tcW w:w="1159" w:type="dxa"/>
            <w:vAlign w:val="center"/>
          </w:tcPr>
          <w:p w:rsidR="002A683B" w:rsidRDefault="00450B22">
            <w:pPr>
              <w:jc w:val="center"/>
            </w:pPr>
            <w:r>
              <w:rPr>
                <w:sz w:val="24"/>
                <w:szCs w:val="24"/>
              </w:rPr>
              <w:t>511010</w:t>
            </w:r>
          </w:p>
        </w:tc>
        <w:tc>
          <w:tcPr>
            <w:tcW w:w="1161" w:type="dxa"/>
            <w:vAlign w:val="center"/>
          </w:tcPr>
          <w:p w:rsidR="002A683B" w:rsidRDefault="00450B22">
            <w:pPr>
              <w:jc w:val="center"/>
            </w:pPr>
            <w:r>
              <w:rPr>
                <w:sz w:val="24"/>
                <w:szCs w:val="24"/>
              </w:rPr>
              <w:t>国泰上证</w:t>
            </w:r>
            <w:r>
              <w:rPr>
                <w:sz w:val="24"/>
                <w:szCs w:val="24"/>
              </w:rPr>
              <w:t>5</w:t>
            </w:r>
            <w:r>
              <w:rPr>
                <w:sz w:val="24"/>
                <w:szCs w:val="24"/>
              </w:rPr>
              <w:t>年期国债</w:t>
            </w:r>
            <w:r>
              <w:rPr>
                <w:sz w:val="24"/>
                <w:szCs w:val="24"/>
              </w:rPr>
              <w:t>ETF</w:t>
            </w:r>
          </w:p>
        </w:tc>
        <w:tc>
          <w:tcPr>
            <w:tcW w:w="1161" w:type="dxa"/>
            <w:vAlign w:val="center"/>
          </w:tcPr>
          <w:p w:rsidR="002A683B" w:rsidRDefault="00450B22">
            <w:pPr>
              <w:jc w:val="center"/>
            </w:pPr>
            <w:r>
              <w:rPr>
                <w:sz w:val="24"/>
                <w:szCs w:val="24"/>
              </w:rPr>
              <w:t>契约型开放式</w:t>
            </w:r>
          </w:p>
        </w:tc>
        <w:tc>
          <w:tcPr>
            <w:tcW w:w="1159" w:type="dxa"/>
            <w:vAlign w:val="center"/>
          </w:tcPr>
          <w:p w:rsidR="002A683B" w:rsidRDefault="00450B22">
            <w:pPr>
              <w:jc w:val="center"/>
            </w:pPr>
            <w:r>
              <w:rPr>
                <w:sz w:val="24"/>
                <w:szCs w:val="24"/>
              </w:rPr>
              <w:t>119,200.00</w:t>
            </w:r>
          </w:p>
        </w:tc>
        <w:tc>
          <w:tcPr>
            <w:tcW w:w="1305" w:type="dxa"/>
            <w:vAlign w:val="center"/>
          </w:tcPr>
          <w:p w:rsidR="002A683B" w:rsidRDefault="00450B22">
            <w:pPr>
              <w:jc w:val="center"/>
            </w:pPr>
            <w:r>
              <w:rPr>
                <w:sz w:val="24"/>
                <w:szCs w:val="24"/>
              </w:rPr>
              <w:t>14,723,941.60</w:t>
            </w:r>
          </w:p>
        </w:tc>
        <w:tc>
          <w:tcPr>
            <w:tcW w:w="1161" w:type="dxa"/>
            <w:vAlign w:val="center"/>
          </w:tcPr>
          <w:p w:rsidR="002A683B" w:rsidRDefault="00450B22">
            <w:pPr>
              <w:jc w:val="center"/>
            </w:pPr>
            <w:r>
              <w:rPr>
                <w:sz w:val="24"/>
                <w:szCs w:val="24"/>
              </w:rPr>
              <w:t>5.09%</w:t>
            </w:r>
          </w:p>
        </w:tc>
        <w:tc>
          <w:tcPr>
            <w:tcW w:w="1301" w:type="dxa"/>
            <w:vAlign w:val="center"/>
          </w:tcPr>
          <w:p w:rsidR="002A683B" w:rsidRDefault="00450B22">
            <w:pPr>
              <w:jc w:val="center"/>
            </w:pPr>
            <w:r>
              <w:rPr>
                <w:sz w:val="24"/>
                <w:szCs w:val="24"/>
              </w:rPr>
              <w:t>否</w:t>
            </w:r>
          </w:p>
        </w:tc>
      </w:tr>
      <w:tr w:rsidR="002A683B">
        <w:tc>
          <w:tcPr>
            <w:tcW w:w="835" w:type="dxa"/>
            <w:vAlign w:val="center"/>
          </w:tcPr>
          <w:p w:rsidR="002A683B" w:rsidRDefault="00450B22">
            <w:pPr>
              <w:jc w:val="center"/>
            </w:pPr>
            <w:r>
              <w:rPr>
                <w:sz w:val="24"/>
                <w:szCs w:val="24"/>
              </w:rPr>
              <w:t>4</w:t>
            </w:r>
          </w:p>
        </w:tc>
        <w:tc>
          <w:tcPr>
            <w:tcW w:w="1159" w:type="dxa"/>
            <w:vAlign w:val="center"/>
          </w:tcPr>
          <w:p w:rsidR="002A683B" w:rsidRDefault="00450B22">
            <w:pPr>
              <w:jc w:val="center"/>
            </w:pPr>
            <w:r>
              <w:rPr>
                <w:sz w:val="24"/>
                <w:szCs w:val="24"/>
              </w:rPr>
              <w:t>004738</w:t>
            </w:r>
          </w:p>
        </w:tc>
        <w:tc>
          <w:tcPr>
            <w:tcW w:w="1161" w:type="dxa"/>
            <w:vAlign w:val="center"/>
          </w:tcPr>
          <w:p w:rsidR="002A683B" w:rsidRDefault="00450B22">
            <w:pPr>
              <w:jc w:val="center"/>
            </w:pPr>
            <w:r>
              <w:rPr>
                <w:sz w:val="24"/>
                <w:szCs w:val="24"/>
              </w:rPr>
              <w:t>上投摩根安隆回报混合</w:t>
            </w:r>
            <w:r>
              <w:rPr>
                <w:sz w:val="24"/>
                <w:szCs w:val="24"/>
              </w:rPr>
              <w:t>A</w:t>
            </w:r>
          </w:p>
        </w:tc>
        <w:tc>
          <w:tcPr>
            <w:tcW w:w="1161" w:type="dxa"/>
            <w:vAlign w:val="center"/>
          </w:tcPr>
          <w:p w:rsidR="002A683B" w:rsidRDefault="00450B22">
            <w:pPr>
              <w:jc w:val="center"/>
            </w:pPr>
            <w:r>
              <w:rPr>
                <w:sz w:val="24"/>
                <w:szCs w:val="24"/>
              </w:rPr>
              <w:t>契约型开放式</w:t>
            </w:r>
          </w:p>
        </w:tc>
        <w:tc>
          <w:tcPr>
            <w:tcW w:w="1159" w:type="dxa"/>
            <w:vAlign w:val="center"/>
          </w:tcPr>
          <w:p w:rsidR="002A683B" w:rsidRDefault="00450B22">
            <w:pPr>
              <w:jc w:val="center"/>
            </w:pPr>
            <w:r>
              <w:rPr>
                <w:sz w:val="24"/>
                <w:szCs w:val="24"/>
              </w:rPr>
              <w:t>11,223,791.99</w:t>
            </w:r>
          </w:p>
        </w:tc>
        <w:tc>
          <w:tcPr>
            <w:tcW w:w="1305" w:type="dxa"/>
            <w:vAlign w:val="center"/>
          </w:tcPr>
          <w:p w:rsidR="002A683B" w:rsidRDefault="00450B22">
            <w:pPr>
              <w:jc w:val="center"/>
            </w:pPr>
            <w:r>
              <w:rPr>
                <w:sz w:val="24"/>
                <w:szCs w:val="24"/>
              </w:rPr>
              <w:t>14,541,544.90</w:t>
            </w:r>
          </w:p>
        </w:tc>
        <w:tc>
          <w:tcPr>
            <w:tcW w:w="1161" w:type="dxa"/>
            <w:vAlign w:val="center"/>
          </w:tcPr>
          <w:p w:rsidR="002A683B" w:rsidRDefault="00450B22">
            <w:pPr>
              <w:jc w:val="center"/>
            </w:pPr>
            <w:r>
              <w:rPr>
                <w:sz w:val="24"/>
                <w:szCs w:val="24"/>
              </w:rPr>
              <w:t>5.03%</w:t>
            </w:r>
          </w:p>
        </w:tc>
        <w:tc>
          <w:tcPr>
            <w:tcW w:w="1301" w:type="dxa"/>
            <w:vAlign w:val="center"/>
          </w:tcPr>
          <w:p w:rsidR="002A683B" w:rsidRDefault="00450B22">
            <w:pPr>
              <w:jc w:val="center"/>
            </w:pPr>
            <w:r>
              <w:rPr>
                <w:sz w:val="24"/>
                <w:szCs w:val="24"/>
              </w:rPr>
              <w:t>是</w:t>
            </w:r>
          </w:p>
        </w:tc>
      </w:tr>
      <w:tr w:rsidR="002A683B">
        <w:tc>
          <w:tcPr>
            <w:tcW w:w="835" w:type="dxa"/>
            <w:vAlign w:val="center"/>
          </w:tcPr>
          <w:p w:rsidR="002A683B" w:rsidRDefault="00450B22">
            <w:pPr>
              <w:jc w:val="center"/>
            </w:pPr>
            <w:r>
              <w:rPr>
                <w:sz w:val="24"/>
                <w:szCs w:val="24"/>
              </w:rPr>
              <w:t>5</w:t>
            </w:r>
          </w:p>
        </w:tc>
        <w:tc>
          <w:tcPr>
            <w:tcW w:w="1159" w:type="dxa"/>
            <w:vAlign w:val="center"/>
          </w:tcPr>
          <w:p w:rsidR="002A683B" w:rsidRDefault="00450B22">
            <w:pPr>
              <w:jc w:val="center"/>
            </w:pPr>
            <w:r>
              <w:rPr>
                <w:sz w:val="24"/>
                <w:szCs w:val="24"/>
              </w:rPr>
              <w:t>000457</w:t>
            </w:r>
          </w:p>
        </w:tc>
        <w:tc>
          <w:tcPr>
            <w:tcW w:w="1161" w:type="dxa"/>
            <w:vAlign w:val="center"/>
          </w:tcPr>
          <w:p w:rsidR="002A683B" w:rsidRDefault="00450B22">
            <w:pPr>
              <w:jc w:val="center"/>
            </w:pPr>
            <w:r>
              <w:rPr>
                <w:sz w:val="24"/>
                <w:szCs w:val="24"/>
              </w:rPr>
              <w:t>上投摩根核心成长股票</w:t>
            </w:r>
          </w:p>
        </w:tc>
        <w:tc>
          <w:tcPr>
            <w:tcW w:w="1161" w:type="dxa"/>
            <w:vAlign w:val="center"/>
          </w:tcPr>
          <w:p w:rsidR="002A683B" w:rsidRDefault="00450B22">
            <w:pPr>
              <w:jc w:val="center"/>
            </w:pPr>
            <w:r>
              <w:rPr>
                <w:sz w:val="24"/>
                <w:szCs w:val="24"/>
              </w:rPr>
              <w:t>契约型开放式</w:t>
            </w:r>
          </w:p>
        </w:tc>
        <w:tc>
          <w:tcPr>
            <w:tcW w:w="1159" w:type="dxa"/>
            <w:vAlign w:val="center"/>
          </w:tcPr>
          <w:p w:rsidR="002A683B" w:rsidRDefault="00450B22">
            <w:pPr>
              <w:jc w:val="center"/>
            </w:pPr>
            <w:r>
              <w:rPr>
                <w:sz w:val="24"/>
                <w:szCs w:val="24"/>
              </w:rPr>
              <w:t>4,316,054.64</w:t>
            </w:r>
          </w:p>
        </w:tc>
        <w:tc>
          <w:tcPr>
            <w:tcW w:w="1305" w:type="dxa"/>
            <w:vAlign w:val="center"/>
          </w:tcPr>
          <w:p w:rsidR="002A683B" w:rsidRDefault="00450B22">
            <w:pPr>
              <w:jc w:val="center"/>
            </w:pPr>
            <w:r>
              <w:rPr>
                <w:sz w:val="24"/>
                <w:szCs w:val="24"/>
              </w:rPr>
              <w:t>12,484,188.05</w:t>
            </w:r>
          </w:p>
        </w:tc>
        <w:tc>
          <w:tcPr>
            <w:tcW w:w="1161" w:type="dxa"/>
            <w:vAlign w:val="center"/>
          </w:tcPr>
          <w:p w:rsidR="002A683B" w:rsidRDefault="00450B22">
            <w:pPr>
              <w:jc w:val="center"/>
            </w:pPr>
            <w:r>
              <w:rPr>
                <w:sz w:val="24"/>
                <w:szCs w:val="24"/>
              </w:rPr>
              <w:t>4.32%</w:t>
            </w:r>
          </w:p>
        </w:tc>
        <w:tc>
          <w:tcPr>
            <w:tcW w:w="1301" w:type="dxa"/>
            <w:vAlign w:val="center"/>
          </w:tcPr>
          <w:p w:rsidR="002A683B" w:rsidRDefault="00450B22">
            <w:pPr>
              <w:jc w:val="center"/>
            </w:pPr>
            <w:r>
              <w:rPr>
                <w:sz w:val="24"/>
                <w:szCs w:val="24"/>
              </w:rPr>
              <w:t>是</w:t>
            </w:r>
          </w:p>
        </w:tc>
      </w:tr>
      <w:tr w:rsidR="002A683B">
        <w:tc>
          <w:tcPr>
            <w:tcW w:w="835" w:type="dxa"/>
            <w:vAlign w:val="center"/>
          </w:tcPr>
          <w:p w:rsidR="002A683B" w:rsidRDefault="00450B22">
            <w:pPr>
              <w:jc w:val="center"/>
            </w:pPr>
            <w:r>
              <w:rPr>
                <w:sz w:val="24"/>
                <w:szCs w:val="24"/>
              </w:rPr>
              <w:t>6</w:t>
            </w:r>
          </w:p>
        </w:tc>
        <w:tc>
          <w:tcPr>
            <w:tcW w:w="1159" w:type="dxa"/>
            <w:vAlign w:val="center"/>
          </w:tcPr>
          <w:p w:rsidR="002A683B" w:rsidRDefault="00450B22">
            <w:pPr>
              <w:jc w:val="center"/>
            </w:pPr>
            <w:r>
              <w:rPr>
                <w:sz w:val="24"/>
                <w:szCs w:val="24"/>
              </w:rPr>
              <w:t>370027</w:t>
            </w:r>
          </w:p>
        </w:tc>
        <w:tc>
          <w:tcPr>
            <w:tcW w:w="1161" w:type="dxa"/>
            <w:vAlign w:val="center"/>
          </w:tcPr>
          <w:p w:rsidR="002A683B" w:rsidRDefault="00450B22">
            <w:pPr>
              <w:jc w:val="center"/>
            </w:pPr>
            <w:r>
              <w:rPr>
                <w:sz w:val="24"/>
                <w:szCs w:val="24"/>
              </w:rPr>
              <w:t>上投摩根智选</w:t>
            </w:r>
            <w:r>
              <w:rPr>
                <w:sz w:val="24"/>
                <w:szCs w:val="24"/>
              </w:rPr>
              <w:t>30</w:t>
            </w:r>
            <w:r>
              <w:rPr>
                <w:sz w:val="24"/>
                <w:szCs w:val="24"/>
              </w:rPr>
              <w:t>混合</w:t>
            </w:r>
          </w:p>
        </w:tc>
        <w:tc>
          <w:tcPr>
            <w:tcW w:w="1161" w:type="dxa"/>
            <w:vAlign w:val="center"/>
          </w:tcPr>
          <w:p w:rsidR="002A683B" w:rsidRDefault="00450B22">
            <w:pPr>
              <w:jc w:val="center"/>
            </w:pPr>
            <w:r>
              <w:rPr>
                <w:sz w:val="24"/>
                <w:szCs w:val="24"/>
              </w:rPr>
              <w:t>契约型开放式</w:t>
            </w:r>
          </w:p>
        </w:tc>
        <w:tc>
          <w:tcPr>
            <w:tcW w:w="1159" w:type="dxa"/>
            <w:vAlign w:val="center"/>
          </w:tcPr>
          <w:p w:rsidR="002A683B" w:rsidRDefault="00450B22">
            <w:pPr>
              <w:jc w:val="center"/>
            </w:pPr>
            <w:r>
              <w:rPr>
                <w:sz w:val="24"/>
                <w:szCs w:val="24"/>
              </w:rPr>
              <w:t>3,180,814.40</w:t>
            </w:r>
          </w:p>
        </w:tc>
        <w:tc>
          <w:tcPr>
            <w:tcW w:w="1305" w:type="dxa"/>
            <w:vAlign w:val="center"/>
          </w:tcPr>
          <w:p w:rsidR="002A683B" w:rsidRDefault="00450B22">
            <w:pPr>
              <w:jc w:val="center"/>
            </w:pPr>
            <w:r>
              <w:rPr>
                <w:sz w:val="24"/>
                <w:szCs w:val="24"/>
              </w:rPr>
              <w:t>12,101,090.30</w:t>
            </w:r>
          </w:p>
        </w:tc>
        <w:tc>
          <w:tcPr>
            <w:tcW w:w="1161" w:type="dxa"/>
            <w:vAlign w:val="center"/>
          </w:tcPr>
          <w:p w:rsidR="002A683B" w:rsidRDefault="00450B22">
            <w:pPr>
              <w:jc w:val="center"/>
            </w:pPr>
            <w:r>
              <w:rPr>
                <w:sz w:val="24"/>
                <w:szCs w:val="24"/>
              </w:rPr>
              <w:t>4.18%</w:t>
            </w:r>
          </w:p>
        </w:tc>
        <w:tc>
          <w:tcPr>
            <w:tcW w:w="1301" w:type="dxa"/>
            <w:vAlign w:val="center"/>
          </w:tcPr>
          <w:p w:rsidR="002A683B" w:rsidRDefault="00450B22">
            <w:pPr>
              <w:jc w:val="center"/>
            </w:pPr>
            <w:r>
              <w:rPr>
                <w:sz w:val="24"/>
                <w:szCs w:val="24"/>
              </w:rPr>
              <w:t>是</w:t>
            </w:r>
          </w:p>
        </w:tc>
      </w:tr>
      <w:tr w:rsidR="002A683B">
        <w:tc>
          <w:tcPr>
            <w:tcW w:w="835" w:type="dxa"/>
            <w:vAlign w:val="center"/>
          </w:tcPr>
          <w:p w:rsidR="002A683B" w:rsidRDefault="00450B22">
            <w:pPr>
              <w:jc w:val="center"/>
            </w:pPr>
            <w:r>
              <w:rPr>
                <w:sz w:val="24"/>
                <w:szCs w:val="24"/>
              </w:rPr>
              <w:t>7</w:t>
            </w:r>
          </w:p>
        </w:tc>
        <w:tc>
          <w:tcPr>
            <w:tcW w:w="1159" w:type="dxa"/>
            <w:vAlign w:val="center"/>
          </w:tcPr>
          <w:p w:rsidR="002A683B" w:rsidRDefault="00450B22">
            <w:pPr>
              <w:jc w:val="center"/>
            </w:pPr>
            <w:r>
              <w:rPr>
                <w:sz w:val="24"/>
                <w:szCs w:val="24"/>
              </w:rPr>
              <w:t>000713</w:t>
            </w:r>
          </w:p>
        </w:tc>
        <w:tc>
          <w:tcPr>
            <w:tcW w:w="1161" w:type="dxa"/>
            <w:vAlign w:val="center"/>
          </w:tcPr>
          <w:p w:rsidR="002A683B" w:rsidRDefault="00450B22">
            <w:pPr>
              <w:jc w:val="center"/>
            </w:pPr>
            <w:r>
              <w:rPr>
                <w:sz w:val="24"/>
                <w:szCs w:val="24"/>
              </w:rPr>
              <w:t>上投摩根天添宝货币</w:t>
            </w:r>
            <w:r>
              <w:rPr>
                <w:sz w:val="24"/>
                <w:szCs w:val="24"/>
              </w:rPr>
              <w:t>B</w:t>
            </w:r>
          </w:p>
        </w:tc>
        <w:tc>
          <w:tcPr>
            <w:tcW w:w="1161" w:type="dxa"/>
            <w:vAlign w:val="center"/>
          </w:tcPr>
          <w:p w:rsidR="002A683B" w:rsidRDefault="00450B22">
            <w:pPr>
              <w:jc w:val="center"/>
            </w:pPr>
            <w:r>
              <w:rPr>
                <w:sz w:val="24"/>
                <w:szCs w:val="24"/>
              </w:rPr>
              <w:t>契约型开放式</w:t>
            </w:r>
          </w:p>
        </w:tc>
        <w:tc>
          <w:tcPr>
            <w:tcW w:w="1159" w:type="dxa"/>
            <w:vAlign w:val="center"/>
          </w:tcPr>
          <w:p w:rsidR="002A683B" w:rsidRDefault="00450B22">
            <w:pPr>
              <w:jc w:val="center"/>
            </w:pPr>
            <w:r>
              <w:rPr>
                <w:sz w:val="24"/>
                <w:szCs w:val="24"/>
              </w:rPr>
              <w:t>12,078,645.42</w:t>
            </w:r>
          </w:p>
        </w:tc>
        <w:tc>
          <w:tcPr>
            <w:tcW w:w="1305" w:type="dxa"/>
            <w:vAlign w:val="center"/>
          </w:tcPr>
          <w:p w:rsidR="002A683B" w:rsidRDefault="00450B22">
            <w:pPr>
              <w:jc w:val="center"/>
            </w:pPr>
            <w:r>
              <w:rPr>
                <w:sz w:val="24"/>
                <w:szCs w:val="24"/>
              </w:rPr>
              <w:t>12,078,645.42</w:t>
            </w:r>
          </w:p>
        </w:tc>
        <w:tc>
          <w:tcPr>
            <w:tcW w:w="1161" w:type="dxa"/>
            <w:vAlign w:val="center"/>
          </w:tcPr>
          <w:p w:rsidR="002A683B" w:rsidRDefault="00450B22">
            <w:pPr>
              <w:jc w:val="center"/>
            </w:pPr>
            <w:r>
              <w:rPr>
                <w:sz w:val="24"/>
                <w:szCs w:val="24"/>
              </w:rPr>
              <w:t>4.18%</w:t>
            </w:r>
          </w:p>
        </w:tc>
        <w:tc>
          <w:tcPr>
            <w:tcW w:w="1301" w:type="dxa"/>
            <w:vAlign w:val="center"/>
          </w:tcPr>
          <w:p w:rsidR="002A683B" w:rsidRDefault="00450B22">
            <w:pPr>
              <w:jc w:val="center"/>
            </w:pPr>
            <w:r>
              <w:rPr>
                <w:sz w:val="24"/>
                <w:szCs w:val="24"/>
              </w:rPr>
              <w:t>是</w:t>
            </w:r>
          </w:p>
        </w:tc>
      </w:tr>
      <w:tr w:rsidR="002A683B">
        <w:tc>
          <w:tcPr>
            <w:tcW w:w="835" w:type="dxa"/>
            <w:vAlign w:val="center"/>
          </w:tcPr>
          <w:p w:rsidR="002A683B" w:rsidRDefault="00450B22">
            <w:pPr>
              <w:jc w:val="center"/>
            </w:pPr>
            <w:r>
              <w:rPr>
                <w:sz w:val="24"/>
                <w:szCs w:val="24"/>
              </w:rPr>
              <w:t>8</w:t>
            </w:r>
          </w:p>
        </w:tc>
        <w:tc>
          <w:tcPr>
            <w:tcW w:w="1159" w:type="dxa"/>
            <w:vAlign w:val="center"/>
          </w:tcPr>
          <w:p w:rsidR="002A683B" w:rsidRDefault="00450B22">
            <w:pPr>
              <w:jc w:val="center"/>
            </w:pPr>
            <w:r>
              <w:rPr>
                <w:sz w:val="24"/>
                <w:szCs w:val="24"/>
              </w:rPr>
              <w:t>377530</w:t>
            </w:r>
          </w:p>
        </w:tc>
        <w:tc>
          <w:tcPr>
            <w:tcW w:w="1161" w:type="dxa"/>
            <w:vAlign w:val="center"/>
          </w:tcPr>
          <w:p w:rsidR="002A683B" w:rsidRDefault="00450B22">
            <w:pPr>
              <w:jc w:val="center"/>
            </w:pPr>
            <w:r>
              <w:rPr>
                <w:sz w:val="24"/>
                <w:szCs w:val="24"/>
              </w:rPr>
              <w:t>上投摩根行业轮动混合</w:t>
            </w:r>
            <w:r>
              <w:rPr>
                <w:sz w:val="24"/>
                <w:szCs w:val="24"/>
              </w:rPr>
              <w:t>A</w:t>
            </w:r>
          </w:p>
        </w:tc>
        <w:tc>
          <w:tcPr>
            <w:tcW w:w="1161" w:type="dxa"/>
            <w:vAlign w:val="center"/>
          </w:tcPr>
          <w:p w:rsidR="002A683B" w:rsidRDefault="00450B22">
            <w:pPr>
              <w:jc w:val="center"/>
            </w:pPr>
            <w:r>
              <w:rPr>
                <w:sz w:val="24"/>
                <w:szCs w:val="24"/>
              </w:rPr>
              <w:t>契约型开放式</w:t>
            </w:r>
          </w:p>
        </w:tc>
        <w:tc>
          <w:tcPr>
            <w:tcW w:w="1159" w:type="dxa"/>
            <w:vAlign w:val="center"/>
          </w:tcPr>
          <w:p w:rsidR="002A683B" w:rsidRDefault="00450B22">
            <w:pPr>
              <w:jc w:val="center"/>
            </w:pPr>
            <w:r>
              <w:rPr>
                <w:sz w:val="24"/>
                <w:szCs w:val="24"/>
              </w:rPr>
              <w:t>2,819,406.97</w:t>
            </w:r>
          </w:p>
        </w:tc>
        <w:tc>
          <w:tcPr>
            <w:tcW w:w="1305" w:type="dxa"/>
            <w:vAlign w:val="center"/>
          </w:tcPr>
          <w:p w:rsidR="002A683B" w:rsidRDefault="00450B22">
            <w:pPr>
              <w:jc w:val="center"/>
            </w:pPr>
            <w:r>
              <w:rPr>
                <w:sz w:val="24"/>
                <w:szCs w:val="24"/>
              </w:rPr>
              <w:t>11,824,592.83</w:t>
            </w:r>
          </w:p>
        </w:tc>
        <w:tc>
          <w:tcPr>
            <w:tcW w:w="1161" w:type="dxa"/>
            <w:vAlign w:val="center"/>
          </w:tcPr>
          <w:p w:rsidR="002A683B" w:rsidRDefault="00450B22">
            <w:pPr>
              <w:jc w:val="center"/>
            </w:pPr>
            <w:r>
              <w:rPr>
                <w:sz w:val="24"/>
                <w:szCs w:val="24"/>
              </w:rPr>
              <w:t>4.09%</w:t>
            </w:r>
          </w:p>
        </w:tc>
        <w:tc>
          <w:tcPr>
            <w:tcW w:w="1301" w:type="dxa"/>
            <w:vAlign w:val="center"/>
          </w:tcPr>
          <w:p w:rsidR="002A683B" w:rsidRDefault="00450B22">
            <w:pPr>
              <w:jc w:val="center"/>
            </w:pPr>
            <w:r>
              <w:rPr>
                <w:sz w:val="24"/>
                <w:szCs w:val="24"/>
              </w:rPr>
              <w:t>是</w:t>
            </w:r>
          </w:p>
        </w:tc>
      </w:tr>
      <w:tr w:rsidR="002A683B">
        <w:tc>
          <w:tcPr>
            <w:tcW w:w="835" w:type="dxa"/>
            <w:vAlign w:val="center"/>
          </w:tcPr>
          <w:p w:rsidR="002A683B" w:rsidRDefault="00450B22">
            <w:pPr>
              <w:jc w:val="center"/>
            </w:pPr>
            <w:r>
              <w:rPr>
                <w:sz w:val="24"/>
                <w:szCs w:val="24"/>
              </w:rPr>
              <w:t>9</w:t>
            </w:r>
          </w:p>
        </w:tc>
        <w:tc>
          <w:tcPr>
            <w:tcW w:w="1159" w:type="dxa"/>
            <w:vAlign w:val="center"/>
          </w:tcPr>
          <w:p w:rsidR="002A683B" w:rsidRDefault="00450B22">
            <w:pPr>
              <w:jc w:val="center"/>
            </w:pPr>
            <w:r>
              <w:rPr>
                <w:sz w:val="24"/>
                <w:szCs w:val="24"/>
              </w:rPr>
              <w:t>377010</w:t>
            </w:r>
          </w:p>
        </w:tc>
        <w:tc>
          <w:tcPr>
            <w:tcW w:w="1161" w:type="dxa"/>
            <w:vAlign w:val="center"/>
          </w:tcPr>
          <w:p w:rsidR="002A683B" w:rsidRDefault="00450B22">
            <w:pPr>
              <w:jc w:val="center"/>
            </w:pPr>
            <w:r>
              <w:rPr>
                <w:sz w:val="24"/>
                <w:szCs w:val="24"/>
              </w:rPr>
              <w:t>上投摩根阿尔法混合</w:t>
            </w:r>
          </w:p>
        </w:tc>
        <w:tc>
          <w:tcPr>
            <w:tcW w:w="1161" w:type="dxa"/>
            <w:vAlign w:val="center"/>
          </w:tcPr>
          <w:p w:rsidR="002A683B" w:rsidRDefault="00450B22">
            <w:pPr>
              <w:jc w:val="center"/>
            </w:pPr>
            <w:r>
              <w:rPr>
                <w:sz w:val="24"/>
                <w:szCs w:val="24"/>
              </w:rPr>
              <w:t>契约型开放式</w:t>
            </w:r>
          </w:p>
        </w:tc>
        <w:tc>
          <w:tcPr>
            <w:tcW w:w="1159" w:type="dxa"/>
            <w:vAlign w:val="center"/>
          </w:tcPr>
          <w:p w:rsidR="002A683B" w:rsidRDefault="00450B22">
            <w:pPr>
              <w:jc w:val="center"/>
            </w:pPr>
            <w:r>
              <w:rPr>
                <w:sz w:val="24"/>
                <w:szCs w:val="24"/>
              </w:rPr>
              <w:t>2,017,810.89</w:t>
            </w:r>
          </w:p>
        </w:tc>
        <w:tc>
          <w:tcPr>
            <w:tcW w:w="1305" w:type="dxa"/>
            <w:vAlign w:val="center"/>
          </w:tcPr>
          <w:p w:rsidR="002A683B" w:rsidRDefault="00450B22">
            <w:pPr>
              <w:jc w:val="center"/>
            </w:pPr>
            <w:r>
              <w:rPr>
                <w:sz w:val="24"/>
                <w:szCs w:val="24"/>
              </w:rPr>
              <w:t>11,448,655.43</w:t>
            </w:r>
          </w:p>
        </w:tc>
        <w:tc>
          <w:tcPr>
            <w:tcW w:w="1161" w:type="dxa"/>
            <w:vAlign w:val="center"/>
          </w:tcPr>
          <w:p w:rsidR="002A683B" w:rsidRDefault="00450B22">
            <w:pPr>
              <w:jc w:val="center"/>
            </w:pPr>
            <w:r>
              <w:rPr>
                <w:sz w:val="24"/>
                <w:szCs w:val="24"/>
              </w:rPr>
              <w:t>3.96%</w:t>
            </w:r>
          </w:p>
        </w:tc>
        <w:tc>
          <w:tcPr>
            <w:tcW w:w="1301" w:type="dxa"/>
            <w:vAlign w:val="center"/>
          </w:tcPr>
          <w:p w:rsidR="002A683B" w:rsidRDefault="00450B22">
            <w:pPr>
              <w:jc w:val="center"/>
            </w:pPr>
            <w:r>
              <w:rPr>
                <w:sz w:val="24"/>
                <w:szCs w:val="24"/>
              </w:rPr>
              <w:t>是</w:t>
            </w:r>
          </w:p>
        </w:tc>
      </w:tr>
      <w:tr w:rsidR="002A683B">
        <w:tc>
          <w:tcPr>
            <w:tcW w:w="835" w:type="dxa"/>
            <w:vAlign w:val="center"/>
          </w:tcPr>
          <w:p w:rsidR="002A683B" w:rsidRDefault="00450B22">
            <w:pPr>
              <w:jc w:val="center"/>
            </w:pPr>
            <w:r>
              <w:rPr>
                <w:sz w:val="24"/>
                <w:szCs w:val="24"/>
              </w:rPr>
              <w:t>10</w:t>
            </w:r>
          </w:p>
        </w:tc>
        <w:tc>
          <w:tcPr>
            <w:tcW w:w="1159" w:type="dxa"/>
            <w:vAlign w:val="center"/>
          </w:tcPr>
          <w:p w:rsidR="002A683B" w:rsidRDefault="00450B22">
            <w:pPr>
              <w:jc w:val="center"/>
            </w:pPr>
            <w:r>
              <w:rPr>
                <w:sz w:val="24"/>
                <w:szCs w:val="24"/>
              </w:rPr>
              <w:t>968048</w:t>
            </w:r>
          </w:p>
        </w:tc>
        <w:tc>
          <w:tcPr>
            <w:tcW w:w="1161" w:type="dxa"/>
            <w:vAlign w:val="center"/>
          </w:tcPr>
          <w:p w:rsidR="002A683B" w:rsidRDefault="00450B22">
            <w:pPr>
              <w:jc w:val="center"/>
            </w:pPr>
            <w:r>
              <w:rPr>
                <w:sz w:val="24"/>
                <w:szCs w:val="24"/>
              </w:rPr>
              <w:t>摩根亚洲股息人民币累计</w:t>
            </w:r>
          </w:p>
        </w:tc>
        <w:tc>
          <w:tcPr>
            <w:tcW w:w="1161" w:type="dxa"/>
            <w:vAlign w:val="center"/>
          </w:tcPr>
          <w:p w:rsidR="002A683B" w:rsidRDefault="00450B22">
            <w:pPr>
              <w:jc w:val="center"/>
            </w:pPr>
            <w:r>
              <w:rPr>
                <w:sz w:val="24"/>
                <w:szCs w:val="24"/>
              </w:rPr>
              <w:t>契约型开放式</w:t>
            </w:r>
          </w:p>
        </w:tc>
        <w:tc>
          <w:tcPr>
            <w:tcW w:w="1159" w:type="dxa"/>
            <w:vAlign w:val="center"/>
          </w:tcPr>
          <w:p w:rsidR="002A683B" w:rsidRDefault="00450B22">
            <w:pPr>
              <w:jc w:val="center"/>
            </w:pPr>
            <w:r>
              <w:rPr>
                <w:sz w:val="24"/>
                <w:szCs w:val="24"/>
              </w:rPr>
              <w:t>953,207.48</w:t>
            </w:r>
          </w:p>
        </w:tc>
        <w:tc>
          <w:tcPr>
            <w:tcW w:w="1305" w:type="dxa"/>
            <w:vAlign w:val="center"/>
          </w:tcPr>
          <w:p w:rsidR="002A683B" w:rsidRDefault="00450B22">
            <w:pPr>
              <w:jc w:val="center"/>
            </w:pPr>
            <w:r>
              <w:rPr>
                <w:sz w:val="24"/>
                <w:szCs w:val="24"/>
              </w:rPr>
              <w:t>11,095,335.07</w:t>
            </w:r>
          </w:p>
        </w:tc>
        <w:tc>
          <w:tcPr>
            <w:tcW w:w="1161" w:type="dxa"/>
            <w:vAlign w:val="center"/>
          </w:tcPr>
          <w:p w:rsidR="002A683B" w:rsidRDefault="00450B22">
            <w:pPr>
              <w:jc w:val="center"/>
            </w:pPr>
            <w:r>
              <w:rPr>
                <w:sz w:val="24"/>
                <w:szCs w:val="24"/>
              </w:rPr>
              <w:t>3.84%</w:t>
            </w:r>
          </w:p>
        </w:tc>
        <w:tc>
          <w:tcPr>
            <w:tcW w:w="1301" w:type="dxa"/>
            <w:vAlign w:val="center"/>
          </w:tcPr>
          <w:p w:rsidR="002A683B" w:rsidRDefault="00450B22">
            <w:pPr>
              <w:jc w:val="center"/>
            </w:pPr>
            <w:r>
              <w:rPr>
                <w:sz w:val="24"/>
                <w:szCs w:val="24"/>
              </w:rPr>
              <w:t>是</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CD14C0">
            <w:pPr>
              <w:spacing w:line="276" w:lineRule="auto"/>
              <w:jc w:val="center"/>
              <w:rPr>
                <w:sz w:val="24"/>
                <w:szCs w:val="24"/>
              </w:rPr>
            </w:pPr>
            <w:r w:rsidRPr="00575270">
              <w:rPr>
                <w:sz w:val="24"/>
                <w:szCs w:val="24"/>
              </w:rPr>
              <w:t>其中：交易及持有基金管理</w:t>
            </w:r>
            <w:r w:rsidRPr="00575270">
              <w:rPr>
                <w:sz w:val="24"/>
                <w:szCs w:val="24"/>
              </w:rPr>
              <w:lastRenderedPageBreak/>
              <w:t>人以及管理人关联方所管理基金产生的费用</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lastRenderedPageBreak/>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1,000.00</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0.00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16,785.18</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10,417.30</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1F3E2A" w:rsidP="00450B22">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300.2</w:t>
            </w:r>
            <w:r w:rsidR="00450B22">
              <w:rPr>
                <w:rFonts w:eastAsiaTheme="minorEastAsia"/>
                <w:color w:val="000000" w:themeColor="text1"/>
                <w:sz w:val="24"/>
                <w:szCs w:val="24"/>
              </w:rPr>
              <w:t>3</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w:t>
            </w:r>
            <w:r w:rsidR="00450B22">
              <w:rPr>
                <w:rFonts w:eastAsiaTheme="minorEastAsia" w:hint="eastAsia"/>
                <w:color w:val="000000" w:themeColor="text1"/>
                <w:sz w:val="24"/>
                <w:szCs w:val="24"/>
              </w:rPr>
              <w:t>00.</w:t>
            </w:r>
            <w:r w:rsidRPr="00575270">
              <w:rPr>
                <w:rFonts w:eastAsiaTheme="minorEastAsia" w:hint="eastAsia"/>
                <w:color w:val="000000" w:themeColor="text1"/>
                <w:sz w:val="24"/>
                <w:szCs w:val="24"/>
              </w:rPr>
              <w:t>2</w:t>
            </w:r>
            <w:r w:rsidR="00450B22">
              <w:rPr>
                <w:rFonts w:eastAsiaTheme="minorEastAsia"/>
                <w:color w:val="000000" w:themeColor="text1"/>
                <w:sz w:val="24"/>
                <w:szCs w:val="24"/>
              </w:rPr>
              <w:t>3</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520,059.61</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436,183.03</w:t>
            </w:r>
          </w:p>
        </w:tc>
      </w:tr>
      <w:tr w:rsidR="001F3E2A" w:rsidRPr="00575270" w:rsidTr="00CD14C0">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96,518.81</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76,112.90</w:t>
            </w:r>
          </w:p>
        </w:tc>
      </w:tr>
      <w:tr w:rsidR="002A683B">
        <w:tc>
          <w:tcPr>
            <w:tcW w:w="3012" w:type="dxa"/>
            <w:vAlign w:val="center"/>
          </w:tcPr>
          <w:p w:rsidR="002A683B" w:rsidRDefault="00450B22">
            <w:pPr>
              <w:jc w:val="left"/>
            </w:pPr>
            <w:r>
              <w:rPr>
                <w:rFonts w:eastAsiaTheme="minorEastAsia"/>
                <w:color w:val="000000" w:themeColor="text1"/>
                <w:sz w:val="24"/>
                <w:szCs w:val="24"/>
              </w:rPr>
              <w:t>当期交易基金产生的交易费（元）</w:t>
            </w:r>
          </w:p>
        </w:tc>
        <w:tc>
          <w:tcPr>
            <w:tcW w:w="3012" w:type="dxa"/>
            <w:vAlign w:val="center"/>
          </w:tcPr>
          <w:p w:rsidR="002A683B" w:rsidRDefault="00450B22">
            <w:pPr>
              <w:jc w:val="right"/>
            </w:pPr>
            <w:r>
              <w:rPr>
                <w:rFonts w:eastAsiaTheme="minorEastAsia"/>
                <w:color w:val="000000" w:themeColor="text1"/>
                <w:sz w:val="24"/>
                <w:szCs w:val="24"/>
              </w:rPr>
              <w:t>45,468.29</w:t>
            </w:r>
          </w:p>
        </w:tc>
        <w:tc>
          <w:tcPr>
            <w:tcW w:w="3012" w:type="dxa"/>
            <w:vAlign w:val="center"/>
          </w:tcPr>
          <w:p w:rsidR="002A683B" w:rsidRDefault="00450B22">
            <w:pPr>
              <w:jc w:val="right"/>
            </w:pPr>
            <w:r>
              <w:rPr>
                <w:rFonts w:eastAsiaTheme="minorEastAsia"/>
                <w:color w:val="000000" w:themeColor="text1"/>
                <w:sz w:val="24"/>
                <w:szCs w:val="24"/>
              </w:rPr>
              <w:t>0.00</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213,991,995.61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1,101,765.12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215,093,760.73</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f2"/>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30,003,050.00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lastRenderedPageBreak/>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30,003,050.00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13.95</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无。</w:t>
      </w:r>
    </w:p>
    <w:p w:rsidR="00480B35" w:rsidRPr="00414345" w:rsidRDefault="00480B35" w:rsidP="00C15CAC">
      <w:pPr>
        <w:autoSpaceDE w:val="0"/>
        <w:autoSpaceDN w:val="0"/>
        <w:adjustRightInd w:val="0"/>
        <w:spacing w:before="29" w:line="288" w:lineRule="auto"/>
        <w:jc w:val="left"/>
        <w:rPr>
          <w:color w:val="000000"/>
          <w:sz w:val="24"/>
        </w:rPr>
      </w:pPr>
    </w:p>
    <w:p w:rsidR="005B09FA" w:rsidRPr="00414345" w:rsidRDefault="005B09FA" w:rsidP="00C15CAC">
      <w:pPr>
        <w:autoSpaceDE w:val="0"/>
        <w:autoSpaceDN w:val="0"/>
        <w:adjustRightInd w:val="0"/>
        <w:spacing w:before="29" w:line="288" w:lineRule="auto"/>
        <w:jc w:val="left"/>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A683B" w:rsidRDefault="00450B22">
      <w:pPr>
        <w:spacing w:before="29" w:line="288" w:lineRule="auto"/>
        <w:ind w:firstLineChars="200" w:firstLine="480"/>
        <w:rPr>
          <w:color w:val="000000"/>
          <w:sz w:val="24"/>
          <w:szCs w:val="24"/>
        </w:rPr>
      </w:pPr>
      <w:r>
        <w:rPr>
          <w:color w:val="000000"/>
          <w:sz w:val="24"/>
          <w:szCs w:val="24"/>
        </w:rPr>
        <w:t xml:space="preserve">1. </w:t>
      </w:r>
      <w:r>
        <w:rPr>
          <w:color w:val="000000"/>
          <w:sz w:val="24"/>
          <w:szCs w:val="24"/>
        </w:rPr>
        <w:t>中国证监会准予上投摩根锦程均衡养老目标三年持有期混合型基金中基金</w:t>
      </w:r>
      <w:r>
        <w:rPr>
          <w:color w:val="000000"/>
          <w:sz w:val="24"/>
          <w:szCs w:val="24"/>
        </w:rPr>
        <w:t>(FOF)</w:t>
      </w:r>
      <w:r>
        <w:rPr>
          <w:color w:val="000000"/>
          <w:sz w:val="24"/>
          <w:szCs w:val="24"/>
        </w:rPr>
        <w:t>募集注册的文件；</w:t>
      </w:r>
      <w:r>
        <w:rPr>
          <w:color w:val="000000"/>
          <w:sz w:val="24"/>
          <w:szCs w:val="24"/>
        </w:rPr>
        <w:t xml:space="preserve"> </w:t>
      </w:r>
    </w:p>
    <w:p w:rsidR="002A683B" w:rsidRDefault="00450B22">
      <w:pPr>
        <w:spacing w:before="29" w:line="288" w:lineRule="auto"/>
        <w:ind w:firstLineChars="200" w:firstLine="480"/>
        <w:rPr>
          <w:color w:val="000000"/>
          <w:sz w:val="24"/>
          <w:szCs w:val="24"/>
        </w:rPr>
      </w:pPr>
      <w:r>
        <w:rPr>
          <w:color w:val="000000"/>
          <w:sz w:val="24"/>
          <w:szCs w:val="24"/>
        </w:rPr>
        <w:t xml:space="preserve">2. </w:t>
      </w:r>
      <w:r>
        <w:rPr>
          <w:color w:val="000000"/>
          <w:sz w:val="24"/>
          <w:szCs w:val="24"/>
        </w:rPr>
        <w:t>《上投摩根锦程均衡养老目标三年持有期混合型基金中基金</w:t>
      </w:r>
      <w:r>
        <w:rPr>
          <w:color w:val="000000"/>
          <w:sz w:val="24"/>
          <w:szCs w:val="24"/>
        </w:rPr>
        <w:t>(FOF)</w:t>
      </w:r>
      <w:r>
        <w:rPr>
          <w:color w:val="000000"/>
          <w:sz w:val="24"/>
          <w:szCs w:val="24"/>
        </w:rPr>
        <w:t>基金合同》；</w:t>
      </w:r>
      <w:r>
        <w:rPr>
          <w:color w:val="000000"/>
          <w:sz w:val="24"/>
          <w:szCs w:val="24"/>
        </w:rPr>
        <w:t xml:space="preserve"> </w:t>
      </w:r>
    </w:p>
    <w:p w:rsidR="002A683B" w:rsidRDefault="00450B22">
      <w:pPr>
        <w:spacing w:before="29" w:line="288" w:lineRule="auto"/>
        <w:ind w:firstLineChars="200" w:firstLine="480"/>
        <w:rPr>
          <w:color w:val="000000"/>
          <w:sz w:val="24"/>
          <w:szCs w:val="24"/>
        </w:rPr>
      </w:pPr>
      <w:r>
        <w:rPr>
          <w:color w:val="000000"/>
          <w:sz w:val="24"/>
          <w:szCs w:val="24"/>
        </w:rPr>
        <w:t xml:space="preserve">3. </w:t>
      </w:r>
      <w:r>
        <w:rPr>
          <w:color w:val="000000"/>
          <w:sz w:val="24"/>
          <w:szCs w:val="24"/>
        </w:rPr>
        <w:t>《上投摩根锦程均衡养老目标三年持有期混合型基金中基金</w:t>
      </w:r>
      <w:r>
        <w:rPr>
          <w:color w:val="000000"/>
          <w:sz w:val="24"/>
          <w:szCs w:val="24"/>
        </w:rPr>
        <w:t>(FOF)</w:t>
      </w:r>
      <w:r>
        <w:rPr>
          <w:color w:val="000000"/>
          <w:sz w:val="24"/>
          <w:szCs w:val="24"/>
        </w:rPr>
        <w:t>托管协议》；</w:t>
      </w:r>
      <w:r>
        <w:rPr>
          <w:color w:val="000000"/>
          <w:sz w:val="24"/>
          <w:szCs w:val="24"/>
        </w:rPr>
        <w:t xml:space="preserve"> </w:t>
      </w:r>
    </w:p>
    <w:p w:rsidR="002A683B" w:rsidRDefault="00450B22">
      <w:pPr>
        <w:spacing w:before="29" w:line="288" w:lineRule="auto"/>
        <w:ind w:firstLineChars="200" w:firstLine="480"/>
        <w:rPr>
          <w:color w:val="000000"/>
          <w:sz w:val="24"/>
          <w:szCs w:val="24"/>
        </w:rPr>
      </w:pPr>
      <w:r>
        <w:rPr>
          <w:color w:val="000000"/>
          <w:sz w:val="24"/>
          <w:szCs w:val="24"/>
        </w:rPr>
        <w:t xml:space="preserve">4. </w:t>
      </w:r>
      <w:r>
        <w:rPr>
          <w:color w:val="000000"/>
          <w:sz w:val="24"/>
          <w:szCs w:val="24"/>
        </w:rPr>
        <w:t>《上投摩根基金管理有限公司开放式基金业务规则》；</w:t>
      </w:r>
    </w:p>
    <w:p w:rsidR="002A683B" w:rsidRDefault="00450B22">
      <w:pPr>
        <w:spacing w:before="29" w:line="288" w:lineRule="auto"/>
        <w:ind w:firstLineChars="200" w:firstLine="480"/>
        <w:rPr>
          <w:color w:val="000000"/>
          <w:sz w:val="24"/>
          <w:szCs w:val="24"/>
        </w:rPr>
      </w:pPr>
      <w:r>
        <w:rPr>
          <w:color w:val="000000"/>
          <w:sz w:val="24"/>
          <w:szCs w:val="24"/>
        </w:rPr>
        <w:t xml:space="preserve">5. </w:t>
      </w:r>
      <w:r>
        <w:rPr>
          <w:color w:val="000000"/>
          <w:sz w:val="24"/>
          <w:szCs w:val="24"/>
        </w:rPr>
        <w:t>基金管理人业务资格批件、营业执照；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 xml:space="preserve">6. </w:t>
      </w:r>
      <w:r w:rsidRPr="00414345">
        <w:rPr>
          <w:color w:val="000000"/>
          <w:sz w:val="24"/>
          <w:szCs w:val="24"/>
        </w:rPr>
        <w:t>基金托管人业务资格批件和营业执照。</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23" w:rsidRDefault="00D31323" w:rsidP="00876D65">
      <w:r>
        <w:separator/>
      </w:r>
    </w:p>
  </w:endnote>
  <w:endnote w:type="continuationSeparator" w:id="0">
    <w:p w:rsidR="00D31323" w:rsidRDefault="00D3132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02082">
      <w:rPr>
        <w:noProof/>
        <w:kern w:val="0"/>
        <w:szCs w:val="21"/>
      </w:rPr>
      <w:t>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02082">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23" w:rsidRDefault="00D31323" w:rsidP="00876D65">
      <w:r>
        <w:separator/>
      </w:r>
    </w:p>
  </w:footnote>
  <w:footnote w:type="continuationSeparator" w:id="0">
    <w:p w:rsidR="00D31323" w:rsidRDefault="00D31323"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上投摩根锦程均衡养老目标三年持有期混合型基金中基金</w:t>
    </w:r>
    <w:r w:rsidRPr="003E676C">
      <w:rPr>
        <w:sz w:val="24"/>
        <w:szCs w:val="24"/>
      </w:rPr>
      <w:t>(FOF)2021</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2082"/>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683B"/>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50B22"/>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5FC0"/>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DF25D5"/>
    <w:rsid w:val="00E02660"/>
    <w:rsid w:val="00E04BE1"/>
    <w:rsid w:val="00E12DBF"/>
    <w:rsid w:val="00E133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 w:type="paragraph" w:styleId="aff9">
    <w:name w:val="Revision"/>
    <w:hidden/>
    <w:uiPriority w:val="99"/>
    <w:semiHidden/>
    <w:rsid w:val="00002082"/>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DC79-7596-4867-B35B-20A49D23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14</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Chen,Richard</cp:lastModifiedBy>
  <cp:revision>584</cp:revision>
  <dcterms:created xsi:type="dcterms:W3CDTF">2012-10-16T06:07:00Z</dcterms:created>
  <dcterms:modified xsi:type="dcterms:W3CDTF">2021-07-20T02:52:00Z</dcterms:modified>
</cp:coreProperties>
</file>