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上投摩根锦程均衡养老目标三年持有期混合型基金中基金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上投摩根锦程均衡养老三年持有混合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007221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122,353,254.10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4C7550" w:rsidRDefault="002121E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4C7550" w:rsidRDefault="002121E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4C7550" w:rsidRDefault="002121E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50%:50%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4C7550" w:rsidRDefault="002121E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4C7550" w:rsidRDefault="002121E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4C7550" w:rsidRDefault="002121E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、其他投资策略：包括股票投资策略、债券投资策略、中小企业私募债投资策略、证券公司短期公司债投资策略、资产支持证券投资策略、存托凭证投资策略。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4C7550" w:rsidRDefault="002121E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50%</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，属于基金管理人管理的养老目标风险基金中高风险和其他资产配置比例较为平衡的。</w:t>
            </w:r>
          </w:p>
          <w:p w:rsidR="004C7550" w:rsidRDefault="002121E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007221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111,981,107.99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10,372,146.11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-2,895,115.56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-24,523.44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-1,075,698.81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-67,578.39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130,411,971.13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12,084,672.10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1.1646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1.1651</w:t>
            </w:r>
          </w:p>
        </w:tc>
      </w:tr>
    </w:tbl>
    <w:p w:rsidR="004C7550" w:rsidRDefault="002121E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4C7550" w:rsidRDefault="002121E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11</w:t>
      </w:r>
      <w:r w:rsidRPr="00B27A29">
        <w:rPr>
          <w:rFonts w:eastAsiaTheme="minorEastAsia"/>
          <w:color w:val="000000" w:themeColor="text1"/>
          <w:szCs w:val="21"/>
        </w:rPr>
        <w:t>月</w:t>
      </w:r>
      <w:r w:rsidRPr="00B27A29">
        <w:rPr>
          <w:rFonts w:eastAsiaTheme="minorEastAsia"/>
          <w:color w:val="000000" w:themeColor="text1"/>
          <w:szCs w:val="21"/>
        </w:rPr>
        <w:t>17</w:t>
      </w:r>
      <w:r w:rsidRPr="00B27A29">
        <w:rPr>
          <w:rFonts w:eastAsiaTheme="minorEastAsia"/>
          <w:color w:val="000000" w:themeColor="text1"/>
          <w:szCs w:val="21"/>
        </w:rPr>
        <w:t>日起，增设</w:t>
      </w:r>
      <w:r w:rsidRPr="00B27A29">
        <w:rPr>
          <w:rFonts w:eastAsiaTheme="minorEastAsia"/>
          <w:color w:val="000000" w:themeColor="text1"/>
          <w:szCs w:val="21"/>
        </w:rPr>
        <w:t xml:space="preserve"> Y</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上投摩根锦程均衡养老三年持有混合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2604">
        <w:tc>
          <w:tcPr>
            <w:tcW w:w="1290" w:type="dxa"/>
            <w:vAlign w:val="center"/>
          </w:tcPr>
          <w:p w:rsidR="00202604" w:rsidRDefault="00202604" w:rsidP="00202604">
            <w:pPr>
              <w:jc w:val="left"/>
            </w:pPr>
            <w:r>
              <w:rPr>
                <w:rFonts w:eastAsiaTheme="minorEastAsia"/>
                <w:color w:val="000000" w:themeColor="text1"/>
                <w:szCs w:val="21"/>
              </w:rPr>
              <w:t>过去三个月</w:t>
            </w:r>
          </w:p>
        </w:tc>
        <w:tc>
          <w:tcPr>
            <w:tcW w:w="1291" w:type="dxa"/>
            <w:vAlign w:val="center"/>
          </w:tcPr>
          <w:p w:rsidR="00202604" w:rsidRDefault="00202604" w:rsidP="00202604">
            <w:pPr>
              <w:jc w:val="right"/>
            </w:pPr>
            <w:r>
              <w:rPr>
                <w:rFonts w:eastAsiaTheme="minorEastAsia"/>
                <w:color w:val="000000" w:themeColor="text1"/>
                <w:szCs w:val="21"/>
              </w:rPr>
              <w:t>-0.81%</w:t>
            </w:r>
          </w:p>
        </w:tc>
        <w:tc>
          <w:tcPr>
            <w:tcW w:w="1291" w:type="dxa"/>
            <w:vAlign w:val="center"/>
          </w:tcPr>
          <w:p w:rsidR="00202604" w:rsidRDefault="00202604" w:rsidP="00202604">
            <w:pPr>
              <w:jc w:val="right"/>
            </w:pPr>
            <w:r>
              <w:rPr>
                <w:rFonts w:eastAsiaTheme="minorEastAsia"/>
                <w:color w:val="000000" w:themeColor="text1"/>
                <w:szCs w:val="21"/>
              </w:rPr>
              <w:t>0.58%</w:t>
            </w:r>
          </w:p>
        </w:tc>
        <w:tc>
          <w:tcPr>
            <w:tcW w:w="1291" w:type="dxa"/>
            <w:vAlign w:val="center"/>
          </w:tcPr>
          <w:p w:rsidR="00202604" w:rsidRDefault="00202604" w:rsidP="00202604">
            <w:pPr>
              <w:jc w:val="right"/>
            </w:pPr>
            <w:r>
              <w:rPr>
                <w:rFonts w:eastAsiaTheme="minorEastAsia"/>
                <w:color w:val="000000" w:themeColor="text1"/>
                <w:szCs w:val="21"/>
              </w:rPr>
              <w:t>1.11%</w:t>
            </w:r>
          </w:p>
        </w:tc>
        <w:tc>
          <w:tcPr>
            <w:tcW w:w="1291" w:type="dxa"/>
            <w:vAlign w:val="center"/>
          </w:tcPr>
          <w:p w:rsidR="00202604" w:rsidRDefault="00202604" w:rsidP="00202604">
            <w:pPr>
              <w:jc w:val="right"/>
            </w:pPr>
            <w:r>
              <w:rPr>
                <w:rFonts w:eastAsiaTheme="minorEastAsia"/>
                <w:color w:val="000000" w:themeColor="text1"/>
                <w:szCs w:val="21"/>
              </w:rPr>
              <w:t>0.59%</w:t>
            </w:r>
          </w:p>
        </w:tc>
        <w:tc>
          <w:tcPr>
            <w:tcW w:w="1291" w:type="dxa"/>
            <w:vAlign w:val="center"/>
          </w:tcPr>
          <w:p w:rsidR="00202604" w:rsidRDefault="00202604" w:rsidP="00202604">
            <w:pPr>
              <w:jc w:val="right"/>
            </w:pPr>
            <w:r>
              <w:rPr>
                <w:rFonts w:eastAsiaTheme="minorEastAsia"/>
                <w:color w:val="000000" w:themeColor="text1"/>
                <w:szCs w:val="21"/>
              </w:rPr>
              <w:t>-1.92%</w:t>
            </w:r>
          </w:p>
        </w:tc>
        <w:tc>
          <w:tcPr>
            <w:tcW w:w="1291" w:type="dxa"/>
            <w:vAlign w:val="center"/>
          </w:tcPr>
          <w:p w:rsidR="00202604" w:rsidRDefault="00202604" w:rsidP="00202604">
            <w:pPr>
              <w:jc w:val="right"/>
            </w:pPr>
            <w:r>
              <w:rPr>
                <w:rFonts w:eastAsiaTheme="minorEastAsia"/>
                <w:color w:val="000000" w:themeColor="text1"/>
                <w:szCs w:val="21"/>
              </w:rPr>
              <w:t>-0.01%</w:t>
            </w:r>
          </w:p>
        </w:tc>
      </w:tr>
      <w:tr w:rsidR="00202604">
        <w:tc>
          <w:tcPr>
            <w:tcW w:w="1290" w:type="dxa"/>
            <w:vAlign w:val="center"/>
          </w:tcPr>
          <w:p w:rsidR="00202604" w:rsidRDefault="00202604" w:rsidP="00202604">
            <w:pPr>
              <w:jc w:val="left"/>
            </w:pPr>
            <w:r>
              <w:rPr>
                <w:rFonts w:eastAsiaTheme="minorEastAsia"/>
                <w:color w:val="000000" w:themeColor="text1"/>
                <w:szCs w:val="21"/>
              </w:rPr>
              <w:t>过去六个月</w:t>
            </w:r>
          </w:p>
        </w:tc>
        <w:tc>
          <w:tcPr>
            <w:tcW w:w="1291" w:type="dxa"/>
            <w:vAlign w:val="center"/>
          </w:tcPr>
          <w:p w:rsidR="00202604" w:rsidRDefault="00202604" w:rsidP="00202604">
            <w:pPr>
              <w:jc w:val="right"/>
            </w:pPr>
            <w:r>
              <w:rPr>
                <w:rFonts w:eastAsiaTheme="minorEastAsia"/>
                <w:color w:val="000000" w:themeColor="text1"/>
                <w:szCs w:val="21"/>
              </w:rPr>
              <w:t>-7.92%</w:t>
            </w:r>
          </w:p>
        </w:tc>
        <w:tc>
          <w:tcPr>
            <w:tcW w:w="1291" w:type="dxa"/>
            <w:vAlign w:val="center"/>
          </w:tcPr>
          <w:p w:rsidR="00202604" w:rsidRDefault="00202604" w:rsidP="00202604">
            <w:pPr>
              <w:jc w:val="right"/>
            </w:pPr>
            <w:r>
              <w:rPr>
                <w:rFonts w:eastAsiaTheme="minorEastAsia"/>
                <w:color w:val="000000" w:themeColor="text1"/>
                <w:szCs w:val="21"/>
              </w:rPr>
              <w:t>0.51%</w:t>
            </w:r>
          </w:p>
        </w:tc>
        <w:tc>
          <w:tcPr>
            <w:tcW w:w="1291" w:type="dxa"/>
            <w:vAlign w:val="center"/>
          </w:tcPr>
          <w:p w:rsidR="00202604" w:rsidRDefault="00202604" w:rsidP="00202604">
            <w:pPr>
              <w:jc w:val="right"/>
            </w:pPr>
            <w:r>
              <w:rPr>
                <w:rFonts w:eastAsiaTheme="minorEastAsia"/>
                <w:color w:val="000000" w:themeColor="text1"/>
                <w:szCs w:val="21"/>
              </w:rPr>
              <w:t>-5.62%</w:t>
            </w:r>
          </w:p>
        </w:tc>
        <w:tc>
          <w:tcPr>
            <w:tcW w:w="1291" w:type="dxa"/>
            <w:vAlign w:val="center"/>
          </w:tcPr>
          <w:p w:rsidR="00202604" w:rsidRDefault="00202604" w:rsidP="00202604">
            <w:pPr>
              <w:jc w:val="right"/>
            </w:pPr>
            <w:r>
              <w:rPr>
                <w:rFonts w:eastAsiaTheme="minorEastAsia"/>
                <w:color w:val="000000" w:themeColor="text1"/>
                <w:szCs w:val="21"/>
              </w:rPr>
              <w:t>0.53%</w:t>
            </w:r>
          </w:p>
        </w:tc>
        <w:tc>
          <w:tcPr>
            <w:tcW w:w="1291" w:type="dxa"/>
            <w:vAlign w:val="center"/>
          </w:tcPr>
          <w:p w:rsidR="00202604" w:rsidRDefault="00202604" w:rsidP="00202604">
            <w:pPr>
              <w:jc w:val="right"/>
            </w:pPr>
            <w:r>
              <w:rPr>
                <w:rFonts w:eastAsiaTheme="minorEastAsia"/>
                <w:color w:val="000000" w:themeColor="text1"/>
                <w:szCs w:val="21"/>
              </w:rPr>
              <w:t>-2.30%</w:t>
            </w:r>
          </w:p>
        </w:tc>
        <w:tc>
          <w:tcPr>
            <w:tcW w:w="1291" w:type="dxa"/>
            <w:vAlign w:val="center"/>
          </w:tcPr>
          <w:p w:rsidR="00202604" w:rsidRDefault="00202604" w:rsidP="00202604">
            <w:pPr>
              <w:jc w:val="right"/>
            </w:pPr>
            <w:r>
              <w:rPr>
                <w:rFonts w:eastAsiaTheme="minorEastAsia"/>
                <w:color w:val="000000" w:themeColor="text1"/>
                <w:szCs w:val="21"/>
              </w:rPr>
              <w:t>-0.02%</w:t>
            </w:r>
          </w:p>
        </w:tc>
      </w:tr>
      <w:tr w:rsidR="00202604">
        <w:tc>
          <w:tcPr>
            <w:tcW w:w="1290" w:type="dxa"/>
            <w:vAlign w:val="center"/>
          </w:tcPr>
          <w:p w:rsidR="00202604" w:rsidRDefault="00202604" w:rsidP="00202604">
            <w:pPr>
              <w:jc w:val="left"/>
            </w:pPr>
            <w:r>
              <w:rPr>
                <w:rFonts w:eastAsiaTheme="minorEastAsia"/>
                <w:color w:val="000000" w:themeColor="text1"/>
                <w:szCs w:val="21"/>
              </w:rPr>
              <w:t>过去一年</w:t>
            </w:r>
          </w:p>
        </w:tc>
        <w:tc>
          <w:tcPr>
            <w:tcW w:w="1291" w:type="dxa"/>
            <w:vAlign w:val="center"/>
          </w:tcPr>
          <w:p w:rsidR="00202604" w:rsidRDefault="00202604" w:rsidP="00202604">
            <w:pPr>
              <w:jc w:val="right"/>
            </w:pPr>
            <w:r>
              <w:rPr>
                <w:rFonts w:eastAsiaTheme="minorEastAsia"/>
                <w:color w:val="000000" w:themeColor="text1"/>
                <w:szCs w:val="21"/>
              </w:rPr>
              <w:t>-14.99%</w:t>
            </w:r>
          </w:p>
        </w:tc>
        <w:tc>
          <w:tcPr>
            <w:tcW w:w="1291" w:type="dxa"/>
            <w:vAlign w:val="center"/>
          </w:tcPr>
          <w:p w:rsidR="00202604" w:rsidRDefault="00202604" w:rsidP="00202604">
            <w:pPr>
              <w:jc w:val="right"/>
            </w:pPr>
            <w:r>
              <w:rPr>
                <w:rFonts w:eastAsiaTheme="minorEastAsia"/>
                <w:color w:val="000000" w:themeColor="text1"/>
                <w:szCs w:val="21"/>
              </w:rPr>
              <w:t>0.58%</w:t>
            </w:r>
          </w:p>
        </w:tc>
        <w:tc>
          <w:tcPr>
            <w:tcW w:w="1291" w:type="dxa"/>
            <w:vAlign w:val="center"/>
          </w:tcPr>
          <w:p w:rsidR="00202604" w:rsidRDefault="00202604" w:rsidP="00202604">
            <w:pPr>
              <w:jc w:val="right"/>
            </w:pPr>
            <w:r>
              <w:rPr>
                <w:rFonts w:eastAsiaTheme="minorEastAsia"/>
                <w:color w:val="000000" w:themeColor="text1"/>
                <w:szCs w:val="21"/>
              </w:rPr>
              <w:t>-9.39%</w:t>
            </w:r>
          </w:p>
        </w:tc>
        <w:tc>
          <w:tcPr>
            <w:tcW w:w="1291" w:type="dxa"/>
            <w:vAlign w:val="center"/>
          </w:tcPr>
          <w:p w:rsidR="00202604" w:rsidRDefault="00202604" w:rsidP="00202604">
            <w:pPr>
              <w:jc w:val="right"/>
            </w:pPr>
            <w:r>
              <w:rPr>
                <w:rFonts w:eastAsiaTheme="minorEastAsia"/>
                <w:color w:val="000000" w:themeColor="text1"/>
                <w:szCs w:val="21"/>
              </w:rPr>
              <w:t>0.62%</w:t>
            </w:r>
          </w:p>
        </w:tc>
        <w:tc>
          <w:tcPr>
            <w:tcW w:w="1291" w:type="dxa"/>
            <w:vAlign w:val="center"/>
          </w:tcPr>
          <w:p w:rsidR="00202604" w:rsidRDefault="00202604" w:rsidP="00202604">
            <w:pPr>
              <w:jc w:val="right"/>
            </w:pPr>
            <w:r>
              <w:rPr>
                <w:rFonts w:eastAsiaTheme="minorEastAsia"/>
                <w:color w:val="000000" w:themeColor="text1"/>
                <w:szCs w:val="21"/>
              </w:rPr>
              <w:t>-5.60%</w:t>
            </w:r>
          </w:p>
        </w:tc>
        <w:tc>
          <w:tcPr>
            <w:tcW w:w="1291" w:type="dxa"/>
            <w:vAlign w:val="center"/>
          </w:tcPr>
          <w:p w:rsidR="00202604" w:rsidRDefault="00202604" w:rsidP="00202604">
            <w:pPr>
              <w:jc w:val="right"/>
            </w:pPr>
            <w:r>
              <w:rPr>
                <w:rFonts w:eastAsiaTheme="minorEastAsia"/>
                <w:color w:val="000000" w:themeColor="text1"/>
                <w:szCs w:val="21"/>
              </w:rPr>
              <w:t>-0.04%</w:t>
            </w:r>
          </w:p>
        </w:tc>
      </w:tr>
      <w:tr w:rsidR="00202604">
        <w:tc>
          <w:tcPr>
            <w:tcW w:w="1290" w:type="dxa"/>
            <w:vAlign w:val="center"/>
          </w:tcPr>
          <w:p w:rsidR="00202604" w:rsidRDefault="00202604" w:rsidP="00202604">
            <w:pPr>
              <w:jc w:val="left"/>
            </w:pPr>
            <w:r>
              <w:rPr>
                <w:rFonts w:eastAsiaTheme="minorEastAsia"/>
                <w:color w:val="000000" w:themeColor="text1"/>
                <w:szCs w:val="21"/>
              </w:rPr>
              <w:t>过去三年</w:t>
            </w:r>
          </w:p>
        </w:tc>
        <w:tc>
          <w:tcPr>
            <w:tcW w:w="1291" w:type="dxa"/>
            <w:vAlign w:val="center"/>
          </w:tcPr>
          <w:p w:rsidR="00202604" w:rsidRDefault="00202604" w:rsidP="00202604">
            <w:pPr>
              <w:jc w:val="right"/>
            </w:pPr>
            <w:r>
              <w:rPr>
                <w:rFonts w:eastAsiaTheme="minorEastAsia"/>
                <w:color w:val="000000" w:themeColor="text1"/>
                <w:szCs w:val="21"/>
              </w:rPr>
              <w:t>12.17%</w:t>
            </w:r>
          </w:p>
        </w:tc>
        <w:tc>
          <w:tcPr>
            <w:tcW w:w="1291" w:type="dxa"/>
            <w:vAlign w:val="center"/>
          </w:tcPr>
          <w:p w:rsidR="00202604" w:rsidRDefault="00202604" w:rsidP="00202604">
            <w:pPr>
              <w:jc w:val="right"/>
            </w:pPr>
            <w:r>
              <w:rPr>
                <w:rFonts w:eastAsiaTheme="minorEastAsia"/>
                <w:color w:val="000000" w:themeColor="text1"/>
                <w:szCs w:val="21"/>
              </w:rPr>
              <w:t>0.64%</w:t>
            </w:r>
          </w:p>
        </w:tc>
        <w:tc>
          <w:tcPr>
            <w:tcW w:w="1291" w:type="dxa"/>
            <w:vAlign w:val="center"/>
          </w:tcPr>
          <w:p w:rsidR="00202604" w:rsidRDefault="00202604" w:rsidP="00202604">
            <w:pPr>
              <w:jc w:val="right"/>
            </w:pPr>
            <w:r>
              <w:rPr>
                <w:rFonts w:eastAsiaTheme="minorEastAsia"/>
                <w:color w:val="000000" w:themeColor="text1"/>
                <w:szCs w:val="21"/>
              </w:rPr>
              <w:t>5.64%</w:t>
            </w:r>
          </w:p>
        </w:tc>
        <w:tc>
          <w:tcPr>
            <w:tcW w:w="1291" w:type="dxa"/>
            <w:vAlign w:val="center"/>
          </w:tcPr>
          <w:p w:rsidR="00202604" w:rsidRDefault="00202604" w:rsidP="00202604">
            <w:pPr>
              <w:jc w:val="right"/>
            </w:pPr>
            <w:r>
              <w:rPr>
                <w:rFonts w:eastAsiaTheme="minorEastAsia"/>
                <w:color w:val="000000" w:themeColor="text1"/>
                <w:szCs w:val="21"/>
              </w:rPr>
              <w:t>0.63%</w:t>
            </w:r>
          </w:p>
        </w:tc>
        <w:tc>
          <w:tcPr>
            <w:tcW w:w="1291" w:type="dxa"/>
            <w:vAlign w:val="center"/>
          </w:tcPr>
          <w:p w:rsidR="00202604" w:rsidRDefault="00202604" w:rsidP="00202604">
            <w:pPr>
              <w:jc w:val="right"/>
            </w:pPr>
            <w:r>
              <w:rPr>
                <w:rFonts w:eastAsiaTheme="minorEastAsia"/>
                <w:color w:val="000000" w:themeColor="text1"/>
                <w:szCs w:val="21"/>
              </w:rPr>
              <w:t>6.53%</w:t>
            </w:r>
          </w:p>
        </w:tc>
        <w:tc>
          <w:tcPr>
            <w:tcW w:w="1291" w:type="dxa"/>
            <w:vAlign w:val="center"/>
          </w:tcPr>
          <w:p w:rsidR="00202604" w:rsidRDefault="00202604" w:rsidP="00202604">
            <w:pPr>
              <w:jc w:val="right"/>
            </w:pPr>
            <w:r>
              <w:rPr>
                <w:rFonts w:eastAsiaTheme="minorEastAsia"/>
                <w:color w:val="000000" w:themeColor="text1"/>
                <w:szCs w:val="21"/>
              </w:rPr>
              <w:t>0.01%</w:t>
            </w:r>
          </w:p>
        </w:tc>
      </w:tr>
      <w:tr w:rsidR="00202604">
        <w:tc>
          <w:tcPr>
            <w:tcW w:w="1290" w:type="dxa"/>
            <w:vAlign w:val="center"/>
          </w:tcPr>
          <w:p w:rsidR="00202604" w:rsidRDefault="00202604" w:rsidP="00202604">
            <w:pPr>
              <w:jc w:val="left"/>
            </w:pPr>
            <w:r>
              <w:rPr>
                <w:rFonts w:eastAsiaTheme="minorEastAsia"/>
                <w:color w:val="000000" w:themeColor="text1"/>
                <w:szCs w:val="21"/>
              </w:rPr>
              <w:t>过去五年</w:t>
            </w:r>
          </w:p>
        </w:tc>
        <w:tc>
          <w:tcPr>
            <w:tcW w:w="1291" w:type="dxa"/>
            <w:vAlign w:val="center"/>
          </w:tcPr>
          <w:p w:rsidR="00202604" w:rsidRDefault="00202604" w:rsidP="00202604">
            <w:pPr>
              <w:jc w:val="right"/>
            </w:pPr>
            <w:r>
              <w:rPr>
                <w:rFonts w:eastAsiaTheme="minorEastAsia"/>
                <w:color w:val="000000" w:themeColor="text1"/>
                <w:szCs w:val="21"/>
              </w:rPr>
              <w:t>-</w:t>
            </w:r>
          </w:p>
        </w:tc>
        <w:tc>
          <w:tcPr>
            <w:tcW w:w="1291" w:type="dxa"/>
            <w:vAlign w:val="center"/>
          </w:tcPr>
          <w:p w:rsidR="00202604" w:rsidRDefault="00202604" w:rsidP="00202604">
            <w:pPr>
              <w:jc w:val="right"/>
            </w:pPr>
            <w:r>
              <w:rPr>
                <w:rFonts w:eastAsiaTheme="minorEastAsia"/>
                <w:color w:val="000000" w:themeColor="text1"/>
                <w:szCs w:val="21"/>
              </w:rPr>
              <w:t>-</w:t>
            </w:r>
          </w:p>
        </w:tc>
        <w:tc>
          <w:tcPr>
            <w:tcW w:w="1291" w:type="dxa"/>
            <w:vAlign w:val="center"/>
          </w:tcPr>
          <w:p w:rsidR="00202604" w:rsidRDefault="00202604" w:rsidP="00202604">
            <w:pPr>
              <w:jc w:val="right"/>
            </w:pPr>
            <w:r>
              <w:rPr>
                <w:rFonts w:eastAsiaTheme="minorEastAsia"/>
                <w:color w:val="000000" w:themeColor="text1"/>
                <w:szCs w:val="21"/>
              </w:rPr>
              <w:t>-</w:t>
            </w:r>
          </w:p>
        </w:tc>
        <w:tc>
          <w:tcPr>
            <w:tcW w:w="1291" w:type="dxa"/>
            <w:vAlign w:val="center"/>
          </w:tcPr>
          <w:p w:rsidR="00202604" w:rsidRDefault="00202604" w:rsidP="00202604">
            <w:pPr>
              <w:jc w:val="right"/>
            </w:pPr>
            <w:r>
              <w:rPr>
                <w:rFonts w:eastAsiaTheme="minorEastAsia"/>
                <w:color w:val="000000" w:themeColor="text1"/>
                <w:szCs w:val="21"/>
              </w:rPr>
              <w:t>-</w:t>
            </w:r>
          </w:p>
        </w:tc>
        <w:tc>
          <w:tcPr>
            <w:tcW w:w="1291" w:type="dxa"/>
            <w:vAlign w:val="center"/>
          </w:tcPr>
          <w:p w:rsidR="00202604" w:rsidRDefault="00202604" w:rsidP="00202604">
            <w:pPr>
              <w:jc w:val="right"/>
            </w:pPr>
            <w:r>
              <w:rPr>
                <w:rFonts w:eastAsiaTheme="minorEastAsia"/>
                <w:color w:val="000000" w:themeColor="text1"/>
                <w:szCs w:val="21"/>
              </w:rPr>
              <w:t>-</w:t>
            </w:r>
          </w:p>
        </w:tc>
        <w:tc>
          <w:tcPr>
            <w:tcW w:w="1291" w:type="dxa"/>
            <w:vAlign w:val="center"/>
          </w:tcPr>
          <w:p w:rsidR="00202604" w:rsidRDefault="00202604" w:rsidP="00202604">
            <w:pPr>
              <w:jc w:val="right"/>
            </w:pPr>
            <w:r>
              <w:rPr>
                <w:rFonts w:eastAsiaTheme="minorEastAsia"/>
                <w:color w:val="000000" w:themeColor="text1"/>
                <w:szCs w:val="21"/>
              </w:rPr>
              <w:t>-</w:t>
            </w:r>
          </w:p>
        </w:tc>
      </w:tr>
      <w:tr w:rsidR="00202604">
        <w:tc>
          <w:tcPr>
            <w:tcW w:w="1290" w:type="dxa"/>
            <w:vAlign w:val="center"/>
          </w:tcPr>
          <w:p w:rsidR="00202604" w:rsidRDefault="00202604" w:rsidP="00202604">
            <w:pPr>
              <w:jc w:val="left"/>
            </w:pPr>
            <w:r>
              <w:rPr>
                <w:rFonts w:eastAsiaTheme="minorEastAsia"/>
                <w:color w:val="000000" w:themeColor="text1"/>
                <w:szCs w:val="21"/>
              </w:rPr>
              <w:t>自基金合同生效起至今</w:t>
            </w:r>
          </w:p>
        </w:tc>
        <w:tc>
          <w:tcPr>
            <w:tcW w:w="1291" w:type="dxa"/>
            <w:vAlign w:val="center"/>
          </w:tcPr>
          <w:p w:rsidR="00202604" w:rsidRDefault="00202604" w:rsidP="00202604">
            <w:pPr>
              <w:jc w:val="right"/>
            </w:pPr>
            <w:r>
              <w:rPr>
                <w:rFonts w:eastAsiaTheme="minorEastAsia"/>
                <w:color w:val="000000" w:themeColor="text1"/>
                <w:szCs w:val="21"/>
              </w:rPr>
              <w:t>16.46%</w:t>
            </w:r>
          </w:p>
        </w:tc>
        <w:tc>
          <w:tcPr>
            <w:tcW w:w="1291" w:type="dxa"/>
            <w:vAlign w:val="center"/>
          </w:tcPr>
          <w:p w:rsidR="00202604" w:rsidRDefault="00202604" w:rsidP="00202604">
            <w:pPr>
              <w:jc w:val="right"/>
            </w:pPr>
            <w:r>
              <w:rPr>
                <w:rFonts w:eastAsiaTheme="minorEastAsia"/>
                <w:color w:val="000000" w:themeColor="text1"/>
                <w:szCs w:val="21"/>
              </w:rPr>
              <w:t>0.62%</w:t>
            </w:r>
          </w:p>
        </w:tc>
        <w:tc>
          <w:tcPr>
            <w:tcW w:w="1291" w:type="dxa"/>
            <w:vAlign w:val="center"/>
          </w:tcPr>
          <w:p w:rsidR="00202604" w:rsidRDefault="00202604" w:rsidP="00202604">
            <w:pPr>
              <w:jc w:val="right"/>
            </w:pPr>
            <w:r>
              <w:rPr>
                <w:rFonts w:eastAsiaTheme="minorEastAsia"/>
                <w:color w:val="000000" w:themeColor="text1"/>
                <w:szCs w:val="21"/>
              </w:rPr>
              <w:t>10.42%</w:t>
            </w:r>
          </w:p>
        </w:tc>
        <w:tc>
          <w:tcPr>
            <w:tcW w:w="1291" w:type="dxa"/>
            <w:vAlign w:val="center"/>
          </w:tcPr>
          <w:p w:rsidR="00202604" w:rsidRDefault="00202604" w:rsidP="00202604">
            <w:pPr>
              <w:jc w:val="right"/>
            </w:pPr>
            <w:r>
              <w:rPr>
                <w:rFonts w:eastAsiaTheme="minorEastAsia"/>
                <w:color w:val="000000" w:themeColor="text1"/>
                <w:szCs w:val="21"/>
              </w:rPr>
              <w:t>0.61%</w:t>
            </w:r>
          </w:p>
        </w:tc>
        <w:tc>
          <w:tcPr>
            <w:tcW w:w="1291" w:type="dxa"/>
            <w:vAlign w:val="center"/>
          </w:tcPr>
          <w:p w:rsidR="00202604" w:rsidRDefault="00202604" w:rsidP="00202604">
            <w:pPr>
              <w:jc w:val="right"/>
            </w:pPr>
            <w:r>
              <w:rPr>
                <w:rFonts w:eastAsiaTheme="minorEastAsia"/>
                <w:color w:val="000000" w:themeColor="text1"/>
                <w:szCs w:val="21"/>
              </w:rPr>
              <w:t>6.04%</w:t>
            </w:r>
          </w:p>
        </w:tc>
        <w:tc>
          <w:tcPr>
            <w:tcW w:w="1291" w:type="dxa"/>
            <w:vAlign w:val="center"/>
          </w:tcPr>
          <w:p w:rsidR="00202604" w:rsidRDefault="00202604" w:rsidP="00202604">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上投摩根锦程均衡养老三年持有混合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C7550">
        <w:tc>
          <w:tcPr>
            <w:tcW w:w="1290" w:type="dxa"/>
            <w:vAlign w:val="center"/>
          </w:tcPr>
          <w:p w:rsidR="004C7550" w:rsidRDefault="002121E7">
            <w:pPr>
              <w:jc w:val="left"/>
            </w:pPr>
            <w:r>
              <w:rPr>
                <w:rFonts w:eastAsiaTheme="minorEastAsia"/>
                <w:color w:val="000000" w:themeColor="text1"/>
                <w:szCs w:val="21"/>
              </w:rPr>
              <w:t>过去三个月</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r>
      <w:tr w:rsidR="004C7550">
        <w:tc>
          <w:tcPr>
            <w:tcW w:w="1290" w:type="dxa"/>
            <w:vAlign w:val="center"/>
          </w:tcPr>
          <w:p w:rsidR="004C7550" w:rsidRDefault="002121E7">
            <w:pPr>
              <w:jc w:val="left"/>
            </w:pPr>
            <w:r>
              <w:rPr>
                <w:rFonts w:eastAsiaTheme="minorEastAsia"/>
                <w:color w:val="000000" w:themeColor="text1"/>
                <w:szCs w:val="21"/>
              </w:rPr>
              <w:t>过去六个月</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r>
      <w:tr w:rsidR="004C7550">
        <w:tc>
          <w:tcPr>
            <w:tcW w:w="1290" w:type="dxa"/>
            <w:vAlign w:val="center"/>
          </w:tcPr>
          <w:p w:rsidR="004C7550" w:rsidRDefault="002121E7">
            <w:pPr>
              <w:jc w:val="left"/>
            </w:pPr>
            <w:r>
              <w:rPr>
                <w:rFonts w:eastAsiaTheme="minorEastAsia"/>
                <w:color w:val="000000" w:themeColor="text1"/>
                <w:szCs w:val="21"/>
              </w:rPr>
              <w:t>过去一年</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r>
      <w:tr w:rsidR="004C7550">
        <w:tc>
          <w:tcPr>
            <w:tcW w:w="1290" w:type="dxa"/>
            <w:vAlign w:val="center"/>
          </w:tcPr>
          <w:p w:rsidR="004C7550" w:rsidRDefault="002121E7">
            <w:pPr>
              <w:jc w:val="left"/>
            </w:pPr>
            <w:r>
              <w:rPr>
                <w:rFonts w:eastAsiaTheme="minorEastAsia"/>
                <w:color w:val="000000" w:themeColor="text1"/>
                <w:szCs w:val="21"/>
              </w:rPr>
              <w:t>过去三年</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r>
      <w:tr w:rsidR="004C7550">
        <w:tc>
          <w:tcPr>
            <w:tcW w:w="1290" w:type="dxa"/>
            <w:vAlign w:val="center"/>
          </w:tcPr>
          <w:p w:rsidR="004C7550" w:rsidRDefault="002121E7">
            <w:pPr>
              <w:jc w:val="left"/>
            </w:pPr>
            <w:r>
              <w:rPr>
                <w:rFonts w:eastAsiaTheme="minorEastAsia"/>
                <w:color w:val="000000" w:themeColor="text1"/>
                <w:szCs w:val="21"/>
              </w:rPr>
              <w:t>过去五年</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c>
          <w:tcPr>
            <w:tcW w:w="1291" w:type="dxa"/>
            <w:vAlign w:val="center"/>
          </w:tcPr>
          <w:p w:rsidR="004C7550" w:rsidRDefault="002121E7">
            <w:pPr>
              <w:jc w:val="right"/>
            </w:pPr>
            <w:r>
              <w:rPr>
                <w:rFonts w:eastAsiaTheme="minorEastAsia"/>
                <w:color w:val="000000" w:themeColor="text1"/>
                <w:szCs w:val="21"/>
              </w:rPr>
              <w:t>-</w:t>
            </w:r>
          </w:p>
        </w:tc>
      </w:tr>
      <w:tr w:rsidR="00202604">
        <w:tc>
          <w:tcPr>
            <w:tcW w:w="1290" w:type="dxa"/>
            <w:vAlign w:val="center"/>
          </w:tcPr>
          <w:p w:rsidR="00202604" w:rsidRDefault="00202604" w:rsidP="00202604">
            <w:pPr>
              <w:jc w:val="left"/>
            </w:pPr>
            <w:r>
              <w:rPr>
                <w:rFonts w:eastAsiaTheme="minorEastAsia"/>
                <w:color w:val="000000" w:themeColor="text1"/>
                <w:szCs w:val="21"/>
              </w:rPr>
              <w:t>自基金合同生效起至今</w:t>
            </w:r>
          </w:p>
        </w:tc>
        <w:tc>
          <w:tcPr>
            <w:tcW w:w="1291" w:type="dxa"/>
            <w:vAlign w:val="center"/>
          </w:tcPr>
          <w:p w:rsidR="00202604" w:rsidRDefault="00202604" w:rsidP="00202604">
            <w:pPr>
              <w:jc w:val="right"/>
            </w:pPr>
            <w:r>
              <w:rPr>
                <w:rFonts w:eastAsiaTheme="minorEastAsia"/>
                <w:color w:val="000000" w:themeColor="text1"/>
                <w:szCs w:val="21"/>
              </w:rPr>
              <w:t>0.60%</w:t>
            </w:r>
          </w:p>
        </w:tc>
        <w:tc>
          <w:tcPr>
            <w:tcW w:w="1291" w:type="dxa"/>
            <w:vAlign w:val="center"/>
          </w:tcPr>
          <w:p w:rsidR="00202604" w:rsidRDefault="00202604" w:rsidP="00202604">
            <w:pPr>
              <w:jc w:val="right"/>
            </w:pPr>
            <w:r>
              <w:rPr>
                <w:rFonts w:eastAsiaTheme="minorEastAsia"/>
                <w:color w:val="000000" w:themeColor="text1"/>
                <w:szCs w:val="21"/>
              </w:rPr>
              <w:t>0.48%</w:t>
            </w:r>
          </w:p>
        </w:tc>
        <w:tc>
          <w:tcPr>
            <w:tcW w:w="1291" w:type="dxa"/>
            <w:vAlign w:val="center"/>
          </w:tcPr>
          <w:p w:rsidR="00202604" w:rsidRDefault="00202604" w:rsidP="00202604">
            <w:pPr>
              <w:jc w:val="right"/>
            </w:pPr>
            <w:r>
              <w:rPr>
                <w:rFonts w:eastAsiaTheme="minorEastAsia"/>
                <w:color w:val="000000" w:themeColor="text1"/>
                <w:szCs w:val="21"/>
              </w:rPr>
              <w:t>0.98%</w:t>
            </w:r>
          </w:p>
        </w:tc>
        <w:tc>
          <w:tcPr>
            <w:tcW w:w="1291" w:type="dxa"/>
            <w:vAlign w:val="center"/>
          </w:tcPr>
          <w:p w:rsidR="00202604" w:rsidRDefault="00202604" w:rsidP="00202604">
            <w:pPr>
              <w:jc w:val="right"/>
            </w:pPr>
            <w:r>
              <w:rPr>
                <w:rFonts w:eastAsiaTheme="minorEastAsia"/>
                <w:color w:val="000000" w:themeColor="text1"/>
                <w:szCs w:val="21"/>
              </w:rPr>
              <w:t>0.45%</w:t>
            </w:r>
          </w:p>
        </w:tc>
        <w:tc>
          <w:tcPr>
            <w:tcW w:w="1291" w:type="dxa"/>
            <w:vAlign w:val="center"/>
          </w:tcPr>
          <w:p w:rsidR="00202604" w:rsidRDefault="00202604" w:rsidP="00202604">
            <w:pPr>
              <w:jc w:val="right"/>
            </w:pPr>
            <w:r>
              <w:rPr>
                <w:rFonts w:eastAsiaTheme="minorEastAsia"/>
                <w:color w:val="000000" w:themeColor="text1"/>
                <w:szCs w:val="21"/>
              </w:rPr>
              <w:t>-0.38%</w:t>
            </w:r>
          </w:p>
        </w:tc>
        <w:tc>
          <w:tcPr>
            <w:tcW w:w="1291" w:type="dxa"/>
            <w:vAlign w:val="center"/>
          </w:tcPr>
          <w:p w:rsidR="00202604" w:rsidRDefault="00202604" w:rsidP="00202604">
            <w:pPr>
              <w:jc w:val="right"/>
            </w:pPr>
            <w:r>
              <w:rPr>
                <w:rFonts w:eastAsiaTheme="minorEastAsia"/>
                <w:color w:val="000000" w:themeColor="text1"/>
                <w:szCs w:val="21"/>
              </w:rPr>
              <w:t>0.03%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上投摩根锦程均衡养老目标三年持有期混合型基金中基金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lastRenderedPageBreak/>
        <w:t>1</w:t>
      </w: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C7550">
        <w:tc>
          <w:tcPr>
            <w:tcW w:w="952" w:type="dxa"/>
            <w:vAlign w:val="center"/>
          </w:tcPr>
          <w:p w:rsidR="004C7550" w:rsidRDefault="002121E7">
            <w:pPr>
              <w:jc w:val="center"/>
            </w:pPr>
            <w:r>
              <w:rPr>
                <w:rFonts w:eastAsiaTheme="minorEastAsia"/>
                <w:color w:val="000000" w:themeColor="text1"/>
                <w:szCs w:val="21"/>
              </w:rPr>
              <w:t>杜习杰</w:t>
            </w:r>
          </w:p>
        </w:tc>
        <w:tc>
          <w:tcPr>
            <w:tcW w:w="930" w:type="dxa"/>
            <w:vAlign w:val="center"/>
          </w:tcPr>
          <w:p w:rsidR="004C7550" w:rsidRDefault="002121E7">
            <w:pPr>
              <w:jc w:val="center"/>
            </w:pPr>
            <w:r>
              <w:rPr>
                <w:rFonts w:eastAsiaTheme="minorEastAsia"/>
                <w:color w:val="000000" w:themeColor="text1"/>
                <w:szCs w:val="21"/>
              </w:rPr>
              <w:t>本基金基金经理</w:t>
            </w:r>
          </w:p>
        </w:tc>
        <w:tc>
          <w:tcPr>
            <w:tcW w:w="1210" w:type="dxa"/>
            <w:vAlign w:val="center"/>
          </w:tcPr>
          <w:p w:rsidR="004C7550" w:rsidRDefault="002121E7">
            <w:pPr>
              <w:jc w:val="center"/>
            </w:pPr>
            <w:r>
              <w:rPr>
                <w:rFonts w:eastAsiaTheme="minorEastAsia"/>
                <w:color w:val="000000" w:themeColor="text1"/>
                <w:szCs w:val="21"/>
              </w:rPr>
              <w:t>2019-09-02</w:t>
            </w:r>
          </w:p>
        </w:tc>
        <w:tc>
          <w:tcPr>
            <w:tcW w:w="1309" w:type="dxa"/>
            <w:vAlign w:val="center"/>
          </w:tcPr>
          <w:p w:rsidR="004C7550" w:rsidRDefault="002121E7">
            <w:pPr>
              <w:jc w:val="center"/>
            </w:pPr>
            <w:r>
              <w:rPr>
                <w:rFonts w:eastAsiaTheme="minorEastAsia"/>
                <w:color w:val="000000" w:themeColor="text1"/>
                <w:szCs w:val="21"/>
              </w:rPr>
              <w:t>-</w:t>
            </w:r>
          </w:p>
        </w:tc>
        <w:tc>
          <w:tcPr>
            <w:tcW w:w="1254" w:type="dxa"/>
            <w:vAlign w:val="center"/>
          </w:tcPr>
          <w:p w:rsidR="004C7550" w:rsidRDefault="002121E7">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4C7550" w:rsidRDefault="002121E7">
            <w:r>
              <w:rPr>
                <w:rFonts w:eastAsiaTheme="minorEastAsia"/>
                <w:color w:val="000000" w:themeColor="text1"/>
                <w:szCs w:val="21"/>
              </w:rPr>
              <w:t>杜习杰先生，上海财经大学金融学硕士。自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月起加入上投摩根基金管理有限公司，历任研究员、投资经理兼研究员，现任组合基金投资部基金经理。自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月起担任上投摩根锦程均衡养老目标三年持有期混合型基金中基金（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基金经理及上投摩根锦程积极成长养老目标五年持有期混合型发起式基金中基金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月起同时担任上投摩根尚睿混合型基金中基金</w:t>
            </w:r>
            <w:r>
              <w:rPr>
                <w:rFonts w:eastAsiaTheme="minorEastAsia"/>
                <w:color w:val="000000" w:themeColor="text1"/>
                <w:szCs w:val="21"/>
              </w:rPr>
              <w:t>(FOF)</w:t>
            </w:r>
            <w:r>
              <w:rPr>
                <w:rFonts w:eastAsiaTheme="minorEastAsia"/>
                <w:color w:val="000000" w:themeColor="text1"/>
                <w:szCs w:val="21"/>
              </w:rPr>
              <w:t>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月起担任上投摩根博睿均衡一年持有期混合型基金中基金</w:t>
            </w:r>
            <w:r>
              <w:rPr>
                <w:rFonts w:eastAsiaTheme="minorEastAsia"/>
                <w:color w:val="000000" w:themeColor="text1"/>
                <w:szCs w:val="21"/>
              </w:rPr>
              <w:t>(FOF)</w:t>
            </w:r>
            <w:r>
              <w:rPr>
                <w:rFonts w:eastAsiaTheme="minorEastAsia"/>
                <w:color w:val="000000" w:themeColor="text1"/>
                <w:szCs w:val="21"/>
              </w:rPr>
              <w:t>基金经理。</w:t>
            </w:r>
          </w:p>
        </w:tc>
      </w:tr>
      <w:tr w:rsidR="004C7550">
        <w:tc>
          <w:tcPr>
            <w:tcW w:w="952" w:type="dxa"/>
            <w:vAlign w:val="center"/>
          </w:tcPr>
          <w:p w:rsidR="004C7550" w:rsidRDefault="002121E7">
            <w:pPr>
              <w:jc w:val="center"/>
            </w:pPr>
            <w:r>
              <w:rPr>
                <w:rFonts w:eastAsiaTheme="minorEastAsia"/>
                <w:color w:val="000000" w:themeColor="text1"/>
                <w:szCs w:val="21"/>
              </w:rPr>
              <w:t>吴春杰</w:t>
            </w:r>
          </w:p>
        </w:tc>
        <w:tc>
          <w:tcPr>
            <w:tcW w:w="930" w:type="dxa"/>
            <w:vAlign w:val="center"/>
          </w:tcPr>
          <w:p w:rsidR="004C7550" w:rsidRDefault="002121E7">
            <w:pPr>
              <w:jc w:val="center"/>
            </w:pPr>
            <w:r>
              <w:rPr>
                <w:rFonts w:eastAsiaTheme="minorEastAsia"/>
                <w:color w:val="000000" w:themeColor="text1"/>
                <w:szCs w:val="21"/>
              </w:rPr>
              <w:t>本基金基金经理</w:t>
            </w:r>
          </w:p>
        </w:tc>
        <w:tc>
          <w:tcPr>
            <w:tcW w:w="1210" w:type="dxa"/>
            <w:vAlign w:val="center"/>
          </w:tcPr>
          <w:p w:rsidR="004C7550" w:rsidRDefault="002121E7">
            <w:pPr>
              <w:jc w:val="center"/>
            </w:pPr>
            <w:r>
              <w:rPr>
                <w:rFonts w:eastAsiaTheme="minorEastAsia"/>
                <w:color w:val="000000" w:themeColor="text1"/>
                <w:szCs w:val="21"/>
              </w:rPr>
              <w:t>2022-11-18</w:t>
            </w:r>
          </w:p>
        </w:tc>
        <w:tc>
          <w:tcPr>
            <w:tcW w:w="1309" w:type="dxa"/>
            <w:vAlign w:val="center"/>
          </w:tcPr>
          <w:p w:rsidR="004C7550" w:rsidRDefault="002121E7">
            <w:pPr>
              <w:jc w:val="center"/>
            </w:pPr>
            <w:r>
              <w:rPr>
                <w:rFonts w:eastAsiaTheme="minorEastAsia"/>
                <w:color w:val="000000" w:themeColor="text1"/>
                <w:szCs w:val="21"/>
              </w:rPr>
              <w:t>-</w:t>
            </w:r>
          </w:p>
        </w:tc>
        <w:tc>
          <w:tcPr>
            <w:tcW w:w="1254" w:type="dxa"/>
            <w:vAlign w:val="center"/>
          </w:tcPr>
          <w:p w:rsidR="004C7550" w:rsidRDefault="002121E7">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4C7550" w:rsidRDefault="002121E7">
            <w:r>
              <w:rPr>
                <w:rFonts w:eastAsiaTheme="minorEastAsia"/>
                <w:color w:val="000000" w:themeColor="text1"/>
                <w:szCs w:val="21"/>
              </w:rPr>
              <w:t>吴春杰女士，自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月在长江证券股份有限公司担任宏观策略分析师；自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月在中国太平洋人寿保险有限公司担任资产配置中心配置策略经理；自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月在上海景熙资产管理有限公司担任投资经理</w:t>
            </w:r>
            <w:r>
              <w:rPr>
                <w:rFonts w:eastAsiaTheme="minorEastAsia"/>
                <w:color w:val="000000" w:themeColor="text1"/>
                <w:szCs w:val="21"/>
              </w:rPr>
              <w:t>/</w:t>
            </w:r>
            <w:r>
              <w:rPr>
                <w:rFonts w:eastAsiaTheme="minorEastAsia"/>
                <w:color w:val="000000" w:themeColor="text1"/>
                <w:szCs w:val="21"/>
              </w:rPr>
              <w:t>宏观策略研究；自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月加入上投摩根基金管理有限公司，历任宏观研究员。自</w:t>
            </w:r>
            <w:r>
              <w:rPr>
                <w:rFonts w:eastAsiaTheme="minorEastAsia"/>
                <w:color w:val="000000" w:themeColor="text1"/>
                <w:szCs w:val="21"/>
              </w:rPr>
              <w:t>2022</w:t>
            </w:r>
            <w:r>
              <w:rPr>
                <w:rFonts w:eastAsiaTheme="minorEastAsia"/>
                <w:color w:val="000000" w:themeColor="text1"/>
                <w:szCs w:val="21"/>
              </w:rPr>
              <w:lastRenderedPageBreak/>
              <w:t>年</w:t>
            </w:r>
            <w:r>
              <w:rPr>
                <w:rFonts w:eastAsiaTheme="minorEastAsia"/>
                <w:color w:val="000000" w:themeColor="text1"/>
                <w:szCs w:val="21"/>
              </w:rPr>
              <w:t>3</w:t>
            </w:r>
            <w:r>
              <w:rPr>
                <w:rFonts w:eastAsiaTheme="minorEastAsia"/>
                <w:color w:val="000000" w:themeColor="text1"/>
                <w:szCs w:val="21"/>
              </w:rPr>
              <w:t>月起担任上投摩根尚睿混合型基金中基金（</w:t>
            </w:r>
            <w:r>
              <w:rPr>
                <w:rFonts w:eastAsiaTheme="minorEastAsia"/>
                <w:color w:val="000000" w:themeColor="text1"/>
                <w:szCs w:val="21"/>
              </w:rPr>
              <w:t>FOF</w:t>
            </w:r>
            <w:r>
              <w:rPr>
                <w:rFonts w:eastAsiaTheme="minorEastAsia"/>
                <w:color w:val="000000" w:themeColor="text1"/>
                <w:szCs w:val="21"/>
              </w:rPr>
              <w:t>）基金经理。自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月起担任上投摩根博睿均衡一年持有期混合型基金中基金</w:t>
            </w:r>
            <w:r>
              <w:rPr>
                <w:rFonts w:eastAsiaTheme="minorEastAsia"/>
                <w:color w:val="000000" w:themeColor="text1"/>
                <w:szCs w:val="21"/>
              </w:rPr>
              <w:t>(FOF)</w:t>
            </w:r>
            <w:r>
              <w:rPr>
                <w:rFonts w:eastAsiaTheme="minorEastAsia"/>
                <w:color w:val="000000" w:themeColor="text1"/>
                <w:szCs w:val="21"/>
              </w:rPr>
              <w:t>、上投摩根锦程稳健养老目标一年持有期混合型基金中基金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基金经理。</w:t>
            </w:r>
          </w:p>
        </w:tc>
      </w:tr>
    </w:tbl>
    <w:p w:rsidR="004C7550" w:rsidRDefault="002121E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4C7550" w:rsidRDefault="002121E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杜习杰先生为本基金首任基金经理，其任职日期指本基金基金合同生效之日。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锦程均衡养老目标三年持有期混合型基金中基金（</w:t>
      </w:r>
      <w:r w:rsidRPr="00B27A29">
        <w:rPr>
          <w:rFonts w:eastAsiaTheme="minorEastAsia"/>
          <w:color w:val="000000" w:themeColor="text1"/>
          <w:szCs w:val="21"/>
        </w:rPr>
        <w:t>FOF</w:t>
      </w:r>
      <w:r w:rsidRPr="00B27A29">
        <w:rPr>
          <w:rFonts w:eastAsiaTheme="minorEastAsia"/>
          <w:color w:val="000000" w:themeColor="text1"/>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回顾四季度，国内宏观经济基本面运行偏弱，前期对经济增长拉动较强的出口增速转负，疫情快速传播下国内消费与生产减速。与此同时，相较经济基本面运行的</w:t>
      </w:r>
      <w:r>
        <w:rPr>
          <w:rFonts w:eastAsiaTheme="minorEastAsia"/>
          <w:color w:val="000000" w:themeColor="text1"/>
          <w:szCs w:val="21"/>
        </w:rPr>
        <w:t>“</w:t>
      </w:r>
      <w:r>
        <w:rPr>
          <w:rFonts w:eastAsiaTheme="minorEastAsia"/>
          <w:color w:val="000000" w:themeColor="text1"/>
          <w:szCs w:val="21"/>
        </w:rPr>
        <w:t>弱现实</w:t>
      </w:r>
      <w:r>
        <w:rPr>
          <w:rFonts w:eastAsiaTheme="minorEastAsia"/>
          <w:color w:val="000000" w:themeColor="text1"/>
          <w:szCs w:val="21"/>
        </w:rPr>
        <w:t>”</w:t>
      </w:r>
      <w:r>
        <w:rPr>
          <w:rFonts w:eastAsiaTheme="minorEastAsia"/>
          <w:color w:val="000000" w:themeColor="text1"/>
          <w:szCs w:val="21"/>
        </w:rPr>
        <w:t>，经济政策更加转向内需驱动、疫情防控政策优化，对明年经济增长恢复的</w:t>
      </w:r>
      <w:r>
        <w:rPr>
          <w:rFonts w:eastAsiaTheme="minorEastAsia"/>
          <w:color w:val="000000" w:themeColor="text1"/>
          <w:szCs w:val="21"/>
        </w:rPr>
        <w:t>“</w:t>
      </w:r>
      <w:r>
        <w:rPr>
          <w:rFonts w:eastAsiaTheme="minorEastAsia"/>
          <w:color w:val="000000" w:themeColor="text1"/>
          <w:szCs w:val="21"/>
        </w:rPr>
        <w:t>强预期</w:t>
      </w:r>
      <w:r>
        <w:rPr>
          <w:rFonts w:eastAsiaTheme="minorEastAsia"/>
          <w:color w:val="000000" w:themeColor="text1"/>
          <w:szCs w:val="21"/>
        </w:rPr>
        <w:t>”</w:t>
      </w:r>
      <w:r>
        <w:rPr>
          <w:rFonts w:eastAsiaTheme="minorEastAsia"/>
          <w:color w:val="000000" w:themeColor="text1"/>
          <w:szCs w:val="21"/>
        </w:rPr>
        <w:t>逐步形成，</w:t>
      </w:r>
      <w:r>
        <w:rPr>
          <w:rFonts w:eastAsiaTheme="minorEastAsia"/>
          <w:color w:val="000000" w:themeColor="text1"/>
          <w:szCs w:val="21"/>
        </w:rPr>
        <w:t>A</w:t>
      </w:r>
      <w:r>
        <w:rPr>
          <w:rFonts w:eastAsiaTheme="minorEastAsia"/>
          <w:color w:val="000000" w:themeColor="text1"/>
          <w:szCs w:val="21"/>
        </w:rPr>
        <w:t>股市场也在</w:t>
      </w:r>
      <w:r>
        <w:rPr>
          <w:rFonts w:eastAsiaTheme="minorEastAsia"/>
          <w:color w:val="000000" w:themeColor="text1"/>
          <w:szCs w:val="21"/>
        </w:rPr>
        <w:t>10</w:t>
      </w:r>
      <w:r>
        <w:rPr>
          <w:rFonts w:eastAsiaTheme="minorEastAsia"/>
          <w:color w:val="000000" w:themeColor="text1"/>
          <w:szCs w:val="21"/>
        </w:rPr>
        <w:t>月底迎来了底部反转。债券市场与股市表现为明显的负相关，并出现了理财产品赎回导致的负反馈，随年底央行对资金面呵护增多，债市趋于平稳。海外方面，美国通胀数据见顶回落，</w:t>
      </w:r>
      <w:r>
        <w:rPr>
          <w:rFonts w:eastAsiaTheme="minorEastAsia"/>
          <w:color w:val="000000" w:themeColor="text1"/>
          <w:szCs w:val="21"/>
        </w:rPr>
        <w:t>12</w:t>
      </w:r>
      <w:r>
        <w:rPr>
          <w:rFonts w:eastAsiaTheme="minorEastAsia"/>
          <w:color w:val="000000" w:themeColor="text1"/>
          <w:szCs w:val="21"/>
        </w:rPr>
        <w:t>月美联储加息幅度已由</w:t>
      </w:r>
      <w:r>
        <w:rPr>
          <w:rFonts w:eastAsiaTheme="minorEastAsia"/>
          <w:color w:val="000000" w:themeColor="text1"/>
          <w:szCs w:val="21"/>
        </w:rPr>
        <w:t>75BP</w:t>
      </w:r>
      <w:r>
        <w:rPr>
          <w:rFonts w:eastAsiaTheme="minorEastAsia"/>
          <w:color w:val="000000" w:themeColor="text1"/>
          <w:szCs w:val="21"/>
        </w:rPr>
        <w:t>降至</w:t>
      </w:r>
      <w:r>
        <w:rPr>
          <w:rFonts w:eastAsiaTheme="minorEastAsia"/>
          <w:color w:val="000000" w:themeColor="text1"/>
          <w:szCs w:val="21"/>
        </w:rPr>
        <w:t>50BP</w:t>
      </w:r>
      <w:r>
        <w:rPr>
          <w:rFonts w:eastAsiaTheme="minorEastAsia"/>
          <w:color w:val="000000" w:themeColor="text1"/>
          <w:szCs w:val="21"/>
        </w:rPr>
        <w:t>，市场对</w:t>
      </w:r>
      <w:r>
        <w:rPr>
          <w:rFonts w:eastAsiaTheme="minorEastAsia"/>
          <w:color w:val="000000" w:themeColor="text1"/>
          <w:szCs w:val="21"/>
        </w:rPr>
        <w:t>2023</w:t>
      </w:r>
      <w:r>
        <w:rPr>
          <w:rFonts w:eastAsiaTheme="minorEastAsia"/>
          <w:color w:val="000000" w:themeColor="text1"/>
          <w:szCs w:val="21"/>
        </w:rPr>
        <w:t>年经济陷入衰退的预期有所增加，海外权益在四季度整体表现为震荡。海外债券市场收益率先升后降，</w:t>
      </w:r>
      <w:r>
        <w:rPr>
          <w:rFonts w:eastAsiaTheme="minorEastAsia"/>
          <w:color w:val="000000" w:themeColor="text1"/>
          <w:szCs w:val="21"/>
        </w:rPr>
        <w:t>10</w:t>
      </w:r>
      <w:r>
        <w:rPr>
          <w:rFonts w:eastAsiaTheme="minorEastAsia"/>
          <w:color w:val="000000" w:themeColor="text1"/>
          <w:szCs w:val="21"/>
        </w:rPr>
        <w:t>年期美债到期收益率一度上行突破</w:t>
      </w:r>
      <w:r>
        <w:rPr>
          <w:rFonts w:eastAsiaTheme="minorEastAsia"/>
          <w:color w:val="000000" w:themeColor="text1"/>
          <w:szCs w:val="21"/>
        </w:rPr>
        <w:t>4.3%</w:t>
      </w:r>
      <w:r>
        <w:rPr>
          <w:rFonts w:eastAsiaTheme="minorEastAsia"/>
          <w:color w:val="000000" w:themeColor="text1"/>
          <w:szCs w:val="21"/>
        </w:rPr>
        <w:t>，季末回到季初的</w:t>
      </w:r>
      <w:r>
        <w:rPr>
          <w:rFonts w:eastAsiaTheme="minorEastAsia"/>
          <w:color w:val="000000" w:themeColor="text1"/>
          <w:szCs w:val="21"/>
        </w:rPr>
        <w:t>3.8%</w:t>
      </w:r>
      <w:r>
        <w:rPr>
          <w:rFonts w:eastAsiaTheme="minorEastAsia"/>
          <w:color w:val="000000" w:themeColor="text1"/>
          <w:szCs w:val="21"/>
        </w:rPr>
        <w:t>附近。</w:t>
      </w:r>
      <w:r>
        <w:rPr>
          <w:rFonts w:eastAsiaTheme="minorEastAsia"/>
          <w:color w:val="000000" w:themeColor="text1"/>
          <w:szCs w:val="21"/>
        </w:rPr>
        <w:t xml:space="preserve"> </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估值分位、相对债券资产的估值均处在具备吸引力的水平，为长期投资提供一定安全边际。过去一个季度，主要的积极变化来自于宏观政策、疫情防控政策的积极调整，相信政策效果将在</w:t>
      </w:r>
      <w:r>
        <w:rPr>
          <w:rFonts w:eastAsiaTheme="minorEastAsia"/>
          <w:color w:val="000000" w:themeColor="text1"/>
          <w:szCs w:val="21"/>
        </w:rPr>
        <w:t>2023</w:t>
      </w:r>
      <w:r>
        <w:rPr>
          <w:rFonts w:eastAsiaTheme="minorEastAsia"/>
          <w:color w:val="000000" w:themeColor="text1"/>
          <w:szCs w:val="21"/>
        </w:rPr>
        <w:t>年有所体现。结构上，利好受益稳内需政策加码的领域，包括地产链、政府支出或补贴可能增加的基建、信创、自主可控等领域；对消费服务业领域保持关注，但相关板块的共识度已在股价中有较充分的反映、博弈情绪较浓，后续波动可能增加。</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对于国内债券来讲，国内经济增长预期改善不利于长久期债券，内外利差仍为负值，总体维持相对谨慎的看法。海外金融市场对于美联储放缓加息已有较充分的预期抢跑，从美联储、欧央行的最新预测来看，均上调</w:t>
      </w:r>
      <w:r w:rsidRPr="00B27A29">
        <w:rPr>
          <w:rFonts w:eastAsiaTheme="minorEastAsia"/>
          <w:color w:val="000000" w:themeColor="text1"/>
          <w:szCs w:val="21"/>
        </w:rPr>
        <w:t>2023</w:t>
      </w:r>
      <w:r w:rsidRPr="00B27A29">
        <w:rPr>
          <w:rFonts w:eastAsiaTheme="minorEastAsia"/>
          <w:color w:val="000000" w:themeColor="text1"/>
          <w:szCs w:val="21"/>
        </w:rPr>
        <w:t>年的通胀预期、下调经济增长预期，趋向于滞胀预期的增强，在这样的宏观情景假设下，我们倾向于认为可以等待更好的时机配置发达国家资产。当然，我们认为发达市场债券的机会将早于权益。对于港股，尽管四季度有所反弹，但估值仍在历史较低位置，监管政策趋于呵护，叠加内地疫情防控放松利于经济修复，具有较好的配置价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本报告期上投摩根锦程均衡养老三年持有混合</w:t>
      </w:r>
      <w:r>
        <w:rPr>
          <w:rFonts w:eastAsiaTheme="minorEastAsia"/>
          <w:color w:val="000000" w:themeColor="text1"/>
          <w:szCs w:val="21"/>
        </w:rPr>
        <w:t>(FOF)A</w:t>
      </w:r>
      <w:r>
        <w:rPr>
          <w:rFonts w:eastAsiaTheme="minorEastAsia"/>
          <w:color w:val="000000" w:themeColor="text1"/>
          <w:szCs w:val="21"/>
        </w:rPr>
        <w:t>份额净值增长率为</w:t>
      </w:r>
      <w:r>
        <w:rPr>
          <w:rFonts w:eastAsiaTheme="minorEastAsia"/>
          <w:color w:val="000000" w:themeColor="text1"/>
          <w:szCs w:val="21"/>
        </w:rPr>
        <w:t>:-0.81%</w:t>
      </w:r>
      <w:r>
        <w:rPr>
          <w:rFonts w:eastAsiaTheme="minorEastAsia"/>
          <w:color w:val="000000" w:themeColor="text1"/>
          <w:szCs w:val="21"/>
        </w:rPr>
        <w:t>，同期业绩比较基准收益率为</w:t>
      </w:r>
      <w:r>
        <w:rPr>
          <w:rFonts w:eastAsiaTheme="minorEastAsia"/>
          <w:color w:val="000000" w:themeColor="text1"/>
          <w:szCs w:val="21"/>
        </w:rPr>
        <w:t>:1.</w:t>
      </w:r>
      <w:r w:rsidR="00275E15">
        <w:rPr>
          <w:rFonts w:eastAsiaTheme="minorEastAsia"/>
          <w:color w:val="000000" w:themeColor="text1"/>
          <w:szCs w:val="21"/>
        </w:rPr>
        <w:t>11</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(FOF)Y</w:t>
      </w:r>
      <w:r w:rsidRPr="00B27A29">
        <w:rPr>
          <w:rFonts w:eastAsiaTheme="minorEastAsia"/>
          <w:color w:val="000000" w:themeColor="text1"/>
          <w:szCs w:val="21"/>
        </w:rPr>
        <w:t>份额净值增长率为</w:t>
      </w:r>
      <w:r w:rsidRPr="00B27A29">
        <w:rPr>
          <w:rFonts w:eastAsiaTheme="minorEastAsia"/>
          <w:color w:val="000000" w:themeColor="text1"/>
          <w:szCs w:val="21"/>
        </w:rPr>
        <w:t>:0.60%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w:t>
      </w:r>
      <w:r w:rsidR="00275E15">
        <w:rPr>
          <w:rFonts w:eastAsiaTheme="minorEastAsia"/>
          <w:color w:val="000000" w:themeColor="text1"/>
          <w:szCs w:val="21"/>
        </w:rPr>
        <w:t>8</w:t>
      </w:r>
      <w:r w:rsidRPr="00B27A29">
        <w:rPr>
          <w:rFonts w:eastAsiaTheme="minorEastAsia"/>
          <w:color w:val="000000" w:themeColor="text1"/>
          <w:szCs w:val="21"/>
        </w:rPr>
        <w:t>%</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1,316,574.00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0.89</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1,316,574.00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0.89</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125,403,747.38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84.79</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6,745,936.30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4.56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6,745,936.30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4.56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5,000,000.00</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3.38</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6,253,063.19</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4.23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3,183,143.44</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2.15</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147,902,464.31</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1,316,574.00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1,316,574.00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C7550">
        <w:tc>
          <w:tcPr>
            <w:tcW w:w="817" w:type="dxa"/>
            <w:vAlign w:val="center"/>
          </w:tcPr>
          <w:p w:rsidR="004C7550" w:rsidRDefault="002121E7">
            <w:pPr>
              <w:jc w:val="center"/>
            </w:pPr>
            <w:r>
              <w:rPr>
                <w:rFonts w:eastAsiaTheme="minorEastAsia"/>
                <w:kern w:val="0"/>
                <w:szCs w:val="21"/>
              </w:rPr>
              <w:t>1</w:t>
            </w:r>
          </w:p>
        </w:tc>
        <w:tc>
          <w:tcPr>
            <w:tcW w:w="1276" w:type="dxa"/>
            <w:vAlign w:val="center"/>
          </w:tcPr>
          <w:p w:rsidR="004C7550" w:rsidRDefault="002121E7">
            <w:pPr>
              <w:jc w:val="center"/>
            </w:pPr>
            <w:r>
              <w:rPr>
                <w:rFonts w:eastAsiaTheme="minorEastAsia"/>
                <w:kern w:val="0"/>
                <w:szCs w:val="21"/>
              </w:rPr>
              <w:t>601318</w:t>
            </w:r>
          </w:p>
        </w:tc>
        <w:tc>
          <w:tcPr>
            <w:tcW w:w="1701" w:type="dxa"/>
            <w:vAlign w:val="center"/>
          </w:tcPr>
          <w:p w:rsidR="004C7550" w:rsidRDefault="002121E7">
            <w:pPr>
              <w:jc w:val="center"/>
            </w:pPr>
            <w:r>
              <w:rPr>
                <w:rFonts w:eastAsiaTheme="minorEastAsia"/>
                <w:kern w:val="0"/>
                <w:szCs w:val="21"/>
              </w:rPr>
              <w:t>中国平安</w:t>
            </w:r>
          </w:p>
        </w:tc>
        <w:tc>
          <w:tcPr>
            <w:tcW w:w="1276" w:type="dxa"/>
            <w:vAlign w:val="center"/>
          </w:tcPr>
          <w:p w:rsidR="004C7550" w:rsidRDefault="002121E7">
            <w:pPr>
              <w:jc w:val="right"/>
            </w:pPr>
            <w:r>
              <w:rPr>
                <w:rFonts w:eastAsiaTheme="minorEastAsia"/>
                <w:kern w:val="0"/>
                <w:szCs w:val="21"/>
              </w:rPr>
              <w:t>16,200.00</w:t>
            </w:r>
          </w:p>
        </w:tc>
        <w:tc>
          <w:tcPr>
            <w:tcW w:w="1842" w:type="dxa"/>
            <w:vAlign w:val="center"/>
          </w:tcPr>
          <w:p w:rsidR="004C7550" w:rsidRDefault="002121E7">
            <w:pPr>
              <w:jc w:val="right"/>
            </w:pPr>
            <w:r>
              <w:rPr>
                <w:rFonts w:eastAsiaTheme="minorEastAsia"/>
                <w:kern w:val="0"/>
                <w:szCs w:val="21"/>
              </w:rPr>
              <w:t>761,400.00</w:t>
            </w:r>
          </w:p>
        </w:tc>
        <w:tc>
          <w:tcPr>
            <w:tcW w:w="1616" w:type="dxa"/>
            <w:vAlign w:val="center"/>
          </w:tcPr>
          <w:p w:rsidR="004C7550" w:rsidRDefault="002121E7">
            <w:pPr>
              <w:jc w:val="right"/>
            </w:pPr>
            <w:r>
              <w:rPr>
                <w:rFonts w:eastAsiaTheme="minorEastAsia"/>
                <w:kern w:val="0"/>
                <w:szCs w:val="21"/>
              </w:rPr>
              <w:t>0.53</w:t>
            </w:r>
          </w:p>
        </w:tc>
      </w:tr>
      <w:tr w:rsidR="004C7550">
        <w:tc>
          <w:tcPr>
            <w:tcW w:w="817" w:type="dxa"/>
            <w:vAlign w:val="center"/>
          </w:tcPr>
          <w:p w:rsidR="004C7550" w:rsidRDefault="002121E7">
            <w:pPr>
              <w:jc w:val="center"/>
            </w:pPr>
            <w:r>
              <w:rPr>
                <w:rFonts w:eastAsiaTheme="minorEastAsia"/>
                <w:kern w:val="0"/>
                <w:szCs w:val="21"/>
              </w:rPr>
              <w:t>2</w:t>
            </w:r>
          </w:p>
        </w:tc>
        <w:tc>
          <w:tcPr>
            <w:tcW w:w="1276" w:type="dxa"/>
            <w:vAlign w:val="center"/>
          </w:tcPr>
          <w:p w:rsidR="004C7550" w:rsidRDefault="002121E7">
            <w:pPr>
              <w:jc w:val="center"/>
            </w:pPr>
            <w:r>
              <w:rPr>
                <w:rFonts w:eastAsiaTheme="minorEastAsia"/>
                <w:kern w:val="0"/>
                <w:szCs w:val="21"/>
              </w:rPr>
              <w:t>600036</w:t>
            </w:r>
          </w:p>
        </w:tc>
        <w:tc>
          <w:tcPr>
            <w:tcW w:w="1701" w:type="dxa"/>
            <w:vAlign w:val="center"/>
          </w:tcPr>
          <w:p w:rsidR="004C7550" w:rsidRDefault="002121E7">
            <w:pPr>
              <w:jc w:val="center"/>
            </w:pPr>
            <w:r>
              <w:rPr>
                <w:rFonts w:eastAsiaTheme="minorEastAsia"/>
                <w:kern w:val="0"/>
                <w:szCs w:val="21"/>
              </w:rPr>
              <w:t>招商银行</w:t>
            </w:r>
          </w:p>
        </w:tc>
        <w:tc>
          <w:tcPr>
            <w:tcW w:w="1276" w:type="dxa"/>
            <w:vAlign w:val="center"/>
          </w:tcPr>
          <w:p w:rsidR="004C7550" w:rsidRDefault="002121E7">
            <w:pPr>
              <w:jc w:val="right"/>
            </w:pPr>
            <w:r>
              <w:rPr>
                <w:rFonts w:eastAsiaTheme="minorEastAsia"/>
                <w:kern w:val="0"/>
                <w:szCs w:val="21"/>
              </w:rPr>
              <w:t>14,900.00</w:t>
            </w:r>
          </w:p>
        </w:tc>
        <w:tc>
          <w:tcPr>
            <w:tcW w:w="1842" w:type="dxa"/>
            <w:vAlign w:val="center"/>
          </w:tcPr>
          <w:p w:rsidR="004C7550" w:rsidRDefault="002121E7">
            <w:pPr>
              <w:jc w:val="right"/>
            </w:pPr>
            <w:r>
              <w:rPr>
                <w:rFonts w:eastAsiaTheme="minorEastAsia"/>
                <w:kern w:val="0"/>
                <w:szCs w:val="21"/>
              </w:rPr>
              <w:t>555,174.00</w:t>
            </w:r>
          </w:p>
        </w:tc>
        <w:tc>
          <w:tcPr>
            <w:tcW w:w="1616" w:type="dxa"/>
            <w:vAlign w:val="center"/>
          </w:tcPr>
          <w:p w:rsidR="004C7550" w:rsidRDefault="002121E7">
            <w:pPr>
              <w:jc w:val="right"/>
            </w:pPr>
            <w:r>
              <w:rPr>
                <w:rFonts w:eastAsiaTheme="minorEastAsia"/>
                <w:kern w:val="0"/>
                <w:szCs w:val="21"/>
              </w:rPr>
              <w:t>0.39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6,745,936.30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6,745,936.30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4C7550">
        <w:tc>
          <w:tcPr>
            <w:tcW w:w="1504" w:type="dxa"/>
            <w:vAlign w:val="center"/>
          </w:tcPr>
          <w:p w:rsidR="004C7550" w:rsidRDefault="002121E7">
            <w:pPr>
              <w:jc w:val="center"/>
            </w:pPr>
            <w:r>
              <w:rPr>
                <w:rFonts w:eastAsiaTheme="minorEastAsia"/>
                <w:color w:val="000000" w:themeColor="text1"/>
                <w:szCs w:val="21"/>
              </w:rPr>
              <w:t>1</w:t>
            </w:r>
          </w:p>
        </w:tc>
        <w:tc>
          <w:tcPr>
            <w:tcW w:w="1504" w:type="dxa"/>
            <w:vAlign w:val="center"/>
          </w:tcPr>
          <w:p w:rsidR="004C7550" w:rsidRDefault="002121E7">
            <w:pPr>
              <w:jc w:val="center"/>
            </w:pPr>
            <w:r>
              <w:rPr>
                <w:rFonts w:eastAsiaTheme="minorEastAsia"/>
                <w:color w:val="000000" w:themeColor="text1"/>
                <w:szCs w:val="21"/>
              </w:rPr>
              <w:t>019679</w:t>
            </w:r>
          </w:p>
        </w:tc>
        <w:tc>
          <w:tcPr>
            <w:tcW w:w="1504" w:type="dxa"/>
            <w:vAlign w:val="center"/>
          </w:tcPr>
          <w:p w:rsidR="004C7550" w:rsidRDefault="002121E7">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4C7550" w:rsidRDefault="002121E7">
            <w:pPr>
              <w:jc w:val="right"/>
            </w:pPr>
            <w:r>
              <w:rPr>
                <w:rFonts w:eastAsiaTheme="minorEastAsia"/>
                <w:color w:val="000000" w:themeColor="text1"/>
                <w:szCs w:val="21"/>
              </w:rPr>
              <w:t>67,000</w:t>
            </w:r>
          </w:p>
        </w:tc>
        <w:tc>
          <w:tcPr>
            <w:tcW w:w="1503" w:type="dxa"/>
            <w:vAlign w:val="center"/>
          </w:tcPr>
          <w:p w:rsidR="004C7550" w:rsidRDefault="002121E7">
            <w:pPr>
              <w:jc w:val="right"/>
            </w:pPr>
            <w:r>
              <w:rPr>
                <w:rFonts w:eastAsiaTheme="minorEastAsia"/>
                <w:color w:val="000000" w:themeColor="text1"/>
                <w:szCs w:val="21"/>
              </w:rPr>
              <w:t>6,745,936.30</w:t>
            </w:r>
          </w:p>
        </w:tc>
        <w:tc>
          <w:tcPr>
            <w:tcW w:w="1503" w:type="dxa"/>
            <w:vAlign w:val="center"/>
          </w:tcPr>
          <w:p w:rsidR="004C7550" w:rsidRDefault="002121E7">
            <w:pPr>
              <w:jc w:val="right"/>
            </w:pPr>
            <w:r>
              <w:rPr>
                <w:rFonts w:eastAsiaTheme="minorEastAsia"/>
                <w:color w:val="000000" w:themeColor="text1"/>
                <w:szCs w:val="21"/>
              </w:rPr>
              <w:t>4.73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32,097.13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1,047,000.00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215,537.11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1,888,499.19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3,183,143.44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4C7550">
        <w:tc>
          <w:tcPr>
            <w:tcW w:w="817" w:type="dxa"/>
            <w:vAlign w:val="center"/>
          </w:tcPr>
          <w:p w:rsidR="004C7550" w:rsidRDefault="002121E7">
            <w:pPr>
              <w:jc w:val="center"/>
            </w:pPr>
            <w:r>
              <w:rPr>
                <w:sz w:val="24"/>
              </w:rPr>
              <w:t>1</w:t>
            </w:r>
          </w:p>
        </w:tc>
        <w:tc>
          <w:tcPr>
            <w:tcW w:w="1133" w:type="dxa"/>
            <w:vAlign w:val="center"/>
          </w:tcPr>
          <w:p w:rsidR="004C7550" w:rsidRDefault="002121E7">
            <w:pPr>
              <w:jc w:val="center"/>
            </w:pPr>
            <w:r>
              <w:rPr>
                <w:sz w:val="24"/>
              </w:rPr>
              <w:t>100018</w:t>
            </w:r>
          </w:p>
        </w:tc>
        <w:tc>
          <w:tcPr>
            <w:tcW w:w="1135" w:type="dxa"/>
            <w:vAlign w:val="center"/>
          </w:tcPr>
          <w:p w:rsidR="004C7550" w:rsidRDefault="002121E7">
            <w:pPr>
              <w:jc w:val="center"/>
            </w:pPr>
            <w:r>
              <w:rPr>
                <w:sz w:val="24"/>
              </w:rPr>
              <w:t>富国天利增长债券</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3,991,385.85</w:t>
            </w:r>
          </w:p>
        </w:tc>
        <w:tc>
          <w:tcPr>
            <w:tcW w:w="1276" w:type="dxa"/>
            <w:vAlign w:val="center"/>
          </w:tcPr>
          <w:p w:rsidR="004C7550" w:rsidRDefault="002121E7">
            <w:pPr>
              <w:jc w:val="center"/>
            </w:pPr>
            <w:r>
              <w:rPr>
                <w:sz w:val="24"/>
              </w:rPr>
              <w:t>5,193,192.13</w:t>
            </w:r>
          </w:p>
        </w:tc>
        <w:tc>
          <w:tcPr>
            <w:tcW w:w="1135" w:type="dxa"/>
            <w:vAlign w:val="center"/>
          </w:tcPr>
          <w:p w:rsidR="004C7550" w:rsidRDefault="002121E7">
            <w:pPr>
              <w:jc w:val="center"/>
            </w:pPr>
            <w:r>
              <w:rPr>
                <w:sz w:val="24"/>
              </w:rPr>
              <w:t>3.64%</w:t>
            </w:r>
          </w:p>
        </w:tc>
        <w:tc>
          <w:tcPr>
            <w:tcW w:w="1272" w:type="dxa"/>
            <w:vAlign w:val="center"/>
          </w:tcPr>
          <w:p w:rsidR="004C7550" w:rsidRDefault="002121E7">
            <w:pPr>
              <w:jc w:val="center"/>
            </w:pPr>
            <w:r>
              <w:rPr>
                <w:sz w:val="24"/>
              </w:rPr>
              <w:t>否</w:t>
            </w:r>
          </w:p>
        </w:tc>
      </w:tr>
      <w:tr w:rsidR="004C7550">
        <w:tc>
          <w:tcPr>
            <w:tcW w:w="817" w:type="dxa"/>
            <w:vAlign w:val="center"/>
          </w:tcPr>
          <w:p w:rsidR="004C7550" w:rsidRDefault="002121E7">
            <w:pPr>
              <w:jc w:val="center"/>
            </w:pPr>
            <w:r>
              <w:rPr>
                <w:sz w:val="24"/>
              </w:rPr>
              <w:t>2</w:t>
            </w:r>
          </w:p>
        </w:tc>
        <w:tc>
          <w:tcPr>
            <w:tcW w:w="1133" w:type="dxa"/>
            <w:vAlign w:val="center"/>
          </w:tcPr>
          <w:p w:rsidR="004C7550" w:rsidRDefault="002121E7">
            <w:pPr>
              <w:jc w:val="center"/>
            </w:pPr>
            <w:r>
              <w:rPr>
                <w:sz w:val="24"/>
              </w:rPr>
              <w:t>003949</w:t>
            </w:r>
          </w:p>
        </w:tc>
        <w:tc>
          <w:tcPr>
            <w:tcW w:w="1135" w:type="dxa"/>
            <w:vAlign w:val="center"/>
          </w:tcPr>
          <w:p w:rsidR="004C7550" w:rsidRDefault="002121E7">
            <w:pPr>
              <w:jc w:val="center"/>
            </w:pPr>
            <w:r>
              <w:rPr>
                <w:sz w:val="24"/>
              </w:rPr>
              <w:t>兴全稳泰债券</w:t>
            </w:r>
            <w:r>
              <w:rPr>
                <w:sz w:val="24"/>
              </w:rPr>
              <w:t>A</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4,540,881.07</w:t>
            </w:r>
          </w:p>
        </w:tc>
        <w:tc>
          <w:tcPr>
            <w:tcW w:w="1276" w:type="dxa"/>
            <w:vAlign w:val="center"/>
          </w:tcPr>
          <w:p w:rsidR="004C7550" w:rsidRDefault="002121E7">
            <w:pPr>
              <w:jc w:val="center"/>
            </w:pPr>
            <w:r>
              <w:rPr>
                <w:sz w:val="24"/>
              </w:rPr>
              <w:t>5,097,593.09</w:t>
            </w:r>
          </w:p>
        </w:tc>
        <w:tc>
          <w:tcPr>
            <w:tcW w:w="1135" w:type="dxa"/>
            <w:vAlign w:val="center"/>
          </w:tcPr>
          <w:p w:rsidR="004C7550" w:rsidRDefault="002121E7">
            <w:pPr>
              <w:jc w:val="center"/>
            </w:pPr>
            <w:r>
              <w:rPr>
                <w:sz w:val="24"/>
              </w:rPr>
              <w:t>3.58%</w:t>
            </w:r>
          </w:p>
        </w:tc>
        <w:tc>
          <w:tcPr>
            <w:tcW w:w="1272" w:type="dxa"/>
            <w:vAlign w:val="center"/>
          </w:tcPr>
          <w:p w:rsidR="004C7550" w:rsidRDefault="002121E7">
            <w:pPr>
              <w:jc w:val="center"/>
            </w:pPr>
            <w:r>
              <w:rPr>
                <w:sz w:val="24"/>
              </w:rPr>
              <w:t>否</w:t>
            </w:r>
          </w:p>
        </w:tc>
      </w:tr>
      <w:tr w:rsidR="004C7550">
        <w:tc>
          <w:tcPr>
            <w:tcW w:w="817" w:type="dxa"/>
            <w:vAlign w:val="center"/>
          </w:tcPr>
          <w:p w:rsidR="004C7550" w:rsidRDefault="002121E7">
            <w:pPr>
              <w:jc w:val="center"/>
            </w:pPr>
            <w:r>
              <w:rPr>
                <w:sz w:val="24"/>
              </w:rPr>
              <w:t>3</w:t>
            </w:r>
          </w:p>
        </w:tc>
        <w:tc>
          <w:tcPr>
            <w:tcW w:w="1133" w:type="dxa"/>
            <w:vAlign w:val="center"/>
          </w:tcPr>
          <w:p w:rsidR="004C7550" w:rsidRDefault="002121E7">
            <w:pPr>
              <w:jc w:val="center"/>
            </w:pPr>
            <w:r>
              <w:rPr>
                <w:sz w:val="24"/>
              </w:rPr>
              <w:t>000186</w:t>
            </w:r>
          </w:p>
        </w:tc>
        <w:tc>
          <w:tcPr>
            <w:tcW w:w="1135" w:type="dxa"/>
            <w:vAlign w:val="center"/>
          </w:tcPr>
          <w:p w:rsidR="004C7550" w:rsidRDefault="002121E7">
            <w:pPr>
              <w:jc w:val="center"/>
            </w:pPr>
            <w:r>
              <w:rPr>
                <w:sz w:val="24"/>
              </w:rPr>
              <w:t>华泰柏瑞季季红债券</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4,723,091.97</w:t>
            </w:r>
          </w:p>
        </w:tc>
        <w:tc>
          <w:tcPr>
            <w:tcW w:w="1276" w:type="dxa"/>
            <w:vAlign w:val="center"/>
          </w:tcPr>
          <w:p w:rsidR="004C7550" w:rsidRDefault="002121E7">
            <w:pPr>
              <w:jc w:val="center"/>
            </w:pPr>
            <w:r>
              <w:rPr>
                <w:sz w:val="24"/>
              </w:rPr>
              <w:t>4,996,086.69</w:t>
            </w:r>
          </w:p>
        </w:tc>
        <w:tc>
          <w:tcPr>
            <w:tcW w:w="1135" w:type="dxa"/>
            <w:vAlign w:val="center"/>
          </w:tcPr>
          <w:p w:rsidR="004C7550" w:rsidRDefault="002121E7">
            <w:pPr>
              <w:jc w:val="center"/>
            </w:pPr>
            <w:r>
              <w:rPr>
                <w:sz w:val="24"/>
              </w:rPr>
              <w:t>3.51%</w:t>
            </w:r>
          </w:p>
        </w:tc>
        <w:tc>
          <w:tcPr>
            <w:tcW w:w="1272" w:type="dxa"/>
            <w:vAlign w:val="center"/>
          </w:tcPr>
          <w:p w:rsidR="004C7550" w:rsidRDefault="002121E7">
            <w:pPr>
              <w:jc w:val="center"/>
            </w:pPr>
            <w:r>
              <w:rPr>
                <w:sz w:val="24"/>
              </w:rPr>
              <w:t>否</w:t>
            </w:r>
          </w:p>
        </w:tc>
      </w:tr>
      <w:tr w:rsidR="004C7550">
        <w:tc>
          <w:tcPr>
            <w:tcW w:w="817" w:type="dxa"/>
            <w:vAlign w:val="center"/>
          </w:tcPr>
          <w:p w:rsidR="004C7550" w:rsidRDefault="002121E7">
            <w:pPr>
              <w:jc w:val="center"/>
            </w:pPr>
            <w:r>
              <w:rPr>
                <w:sz w:val="24"/>
              </w:rPr>
              <w:t>4</w:t>
            </w:r>
          </w:p>
        </w:tc>
        <w:tc>
          <w:tcPr>
            <w:tcW w:w="1133" w:type="dxa"/>
            <w:vAlign w:val="center"/>
          </w:tcPr>
          <w:p w:rsidR="004C7550" w:rsidRDefault="002121E7">
            <w:pPr>
              <w:jc w:val="center"/>
            </w:pPr>
            <w:r>
              <w:rPr>
                <w:sz w:val="24"/>
              </w:rPr>
              <w:t>004200</w:t>
            </w:r>
          </w:p>
        </w:tc>
        <w:tc>
          <w:tcPr>
            <w:tcW w:w="1135" w:type="dxa"/>
            <w:vAlign w:val="center"/>
          </w:tcPr>
          <w:p w:rsidR="004C7550" w:rsidRDefault="002121E7">
            <w:pPr>
              <w:jc w:val="center"/>
            </w:pPr>
            <w:r>
              <w:rPr>
                <w:sz w:val="24"/>
              </w:rPr>
              <w:t>博时富瑞纯债债券</w:t>
            </w:r>
            <w:r>
              <w:rPr>
                <w:sz w:val="24"/>
              </w:rPr>
              <w:t>A</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4,773,291.69</w:t>
            </w:r>
          </w:p>
        </w:tc>
        <w:tc>
          <w:tcPr>
            <w:tcW w:w="1276" w:type="dxa"/>
            <w:vAlign w:val="center"/>
          </w:tcPr>
          <w:p w:rsidR="004C7550" w:rsidRDefault="002121E7">
            <w:pPr>
              <w:jc w:val="center"/>
            </w:pPr>
            <w:r>
              <w:rPr>
                <w:sz w:val="24"/>
              </w:rPr>
              <w:t>4,936,538.27</w:t>
            </w:r>
          </w:p>
        </w:tc>
        <w:tc>
          <w:tcPr>
            <w:tcW w:w="1135" w:type="dxa"/>
            <w:vAlign w:val="center"/>
          </w:tcPr>
          <w:p w:rsidR="004C7550" w:rsidRDefault="002121E7">
            <w:pPr>
              <w:jc w:val="center"/>
            </w:pPr>
            <w:r>
              <w:rPr>
                <w:sz w:val="24"/>
              </w:rPr>
              <w:t>3.46%</w:t>
            </w:r>
          </w:p>
        </w:tc>
        <w:tc>
          <w:tcPr>
            <w:tcW w:w="1272" w:type="dxa"/>
            <w:vAlign w:val="center"/>
          </w:tcPr>
          <w:p w:rsidR="004C7550" w:rsidRDefault="002121E7">
            <w:pPr>
              <w:jc w:val="center"/>
            </w:pPr>
            <w:r>
              <w:rPr>
                <w:sz w:val="24"/>
              </w:rPr>
              <w:t>否</w:t>
            </w:r>
          </w:p>
        </w:tc>
      </w:tr>
      <w:tr w:rsidR="004C7550">
        <w:tc>
          <w:tcPr>
            <w:tcW w:w="817" w:type="dxa"/>
            <w:vAlign w:val="center"/>
          </w:tcPr>
          <w:p w:rsidR="004C7550" w:rsidRDefault="002121E7">
            <w:pPr>
              <w:jc w:val="center"/>
            </w:pPr>
            <w:r>
              <w:rPr>
                <w:sz w:val="24"/>
              </w:rPr>
              <w:t>5</w:t>
            </w:r>
          </w:p>
        </w:tc>
        <w:tc>
          <w:tcPr>
            <w:tcW w:w="1133" w:type="dxa"/>
            <w:vAlign w:val="center"/>
          </w:tcPr>
          <w:p w:rsidR="004C7550" w:rsidRDefault="002121E7">
            <w:pPr>
              <w:jc w:val="center"/>
            </w:pPr>
            <w:r>
              <w:rPr>
                <w:sz w:val="24"/>
              </w:rPr>
              <w:t>004868</w:t>
            </w:r>
          </w:p>
        </w:tc>
        <w:tc>
          <w:tcPr>
            <w:tcW w:w="1135" w:type="dxa"/>
            <w:vAlign w:val="center"/>
          </w:tcPr>
          <w:p w:rsidR="004C7550" w:rsidRDefault="002121E7">
            <w:pPr>
              <w:jc w:val="center"/>
            </w:pPr>
            <w:r>
              <w:rPr>
                <w:sz w:val="24"/>
              </w:rPr>
              <w:t>交银股息优化混合</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1,809,272.71</w:t>
            </w:r>
          </w:p>
        </w:tc>
        <w:tc>
          <w:tcPr>
            <w:tcW w:w="1276" w:type="dxa"/>
            <w:vAlign w:val="center"/>
          </w:tcPr>
          <w:p w:rsidR="004C7550" w:rsidRDefault="002121E7">
            <w:pPr>
              <w:jc w:val="center"/>
            </w:pPr>
            <w:r>
              <w:rPr>
                <w:sz w:val="24"/>
              </w:rPr>
              <w:t>4,826,958.66</w:t>
            </w:r>
          </w:p>
        </w:tc>
        <w:tc>
          <w:tcPr>
            <w:tcW w:w="1135" w:type="dxa"/>
            <w:vAlign w:val="center"/>
          </w:tcPr>
          <w:p w:rsidR="004C7550" w:rsidRDefault="002121E7">
            <w:pPr>
              <w:jc w:val="center"/>
            </w:pPr>
            <w:r>
              <w:rPr>
                <w:sz w:val="24"/>
              </w:rPr>
              <w:t>3.39%</w:t>
            </w:r>
          </w:p>
        </w:tc>
        <w:tc>
          <w:tcPr>
            <w:tcW w:w="1272" w:type="dxa"/>
            <w:vAlign w:val="center"/>
          </w:tcPr>
          <w:p w:rsidR="004C7550" w:rsidRDefault="002121E7">
            <w:pPr>
              <w:jc w:val="center"/>
            </w:pPr>
            <w:r>
              <w:rPr>
                <w:sz w:val="24"/>
              </w:rPr>
              <w:t>否</w:t>
            </w:r>
          </w:p>
        </w:tc>
      </w:tr>
      <w:tr w:rsidR="004C7550">
        <w:tc>
          <w:tcPr>
            <w:tcW w:w="817" w:type="dxa"/>
            <w:vAlign w:val="center"/>
          </w:tcPr>
          <w:p w:rsidR="004C7550" w:rsidRDefault="002121E7">
            <w:pPr>
              <w:jc w:val="center"/>
            </w:pPr>
            <w:r>
              <w:rPr>
                <w:sz w:val="24"/>
              </w:rPr>
              <w:t>6</w:t>
            </w:r>
          </w:p>
        </w:tc>
        <w:tc>
          <w:tcPr>
            <w:tcW w:w="1133" w:type="dxa"/>
            <w:vAlign w:val="center"/>
          </w:tcPr>
          <w:p w:rsidR="004C7550" w:rsidRDefault="002121E7">
            <w:pPr>
              <w:jc w:val="center"/>
            </w:pPr>
            <w:r>
              <w:rPr>
                <w:sz w:val="24"/>
              </w:rPr>
              <w:t>968050</w:t>
            </w:r>
          </w:p>
        </w:tc>
        <w:tc>
          <w:tcPr>
            <w:tcW w:w="1135" w:type="dxa"/>
            <w:vAlign w:val="center"/>
          </w:tcPr>
          <w:p w:rsidR="004C7550" w:rsidRDefault="002121E7">
            <w:pPr>
              <w:jc w:val="center"/>
            </w:pPr>
            <w:r>
              <w:rPr>
                <w:sz w:val="24"/>
              </w:rPr>
              <w:t>摩根国际债券人民币对冲累计</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454,016.62</w:t>
            </w:r>
          </w:p>
        </w:tc>
        <w:tc>
          <w:tcPr>
            <w:tcW w:w="1276" w:type="dxa"/>
            <w:vAlign w:val="center"/>
          </w:tcPr>
          <w:p w:rsidR="004C7550" w:rsidRDefault="002121E7">
            <w:pPr>
              <w:jc w:val="center"/>
            </w:pPr>
            <w:r>
              <w:rPr>
                <w:sz w:val="24"/>
              </w:rPr>
              <w:t>4,703,612.18</w:t>
            </w:r>
          </w:p>
        </w:tc>
        <w:tc>
          <w:tcPr>
            <w:tcW w:w="1135" w:type="dxa"/>
            <w:vAlign w:val="center"/>
          </w:tcPr>
          <w:p w:rsidR="004C7550" w:rsidRDefault="002121E7">
            <w:pPr>
              <w:jc w:val="center"/>
            </w:pPr>
            <w:r>
              <w:rPr>
                <w:sz w:val="24"/>
              </w:rPr>
              <w:t>3.30%</w:t>
            </w:r>
          </w:p>
        </w:tc>
        <w:tc>
          <w:tcPr>
            <w:tcW w:w="1272" w:type="dxa"/>
            <w:vAlign w:val="center"/>
          </w:tcPr>
          <w:p w:rsidR="004C7550" w:rsidRDefault="002121E7">
            <w:pPr>
              <w:jc w:val="center"/>
            </w:pPr>
            <w:r>
              <w:rPr>
                <w:sz w:val="24"/>
              </w:rPr>
              <w:t>否</w:t>
            </w:r>
          </w:p>
        </w:tc>
      </w:tr>
      <w:tr w:rsidR="004C7550">
        <w:tc>
          <w:tcPr>
            <w:tcW w:w="817" w:type="dxa"/>
            <w:vAlign w:val="center"/>
          </w:tcPr>
          <w:p w:rsidR="004C7550" w:rsidRDefault="002121E7">
            <w:pPr>
              <w:jc w:val="center"/>
            </w:pPr>
            <w:r>
              <w:rPr>
                <w:sz w:val="24"/>
              </w:rPr>
              <w:t>7</w:t>
            </w:r>
          </w:p>
        </w:tc>
        <w:tc>
          <w:tcPr>
            <w:tcW w:w="1133" w:type="dxa"/>
            <w:vAlign w:val="center"/>
          </w:tcPr>
          <w:p w:rsidR="004C7550" w:rsidRDefault="002121E7">
            <w:pPr>
              <w:jc w:val="center"/>
            </w:pPr>
            <w:r>
              <w:rPr>
                <w:sz w:val="24"/>
              </w:rPr>
              <w:t>006551</w:t>
            </w:r>
          </w:p>
        </w:tc>
        <w:tc>
          <w:tcPr>
            <w:tcW w:w="1135" w:type="dxa"/>
            <w:vAlign w:val="center"/>
          </w:tcPr>
          <w:p w:rsidR="004C7550" w:rsidRDefault="002121E7">
            <w:pPr>
              <w:jc w:val="center"/>
            </w:pPr>
            <w:r>
              <w:rPr>
                <w:sz w:val="24"/>
              </w:rPr>
              <w:t>中庚价值领航混合</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1,993,868.58</w:t>
            </w:r>
          </w:p>
        </w:tc>
        <w:tc>
          <w:tcPr>
            <w:tcW w:w="1276" w:type="dxa"/>
            <w:vAlign w:val="center"/>
          </w:tcPr>
          <w:p w:rsidR="004C7550" w:rsidRDefault="002121E7">
            <w:pPr>
              <w:jc w:val="center"/>
            </w:pPr>
            <w:r>
              <w:rPr>
                <w:sz w:val="24"/>
              </w:rPr>
              <w:t>4,531,863.90</w:t>
            </w:r>
          </w:p>
        </w:tc>
        <w:tc>
          <w:tcPr>
            <w:tcW w:w="1135" w:type="dxa"/>
            <w:vAlign w:val="center"/>
          </w:tcPr>
          <w:p w:rsidR="004C7550" w:rsidRDefault="002121E7">
            <w:pPr>
              <w:jc w:val="center"/>
            </w:pPr>
            <w:r>
              <w:rPr>
                <w:sz w:val="24"/>
              </w:rPr>
              <w:t>3.18%</w:t>
            </w:r>
          </w:p>
        </w:tc>
        <w:tc>
          <w:tcPr>
            <w:tcW w:w="1272" w:type="dxa"/>
            <w:vAlign w:val="center"/>
          </w:tcPr>
          <w:p w:rsidR="004C7550" w:rsidRDefault="002121E7">
            <w:pPr>
              <w:jc w:val="center"/>
            </w:pPr>
            <w:r>
              <w:rPr>
                <w:sz w:val="24"/>
              </w:rPr>
              <w:t>否</w:t>
            </w:r>
          </w:p>
        </w:tc>
      </w:tr>
      <w:tr w:rsidR="004C7550">
        <w:tc>
          <w:tcPr>
            <w:tcW w:w="817" w:type="dxa"/>
            <w:vAlign w:val="center"/>
          </w:tcPr>
          <w:p w:rsidR="004C7550" w:rsidRDefault="002121E7">
            <w:pPr>
              <w:jc w:val="center"/>
            </w:pPr>
            <w:r>
              <w:rPr>
                <w:sz w:val="24"/>
              </w:rPr>
              <w:t>8</w:t>
            </w:r>
          </w:p>
        </w:tc>
        <w:tc>
          <w:tcPr>
            <w:tcW w:w="1133" w:type="dxa"/>
            <w:vAlign w:val="center"/>
          </w:tcPr>
          <w:p w:rsidR="004C7550" w:rsidRDefault="002121E7">
            <w:pPr>
              <w:jc w:val="center"/>
            </w:pPr>
            <w:r>
              <w:rPr>
                <w:sz w:val="24"/>
              </w:rPr>
              <w:t>377240</w:t>
            </w:r>
          </w:p>
        </w:tc>
        <w:tc>
          <w:tcPr>
            <w:tcW w:w="1135" w:type="dxa"/>
            <w:vAlign w:val="center"/>
          </w:tcPr>
          <w:p w:rsidR="004C7550" w:rsidRDefault="002121E7">
            <w:pPr>
              <w:jc w:val="center"/>
            </w:pPr>
            <w:r>
              <w:rPr>
                <w:sz w:val="24"/>
              </w:rPr>
              <w:t>上投摩根新兴动力混合</w:t>
            </w:r>
            <w:r>
              <w:rPr>
                <w:sz w:val="24"/>
              </w:rPr>
              <w:t>A</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863,580.48</w:t>
            </w:r>
          </w:p>
        </w:tc>
        <w:tc>
          <w:tcPr>
            <w:tcW w:w="1276" w:type="dxa"/>
            <w:vAlign w:val="center"/>
          </w:tcPr>
          <w:p w:rsidR="004C7550" w:rsidRDefault="002121E7">
            <w:pPr>
              <w:jc w:val="center"/>
            </w:pPr>
            <w:r>
              <w:rPr>
                <w:sz w:val="24"/>
              </w:rPr>
              <w:t>4,418,423.17</w:t>
            </w:r>
          </w:p>
        </w:tc>
        <w:tc>
          <w:tcPr>
            <w:tcW w:w="1135" w:type="dxa"/>
            <w:vAlign w:val="center"/>
          </w:tcPr>
          <w:p w:rsidR="004C7550" w:rsidRDefault="002121E7">
            <w:pPr>
              <w:jc w:val="center"/>
            </w:pPr>
            <w:r>
              <w:rPr>
                <w:sz w:val="24"/>
              </w:rPr>
              <w:t>3.10%</w:t>
            </w:r>
          </w:p>
        </w:tc>
        <w:tc>
          <w:tcPr>
            <w:tcW w:w="1272" w:type="dxa"/>
            <w:vAlign w:val="center"/>
          </w:tcPr>
          <w:p w:rsidR="004C7550" w:rsidRDefault="002121E7">
            <w:pPr>
              <w:jc w:val="center"/>
            </w:pPr>
            <w:r>
              <w:rPr>
                <w:sz w:val="24"/>
              </w:rPr>
              <w:t>是</w:t>
            </w:r>
          </w:p>
        </w:tc>
      </w:tr>
      <w:tr w:rsidR="004C7550">
        <w:tc>
          <w:tcPr>
            <w:tcW w:w="817" w:type="dxa"/>
            <w:vAlign w:val="center"/>
          </w:tcPr>
          <w:p w:rsidR="004C7550" w:rsidRDefault="002121E7">
            <w:pPr>
              <w:jc w:val="center"/>
            </w:pPr>
            <w:r>
              <w:rPr>
                <w:sz w:val="24"/>
              </w:rPr>
              <w:t>9</w:t>
            </w:r>
          </w:p>
        </w:tc>
        <w:tc>
          <w:tcPr>
            <w:tcW w:w="1133" w:type="dxa"/>
            <w:vAlign w:val="center"/>
          </w:tcPr>
          <w:p w:rsidR="004C7550" w:rsidRDefault="002121E7">
            <w:pPr>
              <w:jc w:val="center"/>
            </w:pPr>
            <w:r>
              <w:rPr>
                <w:sz w:val="24"/>
              </w:rPr>
              <w:t>310358</w:t>
            </w:r>
          </w:p>
        </w:tc>
        <w:tc>
          <w:tcPr>
            <w:tcW w:w="1135" w:type="dxa"/>
            <w:vAlign w:val="center"/>
          </w:tcPr>
          <w:p w:rsidR="004C7550" w:rsidRDefault="002121E7">
            <w:pPr>
              <w:jc w:val="center"/>
            </w:pPr>
            <w:r>
              <w:rPr>
                <w:sz w:val="24"/>
              </w:rPr>
              <w:t>申万菱信新经济混合</w:t>
            </w:r>
          </w:p>
        </w:tc>
        <w:tc>
          <w:tcPr>
            <w:tcW w:w="1135" w:type="dxa"/>
            <w:vAlign w:val="center"/>
          </w:tcPr>
          <w:p w:rsidR="004C7550" w:rsidRDefault="002121E7">
            <w:pPr>
              <w:jc w:val="center"/>
            </w:pPr>
            <w:r>
              <w:rPr>
                <w:sz w:val="24"/>
              </w:rPr>
              <w:t>契约型开放式</w:t>
            </w:r>
          </w:p>
        </w:tc>
        <w:tc>
          <w:tcPr>
            <w:tcW w:w="1133" w:type="dxa"/>
            <w:vAlign w:val="center"/>
          </w:tcPr>
          <w:p w:rsidR="004C7550" w:rsidRDefault="002121E7">
            <w:pPr>
              <w:jc w:val="center"/>
            </w:pPr>
            <w:r>
              <w:rPr>
                <w:sz w:val="24"/>
              </w:rPr>
              <w:t>3,753,128.20</w:t>
            </w:r>
          </w:p>
        </w:tc>
        <w:tc>
          <w:tcPr>
            <w:tcW w:w="1276" w:type="dxa"/>
            <w:vAlign w:val="center"/>
          </w:tcPr>
          <w:p w:rsidR="004C7550" w:rsidRDefault="002121E7">
            <w:pPr>
              <w:jc w:val="center"/>
            </w:pPr>
            <w:r>
              <w:rPr>
                <w:sz w:val="24"/>
              </w:rPr>
              <w:t>3,922,018.97</w:t>
            </w:r>
          </w:p>
        </w:tc>
        <w:tc>
          <w:tcPr>
            <w:tcW w:w="1135" w:type="dxa"/>
            <w:vAlign w:val="center"/>
          </w:tcPr>
          <w:p w:rsidR="004C7550" w:rsidRDefault="002121E7">
            <w:pPr>
              <w:jc w:val="center"/>
            </w:pPr>
            <w:r>
              <w:rPr>
                <w:sz w:val="24"/>
              </w:rPr>
              <w:t>2.75%</w:t>
            </w:r>
          </w:p>
        </w:tc>
        <w:tc>
          <w:tcPr>
            <w:tcW w:w="1272" w:type="dxa"/>
            <w:vAlign w:val="center"/>
          </w:tcPr>
          <w:p w:rsidR="004C7550" w:rsidRDefault="002121E7">
            <w:pPr>
              <w:jc w:val="center"/>
            </w:pPr>
            <w:r>
              <w:rPr>
                <w:sz w:val="24"/>
              </w:rPr>
              <w:t>否</w:t>
            </w:r>
          </w:p>
        </w:tc>
      </w:tr>
      <w:tr w:rsidR="004C7550">
        <w:tc>
          <w:tcPr>
            <w:tcW w:w="817" w:type="dxa"/>
            <w:vAlign w:val="center"/>
          </w:tcPr>
          <w:p w:rsidR="004C7550" w:rsidRDefault="002121E7">
            <w:pPr>
              <w:jc w:val="center"/>
            </w:pPr>
            <w:r>
              <w:rPr>
                <w:sz w:val="24"/>
              </w:rPr>
              <w:t>10</w:t>
            </w:r>
          </w:p>
        </w:tc>
        <w:tc>
          <w:tcPr>
            <w:tcW w:w="1133" w:type="dxa"/>
            <w:vAlign w:val="center"/>
          </w:tcPr>
          <w:p w:rsidR="004C7550" w:rsidRDefault="002121E7">
            <w:pPr>
              <w:jc w:val="center"/>
            </w:pPr>
            <w:r>
              <w:rPr>
                <w:sz w:val="24"/>
              </w:rPr>
              <w:t>519756</w:t>
            </w:r>
          </w:p>
        </w:tc>
        <w:tc>
          <w:tcPr>
            <w:tcW w:w="1135" w:type="dxa"/>
            <w:vAlign w:val="center"/>
          </w:tcPr>
          <w:p w:rsidR="004C7550" w:rsidRDefault="002121E7">
            <w:pPr>
              <w:jc w:val="center"/>
            </w:pPr>
            <w:r>
              <w:rPr>
                <w:sz w:val="24"/>
              </w:rPr>
              <w:t>交银国企改革灵活配</w:t>
            </w:r>
            <w:r>
              <w:rPr>
                <w:sz w:val="24"/>
              </w:rPr>
              <w:lastRenderedPageBreak/>
              <w:t>置混合</w:t>
            </w:r>
          </w:p>
        </w:tc>
        <w:tc>
          <w:tcPr>
            <w:tcW w:w="1135" w:type="dxa"/>
            <w:vAlign w:val="center"/>
          </w:tcPr>
          <w:p w:rsidR="004C7550" w:rsidRDefault="002121E7">
            <w:pPr>
              <w:jc w:val="center"/>
            </w:pPr>
            <w:r>
              <w:rPr>
                <w:sz w:val="24"/>
              </w:rPr>
              <w:lastRenderedPageBreak/>
              <w:t>契约型开放式</w:t>
            </w:r>
          </w:p>
        </w:tc>
        <w:tc>
          <w:tcPr>
            <w:tcW w:w="1133" w:type="dxa"/>
            <w:vAlign w:val="center"/>
          </w:tcPr>
          <w:p w:rsidR="004C7550" w:rsidRDefault="002121E7">
            <w:pPr>
              <w:jc w:val="center"/>
            </w:pPr>
            <w:r>
              <w:rPr>
                <w:sz w:val="24"/>
              </w:rPr>
              <w:t>2,062,695.86</w:t>
            </w:r>
          </w:p>
        </w:tc>
        <w:tc>
          <w:tcPr>
            <w:tcW w:w="1276" w:type="dxa"/>
            <w:vAlign w:val="center"/>
          </w:tcPr>
          <w:p w:rsidR="004C7550" w:rsidRDefault="002121E7">
            <w:pPr>
              <w:jc w:val="center"/>
            </w:pPr>
            <w:r>
              <w:rPr>
                <w:sz w:val="24"/>
              </w:rPr>
              <w:t>3,877,868.22</w:t>
            </w:r>
          </w:p>
        </w:tc>
        <w:tc>
          <w:tcPr>
            <w:tcW w:w="1135" w:type="dxa"/>
            <w:vAlign w:val="center"/>
          </w:tcPr>
          <w:p w:rsidR="004C7550" w:rsidRDefault="002121E7">
            <w:pPr>
              <w:jc w:val="center"/>
            </w:pPr>
            <w:r>
              <w:rPr>
                <w:sz w:val="24"/>
              </w:rPr>
              <w:t>2.72%</w:t>
            </w:r>
          </w:p>
        </w:tc>
        <w:tc>
          <w:tcPr>
            <w:tcW w:w="1272" w:type="dxa"/>
            <w:vAlign w:val="center"/>
          </w:tcPr>
          <w:p w:rsidR="004C7550" w:rsidRDefault="002121E7">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9,700.60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22,015.68</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0.00</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4,193.58</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10.12</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293,594.48</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24,803.63</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51,932.15</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4,450.04</w:t>
            </w:r>
          </w:p>
        </w:tc>
      </w:tr>
      <w:tr w:rsidR="004C7550">
        <w:tc>
          <w:tcPr>
            <w:tcW w:w="3012" w:type="dxa"/>
            <w:vAlign w:val="center"/>
          </w:tcPr>
          <w:p w:rsidR="004C7550" w:rsidRDefault="002121E7">
            <w:pPr>
              <w:jc w:val="left"/>
            </w:pPr>
            <w:r>
              <w:rPr>
                <w:rFonts w:eastAsiaTheme="minorEastAsia"/>
                <w:color w:val="000000" w:themeColor="text1"/>
                <w:sz w:val="24"/>
              </w:rPr>
              <w:t>当期交易基金产生的交易费（元）</w:t>
            </w:r>
          </w:p>
        </w:tc>
        <w:tc>
          <w:tcPr>
            <w:tcW w:w="3012" w:type="dxa"/>
            <w:vAlign w:val="center"/>
          </w:tcPr>
          <w:p w:rsidR="004C7550" w:rsidRDefault="002121E7">
            <w:pPr>
              <w:jc w:val="right"/>
            </w:pPr>
            <w:r>
              <w:rPr>
                <w:rFonts w:eastAsiaTheme="minorEastAsia"/>
                <w:color w:val="000000" w:themeColor="text1"/>
                <w:sz w:val="24"/>
              </w:rPr>
              <w:t>21,620.61</w:t>
            </w:r>
          </w:p>
        </w:tc>
        <w:tc>
          <w:tcPr>
            <w:tcW w:w="3012" w:type="dxa"/>
            <w:vAlign w:val="center"/>
          </w:tcPr>
          <w:p w:rsidR="004C7550" w:rsidRDefault="002121E7">
            <w:pPr>
              <w:jc w:val="right"/>
            </w:pPr>
            <w:r>
              <w:rPr>
                <w:rFonts w:eastAsiaTheme="minorEastAsia"/>
                <w:color w:val="000000" w:themeColor="text1"/>
                <w:sz w:val="24"/>
              </w:rPr>
              <w:t>0.00</w:t>
            </w:r>
          </w:p>
        </w:tc>
      </w:tr>
      <w:tr w:rsidR="004C7550">
        <w:tc>
          <w:tcPr>
            <w:tcW w:w="3012" w:type="dxa"/>
            <w:vAlign w:val="center"/>
          </w:tcPr>
          <w:p w:rsidR="004C7550" w:rsidRDefault="002121E7">
            <w:pPr>
              <w:jc w:val="left"/>
            </w:pPr>
            <w:r>
              <w:rPr>
                <w:rFonts w:eastAsiaTheme="minorEastAsia"/>
                <w:color w:val="000000" w:themeColor="text1"/>
                <w:sz w:val="24"/>
              </w:rPr>
              <w:t>当期交易基金产生的转换费（元）</w:t>
            </w:r>
          </w:p>
        </w:tc>
        <w:tc>
          <w:tcPr>
            <w:tcW w:w="3012" w:type="dxa"/>
            <w:vAlign w:val="center"/>
          </w:tcPr>
          <w:p w:rsidR="004C7550" w:rsidRDefault="002121E7">
            <w:pPr>
              <w:jc w:val="right"/>
            </w:pPr>
            <w:r>
              <w:rPr>
                <w:rFonts w:eastAsiaTheme="minorEastAsia"/>
                <w:color w:val="000000" w:themeColor="text1"/>
                <w:sz w:val="24"/>
              </w:rPr>
              <w:t>54,175.73</w:t>
            </w:r>
          </w:p>
        </w:tc>
        <w:tc>
          <w:tcPr>
            <w:tcW w:w="3012" w:type="dxa"/>
            <w:vAlign w:val="center"/>
          </w:tcPr>
          <w:p w:rsidR="004C7550" w:rsidRDefault="002121E7">
            <w:pPr>
              <w:jc w:val="right"/>
            </w:pPr>
            <w:r>
              <w:rPr>
                <w:rFonts w:eastAsiaTheme="minorEastAsia"/>
                <w:color w:val="000000" w:themeColor="text1"/>
                <w:sz w:val="24"/>
              </w:rPr>
              <w:t>0.00</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上投摩根锦程均衡养老三年持有混合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120,281,998.02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5,888,669.37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10,372,146.11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14,189,559.40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111,981,107.99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10,372,146.11</w:t>
            </w:r>
          </w:p>
        </w:tc>
      </w:tr>
    </w:tbl>
    <w:p w:rsidR="002121E7" w:rsidRPr="00B27A29" w:rsidRDefault="002121E7" w:rsidP="002121E7">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Pr="00B27A29">
        <w:rPr>
          <w:rFonts w:eastAsiaTheme="minorEastAsia"/>
          <w:color w:val="000000" w:themeColor="text1"/>
          <w:kern w:val="0"/>
          <w:sz w:val="21"/>
          <w:szCs w:val="21"/>
        </w:rPr>
        <w:t>8</w:t>
      </w:r>
      <w:r>
        <w:rPr>
          <w:rFonts w:eastAsiaTheme="minorEastAsia"/>
          <w:color w:val="000000" w:themeColor="text1"/>
          <w:kern w:val="0"/>
          <w:sz w:val="21"/>
          <w:szCs w:val="21"/>
        </w:rPr>
        <w:t xml:space="preserve">  </w:t>
      </w:r>
      <w:r w:rsidRPr="00B27A29">
        <w:rPr>
          <w:color w:val="000000"/>
          <w:sz w:val="21"/>
          <w:szCs w:val="21"/>
          <w:shd w:val="clear" w:color="auto" w:fill="FFFFFF"/>
        </w:rPr>
        <w:t>基金管理人运用固有资金投资本基金情况</w:t>
      </w:r>
    </w:p>
    <w:p w:rsidR="002121E7" w:rsidRPr="00B27A29" w:rsidRDefault="002121E7" w:rsidP="002121E7">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2121E7" w:rsidRPr="00B27A29" w:rsidRDefault="002121E7" w:rsidP="002121E7">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w:t>
      </w:r>
      <w:r w:rsidR="002121E7">
        <w:rPr>
          <w:rFonts w:eastAsiaTheme="minorEastAsia"/>
          <w:color w:val="000000" w:themeColor="text1"/>
          <w:kern w:val="0"/>
          <w:sz w:val="21"/>
          <w:szCs w:val="21"/>
        </w:rPr>
        <w:t>9</w:t>
      </w:r>
      <w:r w:rsidR="002121E7" w:rsidRPr="00B27A29">
        <w:rPr>
          <w:rFonts w:eastAsiaTheme="minorEastAsia"/>
          <w:color w:val="000000" w:themeColor="text1"/>
          <w:kern w:val="0"/>
          <w:sz w:val="21"/>
          <w:szCs w:val="21"/>
        </w:rPr>
        <w:t xml:space="preserve"> </w:t>
      </w:r>
      <w:r w:rsidR="002121E7">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2121E7">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w:t>
      </w:r>
      <w:r w:rsidR="005C671B" w:rsidRPr="00B27A29">
        <w:rPr>
          <w:rFonts w:eastAsiaTheme="minorEastAsia"/>
          <w:b/>
          <w:bCs/>
          <w:color w:val="000000" w:themeColor="text1"/>
          <w:kern w:val="0"/>
          <w:szCs w:val="21"/>
        </w:rPr>
        <w:t>.1</w:t>
      </w:r>
      <w:r w:rsidR="005C671B" w:rsidRPr="00B27A29">
        <w:rPr>
          <w:rFonts w:eastAsiaTheme="minorEastAsia"/>
          <w:b/>
          <w:bCs/>
          <w:color w:val="000000" w:themeColor="text1"/>
          <w:kern w:val="0"/>
          <w:szCs w:val="21"/>
        </w:rPr>
        <w:t>备查文件目录</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募集注册的文件；</w:t>
      </w:r>
      <w:r>
        <w:rPr>
          <w:rFonts w:eastAsiaTheme="minorEastAsia"/>
          <w:color w:val="000000" w:themeColor="text1"/>
          <w:szCs w:val="21"/>
        </w:rPr>
        <w:t xml:space="preserve"> </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基金合同》；</w:t>
      </w:r>
      <w:r>
        <w:rPr>
          <w:rFonts w:eastAsiaTheme="minorEastAsia"/>
          <w:color w:val="000000" w:themeColor="text1"/>
          <w:szCs w:val="21"/>
        </w:rPr>
        <w:t xml:space="preserve"> </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托管协议》；</w:t>
      </w:r>
      <w:r>
        <w:rPr>
          <w:rFonts w:eastAsiaTheme="minorEastAsia"/>
          <w:color w:val="000000" w:themeColor="text1"/>
          <w:szCs w:val="21"/>
        </w:rPr>
        <w:t xml:space="preserve"> </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p>
    <w:p w:rsidR="004C7550" w:rsidRDefault="002121E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2121E7">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w:t>
      </w:r>
      <w:r w:rsidR="005C671B" w:rsidRPr="00B27A29">
        <w:rPr>
          <w:rFonts w:eastAsiaTheme="minorEastAsia"/>
          <w:b/>
          <w:bCs/>
          <w:color w:val="000000" w:themeColor="text1"/>
          <w:kern w:val="0"/>
          <w:szCs w:val="21"/>
        </w:rPr>
        <w:t>.2</w:t>
      </w:r>
      <w:r w:rsidR="005C671B"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2121E7">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9</w:t>
      </w:r>
      <w:r w:rsidR="005C671B" w:rsidRPr="00B27A29">
        <w:rPr>
          <w:rFonts w:eastAsiaTheme="minorEastAsia"/>
          <w:b/>
          <w:bCs/>
          <w:color w:val="000000" w:themeColor="text1"/>
          <w:kern w:val="0"/>
          <w:szCs w:val="21"/>
        </w:rPr>
        <w:t>.3</w:t>
      </w:r>
      <w:r w:rsidR="005C671B"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3C" w:rsidRDefault="00BA623C">
      <w:r>
        <w:separator/>
      </w:r>
    </w:p>
  </w:endnote>
  <w:endnote w:type="continuationSeparator" w:id="0">
    <w:p w:rsidR="00BA623C" w:rsidRDefault="00BA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1AE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1AEB">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F1AEB">
      <w:rPr>
        <w:rStyle w:val="af6"/>
        <w:noProof/>
      </w:rPr>
      <w:t>15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3C" w:rsidRDefault="00BA623C">
      <w:r>
        <w:separator/>
      </w:r>
    </w:p>
  </w:footnote>
  <w:footnote w:type="continuationSeparator" w:id="0">
    <w:p w:rsidR="00BA623C" w:rsidRDefault="00BA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上投摩根锦程均衡养老目标三年持有期混合型基金中基金</w:t>
    </w:r>
    <w:r>
      <w:t>(FOF)2022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2604"/>
    <w:rsid w:val="00205064"/>
    <w:rsid w:val="0020548A"/>
    <w:rsid w:val="00211668"/>
    <w:rsid w:val="002118A6"/>
    <w:rsid w:val="002121E7"/>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E15"/>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C7550"/>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1AEB"/>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5F1A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306EA-4D71-4436-9CE7-C2045DF9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30</TotalTime>
  <Pages>16</Pages>
  <Words>1434</Words>
  <Characters>8177</Characters>
  <Application>Microsoft Office Word</Application>
  <DocSecurity>0</DocSecurity>
  <Lines>68</Lines>
  <Paragraphs>19</Paragraphs>
  <ScaleCrop>false</ScaleCrop>
  <Company>TRT. Ltd. Co.</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Chen,Richard</cp:lastModifiedBy>
  <cp:revision>226</cp:revision>
  <cp:lastPrinted>2007-07-19T00:46:00Z</cp:lastPrinted>
  <dcterms:created xsi:type="dcterms:W3CDTF">2013-06-21T06:56:00Z</dcterms:created>
  <dcterms:modified xsi:type="dcterms:W3CDTF">2023-01-19T03:31:00Z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