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摩根锦程均衡养老目标三年持有期混合型基金中基金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摩根锦程均衡养老三年持有混合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007221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2019</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110,689,742.64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228BC" w:rsidRDefault="002B6E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、目标风险投资策略：</w:t>
            </w:r>
          </w:p>
          <w:p w:rsidR="000228BC" w:rsidRDefault="002B6E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）大类资产配置策略：本基金的目标风险指通过将基金所投资的高风险类资产和其他资产长期保持在相对恒定的比例，以达到目标的风险水平。</w:t>
            </w:r>
          </w:p>
          <w:p w:rsidR="000228BC" w:rsidRDefault="002B6E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管理人根据对各类资产的中长期预期假设和策略观点以</w:t>
            </w:r>
            <w:r>
              <w:rPr>
                <w:rFonts w:eastAsiaTheme="minorEastAsia"/>
                <w:color w:val="000000" w:themeColor="text1"/>
                <w:kern w:val="0"/>
                <w:szCs w:val="21"/>
              </w:rPr>
              <w:lastRenderedPageBreak/>
              <w:t>及目标客户的风险收益偏好进行自上而下的资产配置，设定本基金在高风险类资产和其他资产之间的基准配置比例为</w:t>
            </w:r>
            <w:r>
              <w:rPr>
                <w:rFonts w:eastAsiaTheme="minorEastAsia"/>
                <w:color w:val="000000" w:themeColor="text1"/>
                <w:kern w:val="0"/>
                <w:szCs w:val="21"/>
              </w:rPr>
              <w:t>50%:50%</w:t>
            </w:r>
            <w:r>
              <w:rPr>
                <w:rFonts w:eastAsiaTheme="minorEastAsia"/>
                <w:color w:val="000000" w:themeColor="text1"/>
                <w:kern w:val="0"/>
                <w:szCs w:val="21"/>
              </w:rPr>
              <w:t>；高风险类资产指股票型基金、应计入高风险类资产的混合型基金、商品基金（含商品期货基金和黄金</w:t>
            </w:r>
            <w:r>
              <w:rPr>
                <w:rFonts w:eastAsiaTheme="minorEastAsia"/>
                <w:color w:val="000000" w:themeColor="text1"/>
                <w:kern w:val="0"/>
                <w:szCs w:val="21"/>
              </w:rPr>
              <w:t>ETF</w:t>
            </w:r>
            <w:r>
              <w:rPr>
                <w:rFonts w:eastAsiaTheme="minorEastAsia"/>
                <w:color w:val="000000" w:themeColor="text1"/>
                <w:kern w:val="0"/>
                <w:szCs w:val="21"/>
              </w:rPr>
              <w:t>）等品种（均包含</w:t>
            </w:r>
            <w:r>
              <w:rPr>
                <w:rFonts w:eastAsiaTheme="minorEastAsia"/>
                <w:color w:val="000000" w:themeColor="text1"/>
                <w:kern w:val="0"/>
                <w:szCs w:val="21"/>
              </w:rPr>
              <w:t>QDII</w:t>
            </w:r>
            <w:r>
              <w:rPr>
                <w:rFonts w:eastAsiaTheme="minorEastAsia"/>
                <w:color w:val="000000" w:themeColor="text1"/>
                <w:kern w:val="0"/>
                <w:szCs w:val="21"/>
              </w:rPr>
              <w:t>）及股票；其他资产指债券型基金、货币市场基金和不计入高风险类资产的混合型基金（均包含</w:t>
            </w:r>
            <w:r>
              <w:rPr>
                <w:rFonts w:eastAsiaTheme="minorEastAsia"/>
                <w:color w:val="000000" w:themeColor="text1"/>
                <w:kern w:val="0"/>
                <w:szCs w:val="21"/>
              </w:rPr>
              <w:t>QDII</w:t>
            </w:r>
            <w:r>
              <w:rPr>
                <w:rFonts w:eastAsiaTheme="minorEastAsia"/>
                <w:color w:val="000000" w:themeColor="text1"/>
                <w:kern w:val="0"/>
                <w:szCs w:val="21"/>
              </w:rPr>
              <w:t>）、债券、资产支持证券、债券回购、银行存款及同业存单等；本基金高风险类资产的向上、向下调整幅度分别不超过</w:t>
            </w: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10%</w:t>
            </w:r>
            <w:r>
              <w:rPr>
                <w:rFonts w:eastAsiaTheme="minorEastAsia"/>
                <w:color w:val="000000" w:themeColor="text1"/>
                <w:kern w:val="0"/>
                <w:szCs w:val="21"/>
              </w:rPr>
              <w:t>。</w:t>
            </w:r>
          </w:p>
          <w:p w:rsidR="000228BC" w:rsidRDefault="002B6E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rsidR="000228BC" w:rsidRDefault="002B6E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、主动管理型基金投资策略：通过自下而上的方式优选基金，研究过程中综合运用定量分析和定性分析，优选符合要求且能在中长期创造超额收益的基金。</w:t>
            </w:r>
          </w:p>
          <w:p w:rsidR="000228BC" w:rsidRDefault="002B6E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、指数基金投资策略：优选中长期景气向好的指数基金进行配置，增厚组合收益，并把握阶段性投资机会，获取超额收益。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、其他投资策略：包括股票投资策略、债券投资策略、中小企业私募债投资策略、证券公司短期公司债投资策略、资产支持证券投资策略、存托凭证投资策略。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中证综合债指数收益率</w:t>
            </w:r>
            <w:r w:rsidRPr="00B27A29">
              <w:rPr>
                <w:rFonts w:eastAsiaTheme="minorEastAsia"/>
                <w:color w:val="000000" w:themeColor="text1"/>
                <w:kern w:val="0"/>
                <w:szCs w:val="21"/>
              </w:rPr>
              <w:t>*45%+</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0228BC" w:rsidRDefault="002B6E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基金管理人将养老目标风险基金根据不同风险程度进行划分。本基金的高风险类资产和其他资产的基准配置比例为</w:t>
            </w:r>
            <w:r>
              <w:rPr>
                <w:rFonts w:eastAsiaTheme="minorEastAsia"/>
                <w:color w:val="000000" w:themeColor="text1"/>
                <w:kern w:val="0"/>
                <w:szCs w:val="21"/>
              </w:rPr>
              <w:t>50%</w:t>
            </w:r>
            <w:r>
              <w:rPr>
                <w:rFonts w:eastAsiaTheme="minorEastAsia"/>
                <w:color w:val="000000" w:themeColor="text1"/>
                <w:kern w:val="0"/>
                <w:szCs w:val="21"/>
              </w:rPr>
              <w:t>：</w:t>
            </w:r>
            <w:r>
              <w:rPr>
                <w:rFonts w:eastAsiaTheme="minorEastAsia"/>
                <w:color w:val="000000" w:themeColor="text1"/>
                <w:kern w:val="0"/>
                <w:szCs w:val="21"/>
              </w:rPr>
              <w:t>50%</w:t>
            </w:r>
            <w:r>
              <w:rPr>
                <w:rFonts w:eastAsiaTheme="minorEastAsia"/>
                <w:color w:val="000000" w:themeColor="text1"/>
                <w:kern w:val="0"/>
                <w:szCs w:val="21"/>
              </w:rPr>
              <w:t>，属于基金管理人管理的养老目标风险基金中高风险和其他资产配置比例较为平衡的。</w:t>
            </w:r>
          </w:p>
          <w:p w:rsidR="000228BC" w:rsidRDefault="002B6E4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本基金属于混合型基金中基金，预期风险和收益水平低于股票型基金中基金，高于债券型基金中基金和货币型基金中基金。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007221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017342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78,464,358.99</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32,225,383.65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-784,052.57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-273,844.07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-2,993,632.57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-1,031,440.00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-0.0337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91,888,602.70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37,823,796.93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1.1711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1.1737</w:t>
            </w:r>
          </w:p>
        </w:tc>
      </w:tr>
    </w:tbl>
    <w:p w:rsidR="000228BC" w:rsidRDefault="002B6E4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摩根锦程均衡养老三年持有混合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228BC">
        <w:tc>
          <w:tcPr>
            <w:tcW w:w="1290" w:type="dxa"/>
            <w:vAlign w:val="center"/>
          </w:tcPr>
          <w:p w:rsidR="000228BC" w:rsidRDefault="002B6E42">
            <w:pPr>
              <w:jc w:val="left"/>
            </w:pPr>
            <w:r>
              <w:rPr>
                <w:rFonts w:eastAsiaTheme="minorEastAsia"/>
                <w:color w:val="000000" w:themeColor="text1"/>
                <w:szCs w:val="21"/>
              </w:rPr>
              <w:t>过去三个月</w:t>
            </w:r>
          </w:p>
        </w:tc>
        <w:tc>
          <w:tcPr>
            <w:tcW w:w="1291" w:type="dxa"/>
            <w:vAlign w:val="center"/>
          </w:tcPr>
          <w:p w:rsidR="000228BC" w:rsidRDefault="002B6E42">
            <w:pPr>
              <w:jc w:val="right"/>
            </w:pPr>
            <w:r>
              <w:rPr>
                <w:rFonts w:eastAsiaTheme="minorEastAsia"/>
                <w:color w:val="000000" w:themeColor="text1"/>
                <w:szCs w:val="21"/>
              </w:rPr>
              <w:t>-2.85%</w:t>
            </w:r>
          </w:p>
        </w:tc>
        <w:tc>
          <w:tcPr>
            <w:tcW w:w="1291" w:type="dxa"/>
            <w:vAlign w:val="center"/>
          </w:tcPr>
          <w:p w:rsidR="000228BC" w:rsidRDefault="002B6E42">
            <w:pPr>
              <w:jc w:val="right"/>
            </w:pPr>
            <w:r>
              <w:rPr>
                <w:rFonts w:eastAsiaTheme="minorEastAsia"/>
                <w:color w:val="000000" w:themeColor="text1"/>
                <w:szCs w:val="21"/>
              </w:rPr>
              <w:t>0.46%</w:t>
            </w:r>
          </w:p>
        </w:tc>
        <w:tc>
          <w:tcPr>
            <w:tcW w:w="1291" w:type="dxa"/>
            <w:vAlign w:val="center"/>
          </w:tcPr>
          <w:p w:rsidR="000228BC" w:rsidRDefault="002B6E42">
            <w:pPr>
              <w:jc w:val="right"/>
            </w:pPr>
            <w:r>
              <w:rPr>
                <w:rFonts w:eastAsiaTheme="minorEastAsia"/>
                <w:color w:val="000000" w:themeColor="text1"/>
                <w:szCs w:val="21"/>
              </w:rPr>
              <w:t>-1.81%</w:t>
            </w:r>
          </w:p>
        </w:tc>
        <w:tc>
          <w:tcPr>
            <w:tcW w:w="1291" w:type="dxa"/>
            <w:vAlign w:val="center"/>
          </w:tcPr>
          <w:p w:rsidR="000228BC" w:rsidRDefault="002B6E42">
            <w:pPr>
              <w:jc w:val="right"/>
            </w:pPr>
            <w:r>
              <w:rPr>
                <w:rFonts w:eastAsiaTheme="minorEastAsia"/>
                <w:color w:val="000000" w:themeColor="text1"/>
                <w:szCs w:val="21"/>
              </w:rPr>
              <w:t>0.40%</w:t>
            </w:r>
          </w:p>
        </w:tc>
        <w:tc>
          <w:tcPr>
            <w:tcW w:w="1291" w:type="dxa"/>
            <w:vAlign w:val="center"/>
          </w:tcPr>
          <w:p w:rsidR="000228BC" w:rsidRDefault="002B6E42">
            <w:pPr>
              <w:jc w:val="right"/>
            </w:pPr>
            <w:r>
              <w:rPr>
                <w:rFonts w:eastAsiaTheme="minorEastAsia"/>
                <w:color w:val="000000" w:themeColor="text1"/>
                <w:szCs w:val="21"/>
              </w:rPr>
              <w:t>-1.04%</w:t>
            </w:r>
          </w:p>
        </w:tc>
        <w:tc>
          <w:tcPr>
            <w:tcW w:w="1291" w:type="dxa"/>
            <w:vAlign w:val="center"/>
          </w:tcPr>
          <w:p w:rsidR="000228BC" w:rsidRDefault="002B6E42">
            <w:pPr>
              <w:jc w:val="right"/>
            </w:pPr>
            <w:r>
              <w:rPr>
                <w:rFonts w:eastAsiaTheme="minorEastAsia"/>
                <w:color w:val="000000" w:themeColor="text1"/>
                <w:szCs w:val="21"/>
              </w:rPr>
              <w:t>0.06%</w:t>
            </w:r>
          </w:p>
        </w:tc>
      </w:tr>
      <w:tr w:rsidR="000228BC">
        <w:tc>
          <w:tcPr>
            <w:tcW w:w="1290" w:type="dxa"/>
            <w:vAlign w:val="center"/>
          </w:tcPr>
          <w:p w:rsidR="000228BC" w:rsidRDefault="002B6E42">
            <w:pPr>
              <w:jc w:val="left"/>
            </w:pPr>
            <w:r>
              <w:rPr>
                <w:rFonts w:eastAsiaTheme="minorEastAsia"/>
                <w:color w:val="000000" w:themeColor="text1"/>
                <w:szCs w:val="21"/>
              </w:rPr>
              <w:t>过去六个月</w:t>
            </w:r>
          </w:p>
        </w:tc>
        <w:tc>
          <w:tcPr>
            <w:tcW w:w="1291" w:type="dxa"/>
            <w:vAlign w:val="center"/>
          </w:tcPr>
          <w:p w:rsidR="000228BC" w:rsidRDefault="002B6E42">
            <w:pPr>
              <w:jc w:val="right"/>
            </w:pPr>
            <w:r>
              <w:rPr>
                <w:rFonts w:eastAsiaTheme="minorEastAsia"/>
                <w:color w:val="000000" w:themeColor="text1"/>
                <w:szCs w:val="21"/>
              </w:rPr>
              <w:t>0.56%</w:t>
            </w:r>
          </w:p>
        </w:tc>
        <w:tc>
          <w:tcPr>
            <w:tcW w:w="1291" w:type="dxa"/>
            <w:vAlign w:val="center"/>
          </w:tcPr>
          <w:p w:rsidR="000228BC" w:rsidRDefault="002B6E42">
            <w:pPr>
              <w:jc w:val="right"/>
            </w:pPr>
            <w:r>
              <w:rPr>
                <w:rFonts w:eastAsiaTheme="minorEastAsia"/>
                <w:color w:val="000000" w:themeColor="text1"/>
                <w:szCs w:val="21"/>
              </w:rPr>
              <w:t>0.47%</w:t>
            </w:r>
          </w:p>
        </w:tc>
        <w:tc>
          <w:tcPr>
            <w:tcW w:w="1291" w:type="dxa"/>
            <w:vAlign w:val="center"/>
          </w:tcPr>
          <w:p w:rsidR="000228BC" w:rsidRDefault="002B6E42">
            <w:pPr>
              <w:jc w:val="right"/>
            </w:pPr>
            <w:r>
              <w:rPr>
                <w:rFonts w:eastAsiaTheme="minorEastAsia"/>
                <w:color w:val="000000" w:themeColor="text1"/>
                <w:szCs w:val="21"/>
              </w:rPr>
              <w:t>1.35%</w:t>
            </w:r>
          </w:p>
        </w:tc>
        <w:tc>
          <w:tcPr>
            <w:tcW w:w="1291" w:type="dxa"/>
            <w:vAlign w:val="center"/>
          </w:tcPr>
          <w:p w:rsidR="000228BC" w:rsidRDefault="002B6E42">
            <w:pPr>
              <w:jc w:val="right"/>
            </w:pPr>
            <w:r>
              <w:rPr>
                <w:rFonts w:eastAsiaTheme="minorEastAsia"/>
                <w:color w:val="000000" w:themeColor="text1"/>
                <w:szCs w:val="21"/>
              </w:rPr>
              <w:t>0.40%</w:t>
            </w:r>
          </w:p>
        </w:tc>
        <w:tc>
          <w:tcPr>
            <w:tcW w:w="1291" w:type="dxa"/>
            <w:vAlign w:val="center"/>
          </w:tcPr>
          <w:p w:rsidR="000228BC" w:rsidRDefault="002B6E42">
            <w:pPr>
              <w:jc w:val="right"/>
            </w:pPr>
            <w:r>
              <w:rPr>
                <w:rFonts w:eastAsiaTheme="minorEastAsia"/>
                <w:color w:val="000000" w:themeColor="text1"/>
                <w:szCs w:val="21"/>
              </w:rPr>
              <w:t>-0.79%</w:t>
            </w:r>
          </w:p>
        </w:tc>
        <w:tc>
          <w:tcPr>
            <w:tcW w:w="1291" w:type="dxa"/>
            <w:vAlign w:val="center"/>
          </w:tcPr>
          <w:p w:rsidR="000228BC" w:rsidRDefault="002B6E42">
            <w:pPr>
              <w:jc w:val="right"/>
            </w:pPr>
            <w:r>
              <w:rPr>
                <w:rFonts w:eastAsiaTheme="minorEastAsia"/>
                <w:color w:val="000000" w:themeColor="text1"/>
                <w:szCs w:val="21"/>
              </w:rPr>
              <w:t>0.07%</w:t>
            </w:r>
          </w:p>
        </w:tc>
      </w:tr>
      <w:tr w:rsidR="000228BC">
        <w:tc>
          <w:tcPr>
            <w:tcW w:w="1290" w:type="dxa"/>
            <w:vAlign w:val="center"/>
          </w:tcPr>
          <w:p w:rsidR="000228BC" w:rsidRDefault="002B6E42">
            <w:pPr>
              <w:jc w:val="left"/>
            </w:pPr>
            <w:r>
              <w:rPr>
                <w:rFonts w:eastAsiaTheme="minorEastAsia"/>
                <w:color w:val="000000" w:themeColor="text1"/>
                <w:szCs w:val="21"/>
              </w:rPr>
              <w:t>过去一年</w:t>
            </w:r>
          </w:p>
        </w:tc>
        <w:tc>
          <w:tcPr>
            <w:tcW w:w="1291" w:type="dxa"/>
            <w:vAlign w:val="center"/>
          </w:tcPr>
          <w:p w:rsidR="000228BC" w:rsidRDefault="002B6E42">
            <w:pPr>
              <w:jc w:val="right"/>
            </w:pPr>
            <w:r>
              <w:rPr>
                <w:rFonts w:eastAsiaTheme="minorEastAsia"/>
                <w:color w:val="000000" w:themeColor="text1"/>
                <w:szCs w:val="21"/>
              </w:rPr>
              <w:t>-7.41%</w:t>
            </w:r>
          </w:p>
        </w:tc>
        <w:tc>
          <w:tcPr>
            <w:tcW w:w="1291" w:type="dxa"/>
            <w:vAlign w:val="center"/>
          </w:tcPr>
          <w:p w:rsidR="000228BC" w:rsidRDefault="002B6E42">
            <w:pPr>
              <w:jc w:val="right"/>
            </w:pPr>
            <w:r>
              <w:rPr>
                <w:rFonts w:eastAsiaTheme="minorEastAsia"/>
                <w:color w:val="000000" w:themeColor="text1"/>
                <w:szCs w:val="21"/>
              </w:rPr>
              <w:t>0.49%</w:t>
            </w:r>
          </w:p>
        </w:tc>
        <w:tc>
          <w:tcPr>
            <w:tcW w:w="1291" w:type="dxa"/>
            <w:vAlign w:val="center"/>
          </w:tcPr>
          <w:p w:rsidR="000228BC" w:rsidRDefault="002B6E42">
            <w:pPr>
              <w:jc w:val="right"/>
            </w:pPr>
            <w:r>
              <w:rPr>
                <w:rFonts w:eastAsiaTheme="minorEastAsia"/>
                <w:color w:val="000000" w:themeColor="text1"/>
                <w:szCs w:val="21"/>
              </w:rPr>
              <w:t>-4.35%</w:t>
            </w:r>
          </w:p>
        </w:tc>
        <w:tc>
          <w:tcPr>
            <w:tcW w:w="1291" w:type="dxa"/>
            <w:vAlign w:val="center"/>
          </w:tcPr>
          <w:p w:rsidR="000228BC" w:rsidRDefault="002B6E42">
            <w:pPr>
              <w:jc w:val="right"/>
            </w:pPr>
            <w:r>
              <w:rPr>
                <w:rFonts w:eastAsiaTheme="minorEastAsia"/>
                <w:color w:val="000000" w:themeColor="text1"/>
                <w:szCs w:val="21"/>
              </w:rPr>
              <w:t>0.47%</w:t>
            </w:r>
          </w:p>
        </w:tc>
        <w:tc>
          <w:tcPr>
            <w:tcW w:w="1291" w:type="dxa"/>
            <w:vAlign w:val="center"/>
          </w:tcPr>
          <w:p w:rsidR="000228BC" w:rsidRDefault="002B6E42">
            <w:pPr>
              <w:jc w:val="right"/>
            </w:pPr>
            <w:r>
              <w:rPr>
                <w:rFonts w:eastAsiaTheme="minorEastAsia"/>
                <w:color w:val="000000" w:themeColor="text1"/>
                <w:szCs w:val="21"/>
              </w:rPr>
              <w:t>-3.06%</w:t>
            </w:r>
          </w:p>
        </w:tc>
        <w:tc>
          <w:tcPr>
            <w:tcW w:w="1291" w:type="dxa"/>
            <w:vAlign w:val="center"/>
          </w:tcPr>
          <w:p w:rsidR="000228BC" w:rsidRDefault="002B6E42">
            <w:pPr>
              <w:jc w:val="right"/>
            </w:pPr>
            <w:r>
              <w:rPr>
                <w:rFonts w:eastAsiaTheme="minorEastAsia"/>
                <w:color w:val="000000" w:themeColor="text1"/>
                <w:szCs w:val="21"/>
              </w:rPr>
              <w:t>0.02%</w:t>
            </w:r>
          </w:p>
        </w:tc>
      </w:tr>
      <w:tr w:rsidR="000228BC">
        <w:tc>
          <w:tcPr>
            <w:tcW w:w="1290" w:type="dxa"/>
            <w:vAlign w:val="center"/>
          </w:tcPr>
          <w:p w:rsidR="000228BC" w:rsidRDefault="002B6E42">
            <w:pPr>
              <w:jc w:val="left"/>
            </w:pPr>
            <w:r>
              <w:rPr>
                <w:rFonts w:eastAsiaTheme="minorEastAsia"/>
                <w:color w:val="000000" w:themeColor="text1"/>
                <w:szCs w:val="21"/>
              </w:rPr>
              <w:t>过去三年</w:t>
            </w:r>
          </w:p>
        </w:tc>
        <w:tc>
          <w:tcPr>
            <w:tcW w:w="1291" w:type="dxa"/>
            <w:vAlign w:val="center"/>
          </w:tcPr>
          <w:p w:rsidR="000228BC" w:rsidRDefault="002B6E42">
            <w:pPr>
              <w:jc w:val="right"/>
            </w:pPr>
            <w:r>
              <w:rPr>
                <w:rFonts w:eastAsiaTheme="minorEastAsia"/>
                <w:color w:val="000000" w:themeColor="text1"/>
                <w:szCs w:val="21"/>
              </w:rPr>
              <w:t>3.42%</w:t>
            </w:r>
          </w:p>
        </w:tc>
        <w:tc>
          <w:tcPr>
            <w:tcW w:w="1291" w:type="dxa"/>
            <w:vAlign w:val="center"/>
          </w:tcPr>
          <w:p w:rsidR="000228BC" w:rsidRDefault="002B6E42">
            <w:pPr>
              <w:jc w:val="right"/>
            </w:pPr>
            <w:r>
              <w:rPr>
                <w:rFonts w:eastAsiaTheme="minorEastAsia"/>
                <w:color w:val="000000" w:themeColor="text1"/>
                <w:szCs w:val="21"/>
              </w:rPr>
              <w:t>0.58%</w:t>
            </w:r>
          </w:p>
        </w:tc>
        <w:tc>
          <w:tcPr>
            <w:tcW w:w="1291" w:type="dxa"/>
            <w:vAlign w:val="center"/>
          </w:tcPr>
          <w:p w:rsidR="000228BC" w:rsidRDefault="002B6E42">
            <w:pPr>
              <w:jc w:val="right"/>
            </w:pPr>
            <w:r>
              <w:rPr>
                <w:rFonts w:eastAsiaTheme="minorEastAsia"/>
                <w:color w:val="000000" w:themeColor="text1"/>
                <w:szCs w:val="21"/>
              </w:rPr>
              <w:t>3.73%</w:t>
            </w:r>
          </w:p>
        </w:tc>
        <w:tc>
          <w:tcPr>
            <w:tcW w:w="1291" w:type="dxa"/>
            <w:vAlign w:val="center"/>
          </w:tcPr>
          <w:p w:rsidR="000228BC" w:rsidRDefault="002B6E42">
            <w:pPr>
              <w:jc w:val="right"/>
            </w:pPr>
            <w:r>
              <w:rPr>
                <w:rFonts w:eastAsiaTheme="minorEastAsia"/>
                <w:color w:val="000000" w:themeColor="text1"/>
                <w:szCs w:val="21"/>
              </w:rPr>
              <w:t>0.58%</w:t>
            </w:r>
          </w:p>
        </w:tc>
        <w:tc>
          <w:tcPr>
            <w:tcW w:w="1291" w:type="dxa"/>
            <w:vAlign w:val="center"/>
          </w:tcPr>
          <w:p w:rsidR="000228BC" w:rsidRDefault="002B6E42">
            <w:pPr>
              <w:jc w:val="right"/>
            </w:pPr>
            <w:r>
              <w:rPr>
                <w:rFonts w:eastAsiaTheme="minorEastAsia"/>
                <w:color w:val="000000" w:themeColor="text1"/>
                <w:szCs w:val="21"/>
              </w:rPr>
              <w:t>-0.31%</w:t>
            </w:r>
          </w:p>
        </w:tc>
        <w:tc>
          <w:tcPr>
            <w:tcW w:w="1291" w:type="dxa"/>
            <w:vAlign w:val="center"/>
          </w:tcPr>
          <w:p w:rsidR="000228BC" w:rsidRDefault="002B6E42">
            <w:pPr>
              <w:jc w:val="right"/>
            </w:pPr>
            <w:r>
              <w:rPr>
                <w:rFonts w:eastAsiaTheme="minorEastAsia"/>
                <w:color w:val="000000" w:themeColor="text1"/>
                <w:szCs w:val="21"/>
              </w:rPr>
              <w:t>0.00%</w:t>
            </w:r>
          </w:p>
        </w:tc>
      </w:tr>
      <w:tr w:rsidR="000228BC">
        <w:tc>
          <w:tcPr>
            <w:tcW w:w="1290" w:type="dxa"/>
            <w:vAlign w:val="center"/>
          </w:tcPr>
          <w:p w:rsidR="000228BC" w:rsidRDefault="002B6E42">
            <w:pPr>
              <w:jc w:val="left"/>
            </w:pPr>
            <w:r>
              <w:rPr>
                <w:rFonts w:eastAsiaTheme="minorEastAsia"/>
                <w:color w:val="000000" w:themeColor="text1"/>
                <w:szCs w:val="21"/>
              </w:rPr>
              <w:t>过去五年</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r>
      <w:tr w:rsidR="000228BC">
        <w:tc>
          <w:tcPr>
            <w:tcW w:w="1290" w:type="dxa"/>
            <w:vAlign w:val="center"/>
          </w:tcPr>
          <w:p w:rsidR="000228BC" w:rsidRDefault="002B6E42">
            <w:pPr>
              <w:jc w:val="left"/>
            </w:pPr>
            <w:r>
              <w:rPr>
                <w:rFonts w:eastAsiaTheme="minorEastAsia"/>
                <w:color w:val="000000" w:themeColor="text1"/>
                <w:szCs w:val="21"/>
              </w:rPr>
              <w:t>自基金合同生效起至今</w:t>
            </w:r>
          </w:p>
        </w:tc>
        <w:tc>
          <w:tcPr>
            <w:tcW w:w="1291" w:type="dxa"/>
            <w:vAlign w:val="center"/>
          </w:tcPr>
          <w:p w:rsidR="000228BC" w:rsidRDefault="002B6E42">
            <w:pPr>
              <w:jc w:val="right"/>
            </w:pPr>
            <w:r>
              <w:rPr>
                <w:rFonts w:eastAsiaTheme="minorEastAsia"/>
                <w:color w:val="000000" w:themeColor="text1"/>
                <w:szCs w:val="21"/>
              </w:rPr>
              <w:t>17.11%</w:t>
            </w:r>
          </w:p>
        </w:tc>
        <w:tc>
          <w:tcPr>
            <w:tcW w:w="1291" w:type="dxa"/>
            <w:vAlign w:val="center"/>
          </w:tcPr>
          <w:p w:rsidR="000228BC" w:rsidRDefault="002B6E42">
            <w:pPr>
              <w:jc w:val="right"/>
            </w:pPr>
            <w:r>
              <w:rPr>
                <w:rFonts w:eastAsiaTheme="minorEastAsia"/>
                <w:color w:val="000000" w:themeColor="text1"/>
                <w:szCs w:val="21"/>
              </w:rPr>
              <w:t>0.61%</w:t>
            </w:r>
          </w:p>
        </w:tc>
        <w:tc>
          <w:tcPr>
            <w:tcW w:w="1291" w:type="dxa"/>
            <w:vAlign w:val="center"/>
          </w:tcPr>
          <w:p w:rsidR="000228BC" w:rsidRDefault="002B6E42">
            <w:pPr>
              <w:jc w:val="right"/>
            </w:pPr>
            <w:r>
              <w:rPr>
                <w:rFonts w:eastAsiaTheme="minorEastAsia"/>
                <w:color w:val="000000" w:themeColor="text1"/>
                <w:szCs w:val="21"/>
              </w:rPr>
              <w:t>11.91%</w:t>
            </w:r>
          </w:p>
        </w:tc>
        <w:tc>
          <w:tcPr>
            <w:tcW w:w="1291" w:type="dxa"/>
            <w:vAlign w:val="center"/>
          </w:tcPr>
          <w:p w:rsidR="000228BC" w:rsidRDefault="002B6E42">
            <w:pPr>
              <w:jc w:val="right"/>
            </w:pPr>
            <w:r>
              <w:rPr>
                <w:rFonts w:eastAsiaTheme="minorEastAsia"/>
                <w:color w:val="000000" w:themeColor="text1"/>
                <w:szCs w:val="21"/>
              </w:rPr>
              <w:t>0.59%</w:t>
            </w:r>
          </w:p>
        </w:tc>
        <w:tc>
          <w:tcPr>
            <w:tcW w:w="1291" w:type="dxa"/>
            <w:vAlign w:val="center"/>
          </w:tcPr>
          <w:p w:rsidR="000228BC" w:rsidRDefault="002B6E42">
            <w:pPr>
              <w:jc w:val="right"/>
            </w:pPr>
            <w:r>
              <w:rPr>
                <w:rFonts w:eastAsiaTheme="minorEastAsia"/>
                <w:color w:val="000000" w:themeColor="text1"/>
                <w:szCs w:val="21"/>
              </w:rPr>
              <w:t>5.20%</w:t>
            </w:r>
          </w:p>
        </w:tc>
        <w:tc>
          <w:tcPr>
            <w:tcW w:w="1291" w:type="dxa"/>
            <w:vAlign w:val="center"/>
          </w:tcPr>
          <w:p w:rsidR="000228BC" w:rsidRDefault="002B6E42">
            <w:pPr>
              <w:jc w:val="right"/>
            </w:pPr>
            <w:r>
              <w:rPr>
                <w:rFonts w:eastAsiaTheme="minorEastAsia"/>
                <w:color w:val="000000" w:themeColor="text1"/>
                <w:szCs w:val="21"/>
              </w:rPr>
              <w:t>0.02%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摩根锦程均衡养老三年持有混合</w:t>
      </w:r>
      <w:r w:rsidRPr="00B27A29">
        <w:rPr>
          <w:rFonts w:eastAsiaTheme="minorEastAsia"/>
          <w:b/>
          <w:color w:val="000000" w:themeColor="text1"/>
          <w:kern w:val="0"/>
          <w:szCs w:val="21"/>
        </w:rPr>
        <w:t>(FOF)Y</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228BC">
        <w:tc>
          <w:tcPr>
            <w:tcW w:w="1290" w:type="dxa"/>
            <w:vAlign w:val="center"/>
          </w:tcPr>
          <w:p w:rsidR="000228BC" w:rsidRDefault="002B6E42">
            <w:pPr>
              <w:jc w:val="left"/>
            </w:pPr>
            <w:r>
              <w:rPr>
                <w:rFonts w:eastAsiaTheme="minorEastAsia"/>
                <w:color w:val="000000" w:themeColor="text1"/>
                <w:szCs w:val="21"/>
              </w:rPr>
              <w:t>过去三个月</w:t>
            </w:r>
          </w:p>
        </w:tc>
        <w:tc>
          <w:tcPr>
            <w:tcW w:w="1291" w:type="dxa"/>
            <w:vAlign w:val="center"/>
          </w:tcPr>
          <w:p w:rsidR="000228BC" w:rsidRDefault="002B6E42">
            <w:pPr>
              <w:jc w:val="right"/>
            </w:pPr>
            <w:r>
              <w:rPr>
                <w:rFonts w:eastAsiaTheme="minorEastAsia"/>
                <w:color w:val="000000" w:themeColor="text1"/>
                <w:szCs w:val="21"/>
              </w:rPr>
              <w:t>-2.76%</w:t>
            </w:r>
          </w:p>
        </w:tc>
        <w:tc>
          <w:tcPr>
            <w:tcW w:w="1291" w:type="dxa"/>
            <w:vAlign w:val="center"/>
          </w:tcPr>
          <w:p w:rsidR="000228BC" w:rsidRDefault="002B6E42">
            <w:pPr>
              <w:jc w:val="right"/>
            </w:pPr>
            <w:r>
              <w:rPr>
                <w:rFonts w:eastAsiaTheme="minorEastAsia"/>
                <w:color w:val="000000" w:themeColor="text1"/>
                <w:szCs w:val="21"/>
              </w:rPr>
              <w:t>0.46%</w:t>
            </w:r>
          </w:p>
        </w:tc>
        <w:tc>
          <w:tcPr>
            <w:tcW w:w="1291" w:type="dxa"/>
            <w:vAlign w:val="center"/>
          </w:tcPr>
          <w:p w:rsidR="000228BC" w:rsidRDefault="002B6E42">
            <w:pPr>
              <w:jc w:val="right"/>
            </w:pPr>
            <w:r>
              <w:rPr>
                <w:rFonts w:eastAsiaTheme="minorEastAsia"/>
                <w:color w:val="000000" w:themeColor="text1"/>
                <w:szCs w:val="21"/>
              </w:rPr>
              <w:t>-1.81%</w:t>
            </w:r>
          </w:p>
        </w:tc>
        <w:tc>
          <w:tcPr>
            <w:tcW w:w="1291" w:type="dxa"/>
            <w:vAlign w:val="center"/>
          </w:tcPr>
          <w:p w:rsidR="000228BC" w:rsidRDefault="002B6E42">
            <w:pPr>
              <w:jc w:val="right"/>
            </w:pPr>
            <w:r>
              <w:rPr>
                <w:rFonts w:eastAsiaTheme="minorEastAsia"/>
                <w:color w:val="000000" w:themeColor="text1"/>
                <w:szCs w:val="21"/>
              </w:rPr>
              <w:t>0.40%</w:t>
            </w:r>
          </w:p>
        </w:tc>
        <w:tc>
          <w:tcPr>
            <w:tcW w:w="1291" w:type="dxa"/>
            <w:vAlign w:val="center"/>
          </w:tcPr>
          <w:p w:rsidR="000228BC" w:rsidRDefault="002B6E42">
            <w:pPr>
              <w:jc w:val="right"/>
            </w:pPr>
            <w:r>
              <w:rPr>
                <w:rFonts w:eastAsiaTheme="minorEastAsia"/>
                <w:color w:val="000000" w:themeColor="text1"/>
                <w:szCs w:val="21"/>
              </w:rPr>
              <w:t>-0.95%</w:t>
            </w:r>
          </w:p>
        </w:tc>
        <w:tc>
          <w:tcPr>
            <w:tcW w:w="1291" w:type="dxa"/>
            <w:vAlign w:val="center"/>
          </w:tcPr>
          <w:p w:rsidR="000228BC" w:rsidRDefault="002B6E42">
            <w:pPr>
              <w:jc w:val="right"/>
            </w:pPr>
            <w:r>
              <w:rPr>
                <w:rFonts w:eastAsiaTheme="minorEastAsia"/>
                <w:color w:val="000000" w:themeColor="text1"/>
                <w:szCs w:val="21"/>
              </w:rPr>
              <w:t>0.06%</w:t>
            </w:r>
          </w:p>
        </w:tc>
      </w:tr>
      <w:tr w:rsidR="000228BC">
        <w:tc>
          <w:tcPr>
            <w:tcW w:w="1290" w:type="dxa"/>
            <w:vAlign w:val="center"/>
          </w:tcPr>
          <w:p w:rsidR="000228BC" w:rsidRDefault="002B6E42">
            <w:pPr>
              <w:jc w:val="left"/>
            </w:pPr>
            <w:r>
              <w:rPr>
                <w:rFonts w:eastAsiaTheme="minorEastAsia"/>
                <w:color w:val="000000" w:themeColor="text1"/>
                <w:szCs w:val="21"/>
              </w:rPr>
              <w:t>过去六个月</w:t>
            </w:r>
          </w:p>
        </w:tc>
        <w:tc>
          <w:tcPr>
            <w:tcW w:w="1291" w:type="dxa"/>
            <w:vAlign w:val="center"/>
          </w:tcPr>
          <w:p w:rsidR="000228BC" w:rsidRDefault="002B6E42">
            <w:pPr>
              <w:jc w:val="right"/>
            </w:pPr>
            <w:r>
              <w:rPr>
                <w:rFonts w:eastAsiaTheme="minorEastAsia"/>
                <w:color w:val="000000" w:themeColor="text1"/>
                <w:szCs w:val="21"/>
              </w:rPr>
              <w:t>0.74%</w:t>
            </w:r>
          </w:p>
        </w:tc>
        <w:tc>
          <w:tcPr>
            <w:tcW w:w="1291" w:type="dxa"/>
            <w:vAlign w:val="center"/>
          </w:tcPr>
          <w:p w:rsidR="000228BC" w:rsidRDefault="002B6E42">
            <w:pPr>
              <w:jc w:val="right"/>
            </w:pPr>
            <w:r>
              <w:rPr>
                <w:rFonts w:eastAsiaTheme="minorEastAsia"/>
                <w:color w:val="000000" w:themeColor="text1"/>
                <w:szCs w:val="21"/>
              </w:rPr>
              <w:t>0.47%</w:t>
            </w:r>
          </w:p>
        </w:tc>
        <w:tc>
          <w:tcPr>
            <w:tcW w:w="1291" w:type="dxa"/>
            <w:vAlign w:val="center"/>
          </w:tcPr>
          <w:p w:rsidR="000228BC" w:rsidRDefault="002B6E42">
            <w:pPr>
              <w:jc w:val="right"/>
            </w:pPr>
            <w:r>
              <w:rPr>
                <w:rFonts w:eastAsiaTheme="minorEastAsia"/>
                <w:color w:val="000000" w:themeColor="text1"/>
                <w:szCs w:val="21"/>
              </w:rPr>
              <w:t>1.35%</w:t>
            </w:r>
          </w:p>
        </w:tc>
        <w:tc>
          <w:tcPr>
            <w:tcW w:w="1291" w:type="dxa"/>
            <w:vAlign w:val="center"/>
          </w:tcPr>
          <w:p w:rsidR="000228BC" w:rsidRDefault="002B6E42">
            <w:pPr>
              <w:jc w:val="right"/>
            </w:pPr>
            <w:r>
              <w:rPr>
                <w:rFonts w:eastAsiaTheme="minorEastAsia"/>
                <w:color w:val="000000" w:themeColor="text1"/>
                <w:szCs w:val="21"/>
              </w:rPr>
              <w:t>0.40%</w:t>
            </w:r>
          </w:p>
        </w:tc>
        <w:tc>
          <w:tcPr>
            <w:tcW w:w="1291" w:type="dxa"/>
            <w:vAlign w:val="center"/>
          </w:tcPr>
          <w:p w:rsidR="000228BC" w:rsidRDefault="002B6E42">
            <w:pPr>
              <w:jc w:val="right"/>
            </w:pPr>
            <w:r>
              <w:rPr>
                <w:rFonts w:eastAsiaTheme="minorEastAsia"/>
                <w:color w:val="000000" w:themeColor="text1"/>
                <w:szCs w:val="21"/>
              </w:rPr>
              <w:t>-0.61%</w:t>
            </w:r>
          </w:p>
        </w:tc>
        <w:tc>
          <w:tcPr>
            <w:tcW w:w="1291" w:type="dxa"/>
            <w:vAlign w:val="center"/>
          </w:tcPr>
          <w:p w:rsidR="000228BC" w:rsidRDefault="002B6E42">
            <w:pPr>
              <w:jc w:val="right"/>
            </w:pPr>
            <w:r>
              <w:rPr>
                <w:rFonts w:eastAsiaTheme="minorEastAsia"/>
                <w:color w:val="000000" w:themeColor="text1"/>
                <w:szCs w:val="21"/>
              </w:rPr>
              <w:t>0.07%</w:t>
            </w:r>
          </w:p>
        </w:tc>
      </w:tr>
      <w:tr w:rsidR="000228BC">
        <w:tc>
          <w:tcPr>
            <w:tcW w:w="1290" w:type="dxa"/>
            <w:vAlign w:val="center"/>
          </w:tcPr>
          <w:p w:rsidR="000228BC" w:rsidRDefault="002B6E42">
            <w:pPr>
              <w:jc w:val="left"/>
            </w:pPr>
            <w:r>
              <w:rPr>
                <w:rFonts w:eastAsiaTheme="minorEastAsia"/>
                <w:color w:val="000000" w:themeColor="text1"/>
                <w:szCs w:val="21"/>
              </w:rPr>
              <w:t>过去一年</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r>
      <w:tr w:rsidR="000228BC">
        <w:tc>
          <w:tcPr>
            <w:tcW w:w="1290" w:type="dxa"/>
            <w:vAlign w:val="center"/>
          </w:tcPr>
          <w:p w:rsidR="000228BC" w:rsidRDefault="002B6E42">
            <w:pPr>
              <w:jc w:val="left"/>
            </w:pPr>
            <w:r>
              <w:rPr>
                <w:rFonts w:eastAsiaTheme="minorEastAsia"/>
                <w:color w:val="000000" w:themeColor="text1"/>
                <w:szCs w:val="21"/>
              </w:rPr>
              <w:t>过去三年</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r>
      <w:tr w:rsidR="000228BC">
        <w:tc>
          <w:tcPr>
            <w:tcW w:w="1290" w:type="dxa"/>
            <w:vAlign w:val="center"/>
          </w:tcPr>
          <w:p w:rsidR="000228BC" w:rsidRDefault="002B6E42">
            <w:pPr>
              <w:jc w:val="left"/>
            </w:pPr>
            <w:r>
              <w:rPr>
                <w:rFonts w:eastAsiaTheme="minorEastAsia"/>
                <w:color w:val="000000" w:themeColor="text1"/>
                <w:szCs w:val="21"/>
              </w:rPr>
              <w:t>过去五年</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c>
          <w:tcPr>
            <w:tcW w:w="1291" w:type="dxa"/>
            <w:vAlign w:val="center"/>
          </w:tcPr>
          <w:p w:rsidR="000228BC" w:rsidRDefault="002B6E42">
            <w:pPr>
              <w:jc w:val="right"/>
            </w:pPr>
            <w:r>
              <w:rPr>
                <w:rFonts w:eastAsiaTheme="minorEastAsia"/>
                <w:color w:val="000000" w:themeColor="text1"/>
                <w:szCs w:val="21"/>
              </w:rPr>
              <w:t>-</w:t>
            </w:r>
          </w:p>
        </w:tc>
      </w:tr>
      <w:tr w:rsidR="000228BC">
        <w:tc>
          <w:tcPr>
            <w:tcW w:w="1290" w:type="dxa"/>
            <w:vAlign w:val="center"/>
          </w:tcPr>
          <w:p w:rsidR="000228BC" w:rsidRDefault="002B6E42">
            <w:pPr>
              <w:jc w:val="left"/>
            </w:pPr>
            <w:r>
              <w:rPr>
                <w:rFonts w:eastAsiaTheme="minorEastAsia"/>
                <w:color w:val="000000" w:themeColor="text1"/>
                <w:szCs w:val="21"/>
              </w:rPr>
              <w:t>自基金合同生效起至今</w:t>
            </w:r>
          </w:p>
        </w:tc>
        <w:tc>
          <w:tcPr>
            <w:tcW w:w="1291" w:type="dxa"/>
            <w:vAlign w:val="center"/>
          </w:tcPr>
          <w:p w:rsidR="000228BC" w:rsidRDefault="002B6E42">
            <w:pPr>
              <w:jc w:val="right"/>
            </w:pPr>
            <w:r>
              <w:rPr>
                <w:rFonts w:eastAsiaTheme="minorEastAsia"/>
                <w:color w:val="000000" w:themeColor="text1"/>
                <w:szCs w:val="21"/>
              </w:rPr>
              <w:t>1.35%</w:t>
            </w:r>
          </w:p>
        </w:tc>
        <w:tc>
          <w:tcPr>
            <w:tcW w:w="1291" w:type="dxa"/>
            <w:vAlign w:val="center"/>
          </w:tcPr>
          <w:p w:rsidR="000228BC" w:rsidRDefault="002B6E42">
            <w:pPr>
              <w:jc w:val="right"/>
            </w:pPr>
            <w:r>
              <w:rPr>
                <w:rFonts w:eastAsiaTheme="minorEastAsia"/>
                <w:color w:val="000000" w:themeColor="text1"/>
                <w:szCs w:val="21"/>
              </w:rPr>
              <w:t>0.47%</w:t>
            </w:r>
          </w:p>
        </w:tc>
        <w:tc>
          <w:tcPr>
            <w:tcW w:w="1291" w:type="dxa"/>
            <w:vAlign w:val="center"/>
          </w:tcPr>
          <w:p w:rsidR="000228BC" w:rsidRDefault="002B6E42">
            <w:pPr>
              <w:jc w:val="right"/>
            </w:pPr>
            <w:r>
              <w:rPr>
                <w:rFonts w:eastAsiaTheme="minorEastAsia"/>
                <w:color w:val="000000" w:themeColor="text1"/>
                <w:szCs w:val="21"/>
              </w:rPr>
              <w:t>2.34%</w:t>
            </w:r>
          </w:p>
        </w:tc>
        <w:tc>
          <w:tcPr>
            <w:tcW w:w="1291" w:type="dxa"/>
            <w:vAlign w:val="center"/>
          </w:tcPr>
          <w:p w:rsidR="000228BC" w:rsidRDefault="002B6E42">
            <w:pPr>
              <w:jc w:val="right"/>
            </w:pPr>
            <w:r>
              <w:rPr>
                <w:rFonts w:eastAsiaTheme="minorEastAsia"/>
                <w:color w:val="000000" w:themeColor="text1"/>
                <w:szCs w:val="21"/>
              </w:rPr>
              <w:t>0.41%</w:t>
            </w:r>
          </w:p>
        </w:tc>
        <w:tc>
          <w:tcPr>
            <w:tcW w:w="1291" w:type="dxa"/>
            <w:vAlign w:val="center"/>
          </w:tcPr>
          <w:p w:rsidR="000228BC" w:rsidRDefault="002B6E42">
            <w:pPr>
              <w:jc w:val="right"/>
            </w:pPr>
            <w:r>
              <w:rPr>
                <w:rFonts w:eastAsiaTheme="minorEastAsia"/>
                <w:color w:val="000000" w:themeColor="text1"/>
                <w:szCs w:val="21"/>
              </w:rPr>
              <w:t>-0.99%</w:t>
            </w:r>
          </w:p>
        </w:tc>
        <w:tc>
          <w:tcPr>
            <w:tcW w:w="1291" w:type="dxa"/>
            <w:vAlign w:val="center"/>
          </w:tcPr>
          <w:p w:rsidR="000228BC" w:rsidRDefault="002B6E42">
            <w:pPr>
              <w:jc w:val="right"/>
            </w:pPr>
            <w:r>
              <w:rPr>
                <w:rFonts w:eastAsiaTheme="minorEastAsia"/>
                <w:color w:val="000000" w:themeColor="text1"/>
                <w:szCs w:val="21"/>
              </w:rPr>
              <w:t>0.06%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摩根锦程均衡养老目标三年持有期混合型基金中基金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(2019</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日起增加</w:t>
      </w:r>
      <w:r>
        <w:rPr>
          <w:rFonts w:eastAsiaTheme="minorEastAsia"/>
          <w:color w:val="000000" w:themeColor="text1"/>
          <w:szCs w:val="21"/>
        </w:rPr>
        <w:t>Y</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w:t>
      </w:r>
      <w:r w:rsidRPr="00B27A29">
        <w:rPr>
          <w:rFonts w:eastAsiaTheme="minorEastAsia"/>
          <w:color w:val="000000" w:themeColor="text1"/>
          <w:szCs w:val="21"/>
        </w:rPr>
        <w:lastRenderedPageBreak/>
        <w:t>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228BC">
        <w:tc>
          <w:tcPr>
            <w:tcW w:w="952" w:type="dxa"/>
            <w:vAlign w:val="center"/>
          </w:tcPr>
          <w:p w:rsidR="000228BC" w:rsidRDefault="002B6E42">
            <w:pPr>
              <w:jc w:val="center"/>
            </w:pPr>
            <w:r>
              <w:rPr>
                <w:rFonts w:eastAsiaTheme="minorEastAsia"/>
                <w:color w:val="000000" w:themeColor="text1"/>
                <w:szCs w:val="21"/>
              </w:rPr>
              <w:t>杜习杰</w:t>
            </w:r>
          </w:p>
        </w:tc>
        <w:tc>
          <w:tcPr>
            <w:tcW w:w="930" w:type="dxa"/>
            <w:vAlign w:val="center"/>
          </w:tcPr>
          <w:p w:rsidR="000228BC" w:rsidRDefault="002B6E42">
            <w:pPr>
              <w:jc w:val="center"/>
            </w:pPr>
            <w:r>
              <w:rPr>
                <w:rFonts w:eastAsiaTheme="minorEastAsia"/>
                <w:color w:val="000000" w:themeColor="text1"/>
                <w:szCs w:val="21"/>
              </w:rPr>
              <w:t>本基金基金经理</w:t>
            </w:r>
          </w:p>
        </w:tc>
        <w:tc>
          <w:tcPr>
            <w:tcW w:w="1210" w:type="dxa"/>
            <w:vAlign w:val="center"/>
          </w:tcPr>
          <w:p w:rsidR="000228BC" w:rsidRDefault="002B6E42">
            <w:pPr>
              <w:jc w:val="center"/>
            </w:pPr>
            <w:r>
              <w:rPr>
                <w:rFonts w:eastAsiaTheme="minorEastAsia"/>
                <w:color w:val="000000" w:themeColor="text1"/>
                <w:szCs w:val="21"/>
              </w:rPr>
              <w:t>2019-09-02</w:t>
            </w:r>
          </w:p>
        </w:tc>
        <w:tc>
          <w:tcPr>
            <w:tcW w:w="1309" w:type="dxa"/>
            <w:vAlign w:val="center"/>
          </w:tcPr>
          <w:p w:rsidR="000228BC" w:rsidRDefault="002B6E42">
            <w:pPr>
              <w:jc w:val="center"/>
            </w:pPr>
            <w:r>
              <w:rPr>
                <w:rFonts w:eastAsiaTheme="minorEastAsia"/>
                <w:color w:val="000000" w:themeColor="text1"/>
                <w:szCs w:val="21"/>
              </w:rPr>
              <w:t>-</w:t>
            </w:r>
          </w:p>
        </w:tc>
        <w:tc>
          <w:tcPr>
            <w:tcW w:w="1254" w:type="dxa"/>
            <w:vAlign w:val="center"/>
          </w:tcPr>
          <w:p w:rsidR="000228BC" w:rsidRDefault="002B6E42">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0228BC" w:rsidRDefault="002B6E42">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0228BC">
        <w:tc>
          <w:tcPr>
            <w:tcW w:w="952" w:type="dxa"/>
            <w:vAlign w:val="center"/>
          </w:tcPr>
          <w:p w:rsidR="000228BC" w:rsidRDefault="002B6E42">
            <w:pPr>
              <w:jc w:val="center"/>
            </w:pPr>
            <w:r>
              <w:rPr>
                <w:rFonts w:eastAsiaTheme="minorEastAsia"/>
                <w:color w:val="000000" w:themeColor="text1"/>
                <w:szCs w:val="21"/>
              </w:rPr>
              <w:t>吴春杰</w:t>
            </w:r>
          </w:p>
        </w:tc>
        <w:tc>
          <w:tcPr>
            <w:tcW w:w="930" w:type="dxa"/>
            <w:vAlign w:val="center"/>
          </w:tcPr>
          <w:p w:rsidR="000228BC" w:rsidRDefault="002B6E42">
            <w:pPr>
              <w:jc w:val="center"/>
            </w:pPr>
            <w:r>
              <w:rPr>
                <w:rFonts w:eastAsiaTheme="minorEastAsia"/>
                <w:color w:val="000000" w:themeColor="text1"/>
                <w:szCs w:val="21"/>
              </w:rPr>
              <w:t>本基金基金经理</w:t>
            </w:r>
          </w:p>
        </w:tc>
        <w:tc>
          <w:tcPr>
            <w:tcW w:w="1210" w:type="dxa"/>
            <w:vAlign w:val="center"/>
          </w:tcPr>
          <w:p w:rsidR="000228BC" w:rsidRDefault="002B6E42">
            <w:pPr>
              <w:jc w:val="center"/>
            </w:pPr>
            <w:r>
              <w:rPr>
                <w:rFonts w:eastAsiaTheme="minorEastAsia"/>
                <w:color w:val="000000" w:themeColor="text1"/>
                <w:szCs w:val="21"/>
              </w:rPr>
              <w:t>2022-11-18</w:t>
            </w:r>
          </w:p>
        </w:tc>
        <w:tc>
          <w:tcPr>
            <w:tcW w:w="1309" w:type="dxa"/>
            <w:vAlign w:val="center"/>
          </w:tcPr>
          <w:p w:rsidR="000228BC" w:rsidRDefault="002B6E42">
            <w:pPr>
              <w:jc w:val="center"/>
            </w:pPr>
            <w:r>
              <w:rPr>
                <w:rFonts w:eastAsiaTheme="minorEastAsia"/>
                <w:color w:val="000000" w:themeColor="text1"/>
                <w:szCs w:val="21"/>
              </w:rPr>
              <w:t>-</w:t>
            </w:r>
          </w:p>
        </w:tc>
        <w:tc>
          <w:tcPr>
            <w:tcW w:w="1254" w:type="dxa"/>
            <w:vAlign w:val="center"/>
          </w:tcPr>
          <w:p w:rsidR="000228BC" w:rsidRDefault="002B6E42">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rsidR="000228BC" w:rsidRDefault="002B6E42">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月加入摩根基金管理（中国）有限公司（原上投摩根基金管理有限公司），历任宏观研究员，现任高级基金经理。</w:t>
            </w:r>
          </w:p>
        </w:tc>
      </w:tr>
    </w:tbl>
    <w:p w:rsidR="000228BC" w:rsidRDefault="002B6E4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0228BC" w:rsidRDefault="002B6E4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杜习杰先生为本基金首任基金经理，其任职日期指本基金基金合同生效之日。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 xml:space="preserve">4.3.1 </w:t>
      </w:r>
      <w:r w:rsidRPr="00B27A29">
        <w:rPr>
          <w:rFonts w:eastAsiaTheme="minorEastAsia"/>
          <w:color w:val="000000" w:themeColor="text1"/>
          <w:szCs w:val="21"/>
        </w:rPr>
        <w:t>公平交易制度的执行情况</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回顾上半年，一季度国内实际</w:t>
      </w:r>
      <w:r>
        <w:rPr>
          <w:rFonts w:eastAsiaTheme="minorEastAsia"/>
          <w:color w:val="000000" w:themeColor="text1"/>
          <w:szCs w:val="21"/>
        </w:rPr>
        <w:t>GDP</w:t>
      </w:r>
      <w:r>
        <w:rPr>
          <w:rFonts w:eastAsiaTheme="minorEastAsia"/>
          <w:color w:val="000000" w:themeColor="text1"/>
          <w:szCs w:val="21"/>
        </w:rPr>
        <w:t>同比增长</w:t>
      </w:r>
      <w:r>
        <w:rPr>
          <w:rFonts w:eastAsiaTheme="minorEastAsia"/>
          <w:color w:val="000000" w:themeColor="text1"/>
          <w:szCs w:val="21"/>
        </w:rPr>
        <w:t>4.5%</w:t>
      </w:r>
      <w:r>
        <w:rPr>
          <w:rFonts w:eastAsiaTheme="minorEastAsia"/>
          <w:color w:val="000000" w:themeColor="text1"/>
          <w:szCs w:val="21"/>
        </w:rPr>
        <w:t>，实现了良好的开局。二季度多项经济数据不及预期，一方面，去年底防疫政策调整后的经济脉冲恢复动能减弱；另一方面，中期经济面临的结构问题有一些显现，比如房地产市场、就业等问题。短期、中期的经济悲观预期叠加下，国内股票市场回吐年初以来的涨幅。在流动性宽松的环境中，人工智能、中特估等主题成为资金追逐的方向。国内债券市场表现较好，</w:t>
      </w:r>
      <w:r>
        <w:rPr>
          <w:rFonts w:eastAsiaTheme="minorEastAsia"/>
          <w:color w:val="000000" w:themeColor="text1"/>
          <w:szCs w:val="21"/>
        </w:rPr>
        <w:t>10</w:t>
      </w:r>
      <w:r>
        <w:rPr>
          <w:rFonts w:eastAsiaTheme="minorEastAsia"/>
          <w:color w:val="000000" w:themeColor="text1"/>
          <w:szCs w:val="21"/>
        </w:rPr>
        <w:t>年期国债收益率下行至</w:t>
      </w:r>
      <w:r>
        <w:rPr>
          <w:rFonts w:eastAsiaTheme="minorEastAsia"/>
          <w:color w:val="000000" w:themeColor="text1"/>
          <w:szCs w:val="21"/>
        </w:rPr>
        <w:t>2.67%</w:t>
      </w:r>
      <w:r>
        <w:rPr>
          <w:rFonts w:eastAsiaTheme="minorEastAsia"/>
          <w:color w:val="000000" w:themeColor="text1"/>
          <w:szCs w:val="21"/>
        </w:rPr>
        <w:t>。</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海外资产方面，二季度美国就业市场韧性强于预期，市场对于美国经济陷入衰退的预期下降，美股表现亮眼，纳斯达克指数上涨超过</w:t>
      </w:r>
      <w:r>
        <w:rPr>
          <w:rFonts w:eastAsiaTheme="minorEastAsia"/>
          <w:color w:val="000000" w:themeColor="text1"/>
          <w:szCs w:val="21"/>
        </w:rPr>
        <w:t>10%</w:t>
      </w:r>
      <w:r>
        <w:rPr>
          <w:rFonts w:eastAsiaTheme="minorEastAsia"/>
          <w:color w:val="000000" w:themeColor="text1"/>
          <w:szCs w:val="21"/>
        </w:rPr>
        <w:t>。尽管美联储在</w:t>
      </w:r>
      <w:r>
        <w:rPr>
          <w:rFonts w:eastAsiaTheme="minorEastAsia"/>
          <w:color w:val="000000" w:themeColor="text1"/>
          <w:szCs w:val="21"/>
        </w:rPr>
        <w:t>6</w:t>
      </w:r>
      <w:r>
        <w:rPr>
          <w:rFonts w:eastAsiaTheme="minorEastAsia"/>
          <w:color w:val="000000" w:themeColor="text1"/>
          <w:szCs w:val="21"/>
        </w:rPr>
        <w:t>月议息会议上暂停加息，但提示年内仍有</w:t>
      </w:r>
      <w:r>
        <w:rPr>
          <w:rFonts w:eastAsiaTheme="minorEastAsia"/>
          <w:color w:val="000000" w:themeColor="text1"/>
          <w:szCs w:val="21"/>
        </w:rPr>
        <w:t>2</w:t>
      </w:r>
      <w:r>
        <w:rPr>
          <w:rFonts w:eastAsiaTheme="minorEastAsia"/>
          <w:color w:val="000000" w:themeColor="text1"/>
          <w:szCs w:val="21"/>
        </w:rPr>
        <w:t>次加息的可能性，</w:t>
      </w:r>
      <w:r>
        <w:rPr>
          <w:rFonts w:eastAsiaTheme="minorEastAsia"/>
          <w:color w:val="000000" w:themeColor="text1"/>
          <w:szCs w:val="21"/>
        </w:rPr>
        <w:t>10</w:t>
      </w:r>
      <w:r>
        <w:rPr>
          <w:rFonts w:eastAsiaTheme="minorEastAsia"/>
          <w:color w:val="000000" w:themeColor="text1"/>
          <w:szCs w:val="21"/>
        </w:rPr>
        <w:t>年期美债收益率升至</w:t>
      </w:r>
      <w:r>
        <w:rPr>
          <w:rFonts w:eastAsiaTheme="minorEastAsia"/>
          <w:color w:val="000000" w:themeColor="text1"/>
          <w:szCs w:val="21"/>
        </w:rPr>
        <w:t>3.87%</w:t>
      </w:r>
      <w:r>
        <w:rPr>
          <w:rFonts w:eastAsiaTheme="minorEastAsia"/>
          <w:color w:val="000000" w:themeColor="text1"/>
          <w:szCs w:val="21"/>
        </w:rPr>
        <w:t>，黄金价格有所回落。</w:t>
      </w:r>
      <w:r>
        <w:rPr>
          <w:rFonts w:eastAsiaTheme="minorEastAsia"/>
          <w:color w:val="000000" w:themeColor="text1"/>
          <w:szCs w:val="21"/>
        </w:rPr>
        <w:t xml:space="preserve"> </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对于国内权益来讲，当前历史估值分位、相对债券资产的估值处均在具备吸引力的水平，为</w:t>
      </w:r>
      <w:r>
        <w:rPr>
          <w:rFonts w:eastAsiaTheme="minorEastAsia"/>
          <w:color w:val="000000" w:themeColor="text1"/>
          <w:szCs w:val="21"/>
        </w:rPr>
        <w:lastRenderedPageBreak/>
        <w:t>长期投资提供一定安全边际。二季度国内经济复苏进程曲折，但</w:t>
      </w:r>
      <w:r>
        <w:rPr>
          <w:rFonts w:eastAsiaTheme="minorEastAsia"/>
          <w:color w:val="000000" w:themeColor="text1"/>
          <w:szCs w:val="21"/>
        </w:rPr>
        <w:t>5</w:t>
      </w:r>
      <w:r>
        <w:rPr>
          <w:rFonts w:eastAsiaTheme="minorEastAsia"/>
          <w:color w:val="000000" w:themeColor="text1"/>
          <w:szCs w:val="21"/>
        </w:rPr>
        <w:t>月底以来，已经看到宏观经济政策的积极调整，包括逆回购、</w:t>
      </w:r>
      <w:r>
        <w:rPr>
          <w:rFonts w:eastAsiaTheme="minorEastAsia"/>
          <w:color w:val="000000" w:themeColor="text1"/>
          <w:szCs w:val="21"/>
        </w:rPr>
        <w:t>MLF</w:t>
      </w:r>
      <w:r>
        <w:rPr>
          <w:rFonts w:eastAsiaTheme="minorEastAsia"/>
          <w:color w:val="000000" w:themeColor="text1"/>
          <w:szCs w:val="21"/>
        </w:rPr>
        <w:t>、</w:t>
      </w:r>
      <w:r>
        <w:rPr>
          <w:rFonts w:eastAsiaTheme="minorEastAsia"/>
          <w:color w:val="000000" w:themeColor="text1"/>
          <w:szCs w:val="21"/>
        </w:rPr>
        <w:t>LPR</w:t>
      </w:r>
      <w:r>
        <w:rPr>
          <w:rFonts w:eastAsiaTheme="minorEastAsia"/>
          <w:color w:val="000000" w:themeColor="text1"/>
          <w:szCs w:val="21"/>
        </w:rPr>
        <w:t>等利率下调、房地产企业股权再融资获批、新能源汽车购置税减免延期等。后续仍有可能有增量政策出台，下半年经济增速较二季度有所提高还是可以期待的。结构上，关注受益于稳内需政策加码的领域，包括地产后周期与基建、信创与自主可控等领域，以及中报业绩改善的方向。</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对于国内债券来讲，国内托底经济增长发力，内外利差仍为负值，相对配置价值处在偏低的位置。考虑到</w:t>
      </w:r>
      <w:r>
        <w:rPr>
          <w:rFonts w:eastAsiaTheme="minorEastAsia"/>
          <w:color w:val="000000" w:themeColor="text1"/>
          <w:szCs w:val="21"/>
        </w:rPr>
        <w:t>6</w:t>
      </w:r>
      <w:r>
        <w:rPr>
          <w:rFonts w:eastAsiaTheme="minorEastAsia"/>
          <w:color w:val="000000" w:themeColor="text1"/>
          <w:szCs w:val="21"/>
        </w:rPr>
        <w:t>月央行降息以及后续潜在的延续，国内债券的下行风险也相对可控。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加息周期接近尾声，美债中期机会逐步显现。海外权益面临的盈利下调风险在增大，银行风险事件以及可能持续更久的高利率会导致一定程度的信用收缩，并向需求传导。我们倾向于认为可以等待更好的时机配置发达国家资产。对于港股，估值仍在历史较低位置，平台经济监管政策趋于呵护，叠加国内经济基本面修复，具有较好的配置价值。</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本报告期摩根锦程均衡养老三年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:-2.85%</w:t>
      </w:r>
      <w:r>
        <w:rPr>
          <w:rFonts w:eastAsiaTheme="minorEastAsia"/>
          <w:color w:val="000000" w:themeColor="text1"/>
          <w:szCs w:val="21"/>
        </w:rPr>
        <w:t>，同期业绩比较基准收益率为</w:t>
      </w:r>
      <w:r>
        <w:rPr>
          <w:rFonts w:eastAsiaTheme="minorEastAsia"/>
          <w:color w:val="000000" w:themeColor="text1"/>
          <w:szCs w:val="21"/>
        </w:rPr>
        <w:t>:-1.81%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摩根锦程均衡养老三年</w:t>
      </w:r>
      <w:r w:rsidRPr="00B27A29">
        <w:rPr>
          <w:rFonts w:eastAsiaTheme="minorEastAsia"/>
          <w:color w:val="000000" w:themeColor="text1"/>
          <w:szCs w:val="21"/>
        </w:rPr>
        <w:t>Y</w:t>
      </w:r>
      <w:r w:rsidRPr="00B27A29">
        <w:rPr>
          <w:rFonts w:eastAsiaTheme="minorEastAsia"/>
          <w:color w:val="000000" w:themeColor="text1"/>
          <w:szCs w:val="21"/>
        </w:rPr>
        <w:t>份额净值增长率为</w:t>
      </w:r>
      <w:r w:rsidRPr="00B27A29">
        <w:rPr>
          <w:rFonts w:eastAsiaTheme="minorEastAsia"/>
          <w:color w:val="000000" w:themeColor="text1"/>
          <w:szCs w:val="21"/>
        </w:rPr>
        <w:t>:-2.76%</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:-1.81%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123,200,615.05</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94.56</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6,616,862.88</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5.08</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6,616,862.88</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5.08</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376,843.32</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0.29</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97,558.45</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0.07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130,291,879.70</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6,616,862.88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6,616,862.88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0228BC">
        <w:tc>
          <w:tcPr>
            <w:tcW w:w="1504" w:type="dxa"/>
            <w:vAlign w:val="center"/>
          </w:tcPr>
          <w:p w:rsidR="000228BC" w:rsidRDefault="002B6E42">
            <w:pPr>
              <w:jc w:val="center"/>
            </w:pPr>
            <w:r>
              <w:rPr>
                <w:rFonts w:eastAsiaTheme="minorEastAsia"/>
                <w:color w:val="000000" w:themeColor="text1"/>
                <w:szCs w:val="21"/>
              </w:rPr>
              <w:t>1</w:t>
            </w:r>
          </w:p>
        </w:tc>
        <w:tc>
          <w:tcPr>
            <w:tcW w:w="1504" w:type="dxa"/>
            <w:vAlign w:val="center"/>
          </w:tcPr>
          <w:p w:rsidR="000228BC" w:rsidRDefault="002B6E42">
            <w:pPr>
              <w:jc w:val="center"/>
            </w:pPr>
            <w:r>
              <w:rPr>
                <w:rFonts w:eastAsiaTheme="minorEastAsia"/>
                <w:color w:val="000000" w:themeColor="text1"/>
                <w:szCs w:val="21"/>
              </w:rPr>
              <w:t>019679</w:t>
            </w:r>
          </w:p>
        </w:tc>
        <w:tc>
          <w:tcPr>
            <w:tcW w:w="1504" w:type="dxa"/>
            <w:vAlign w:val="center"/>
          </w:tcPr>
          <w:p w:rsidR="000228BC" w:rsidRDefault="002B6E42">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14</w:t>
            </w:r>
          </w:p>
        </w:tc>
        <w:tc>
          <w:tcPr>
            <w:tcW w:w="1503" w:type="dxa"/>
            <w:vAlign w:val="center"/>
          </w:tcPr>
          <w:p w:rsidR="000228BC" w:rsidRDefault="002B6E42">
            <w:pPr>
              <w:jc w:val="right"/>
            </w:pPr>
            <w:r>
              <w:rPr>
                <w:rFonts w:eastAsiaTheme="minorEastAsia"/>
                <w:color w:val="000000" w:themeColor="text1"/>
                <w:szCs w:val="21"/>
              </w:rPr>
              <w:t>65,000</w:t>
            </w:r>
          </w:p>
        </w:tc>
        <w:tc>
          <w:tcPr>
            <w:tcW w:w="1503" w:type="dxa"/>
            <w:vAlign w:val="center"/>
          </w:tcPr>
          <w:p w:rsidR="000228BC" w:rsidRDefault="002B6E42">
            <w:pPr>
              <w:jc w:val="right"/>
            </w:pPr>
            <w:r>
              <w:rPr>
                <w:rFonts w:eastAsiaTheme="minorEastAsia"/>
                <w:color w:val="000000" w:themeColor="text1"/>
                <w:szCs w:val="21"/>
              </w:rPr>
              <w:t>6,616,862.88</w:t>
            </w:r>
          </w:p>
        </w:tc>
        <w:tc>
          <w:tcPr>
            <w:tcW w:w="1503" w:type="dxa"/>
            <w:vAlign w:val="center"/>
          </w:tcPr>
          <w:p w:rsidR="000228BC" w:rsidRDefault="002B6E42">
            <w:pPr>
              <w:jc w:val="right"/>
            </w:pPr>
            <w:r>
              <w:rPr>
                <w:rFonts w:eastAsiaTheme="minorEastAsia"/>
                <w:color w:val="000000" w:themeColor="text1"/>
                <w:szCs w:val="21"/>
              </w:rPr>
              <w:t>5.10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9,464.43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0.94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88,083.07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10.01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97,558.45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0228BC">
        <w:tc>
          <w:tcPr>
            <w:tcW w:w="817" w:type="dxa"/>
            <w:vAlign w:val="center"/>
          </w:tcPr>
          <w:p w:rsidR="000228BC" w:rsidRDefault="002B6E42">
            <w:pPr>
              <w:jc w:val="center"/>
            </w:pPr>
            <w:r>
              <w:rPr>
                <w:sz w:val="24"/>
              </w:rPr>
              <w:t>1</w:t>
            </w:r>
          </w:p>
        </w:tc>
        <w:tc>
          <w:tcPr>
            <w:tcW w:w="1133" w:type="dxa"/>
            <w:vAlign w:val="center"/>
          </w:tcPr>
          <w:p w:rsidR="000228BC" w:rsidRDefault="002B6E42">
            <w:pPr>
              <w:jc w:val="center"/>
            </w:pPr>
            <w:r>
              <w:rPr>
                <w:sz w:val="24"/>
              </w:rPr>
              <w:t>004200</w:t>
            </w:r>
          </w:p>
        </w:tc>
        <w:tc>
          <w:tcPr>
            <w:tcW w:w="1135" w:type="dxa"/>
            <w:vAlign w:val="center"/>
          </w:tcPr>
          <w:p w:rsidR="000228BC" w:rsidRDefault="002B6E42">
            <w:pPr>
              <w:jc w:val="center"/>
            </w:pPr>
            <w:r>
              <w:rPr>
                <w:sz w:val="24"/>
              </w:rPr>
              <w:t>博时富瑞纯债债券</w:t>
            </w:r>
            <w:r>
              <w:rPr>
                <w:sz w:val="24"/>
              </w:rPr>
              <w:t>A</w:t>
            </w:r>
          </w:p>
        </w:tc>
        <w:tc>
          <w:tcPr>
            <w:tcW w:w="1135" w:type="dxa"/>
            <w:vAlign w:val="center"/>
          </w:tcPr>
          <w:p w:rsidR="000228BC" w:rsidRDefault="002B6E42">
            <w:pPr>
              <w:jc w:val="center"/>
            </w:pPr>
            <w:r>
              <w:rPr>
                <w:sz w:val="24"/>
              </w:rPr>
              <w:t>契约型开放式</w:t>
            </w:r>
          </w:p>
        </w:tc>
        <w:tc>
          <w:tcPr>
            <w:tcW w:w="1133" w:type="dxa"/>
            <w:vAlign w:val="center"/>
          </w:tcPr>
          <w:p w:rsidR="000228BC" w:rsidRDefault="002B6E42">
            <w:pPr>
              <w:jc w:val="center"/>
            </w:pPr>
            <w:r>
              <w:rPr>
                <w:sz w:val="24"/>
              </w:rPr>
              <w:t>4,773,291.69</w:t>
            </w:r>
          </w:p>
        </w:tc>
        <w:tc>
          <w:tcPr>
            <w:tcW w:w="1276" w:type="dxa"/>
            <w:vAlign w:val="center"/>
          </w:tcPr>
          <w:p w:rsidR="000228BC" w:rsidRDefault="002B6E42">
            <w:pPr>
              <w:jc w:val="center"/>
            </w:pPr>
            <w:r>
              <w:rPr>
                <w:sz w:val="24"/>
              </w:rPr>
              <w:t>5,022,457.52</w:t>
            </w:r>
          </w:p>
        </w:tc>
        <w:tc>
          <w:tcPr>
            <w:tcW w:w="1135" w:type="dxa"/>
            <w:vAlign w:val="center"/>
          </w:tcPr>
          <w:p w:rsidR="000228BC" w:rsidRDefault="002B6E42">
            <w:pPr>
              <w:jc w:val="center"/>
            </w:pPr>
            <w:r>
              <w:rPr>
                <w:sz w:val="24"/>
              </w:rPr>
              <w:t>3.87%</w:t>
            </w:r>
          </w:p>
        </w:tc>
        <w:tc>
          <w:tcPr>
            <w:tcW w:w="1272" w:type="dxa"/>
            <w:vAlign w:val="center"/>
          </w:tcPr>
          <w:p w:rsidR="000228BC" w:rsidRDefault="002B6E42">
            <w:pPr>
              <w:jc w:val="center"/>
            </w:pPr>
            <w:r>
              <w:rPr>
                <w:sz w:val="24"/>
              </w:rPr>
              <w:t>否</w:t>
            </w:r>
          </w:p>
        </w:tc>
      </w:tr>
      <w:tr w:rsidR="000228BC">
        <w:tc>
          <w:tcPr>
            <w:tcW w:w="817" w:type="dxa"/>
            <w:vAlign w:val="center"/>
          </w:tcPr>
          <w:p w:rsidR="000228BC" w:rsidRDefault="002B6E42">
            <w:pPr>
              <w:jc w:val="center"/>
            </w:pPr>
            <w:r>
              <w:rPr>
                <w:sz w:val="24"/>
              </w:rPr>
              <w:t>2</w:t>
            </w:r>
          </w:p>
        </w:tc>
        <w:tc>
          <w:tcPr>
            <w:tcW w:w="1133" w:type="dxa"/>
            <w:vAlign w:val="center"/>
          </w:tcPr>
          <w:p w:rsidR="000228BC" w:rsidRDefault="002B6E42">
            <w:pPr>
              <w:jc w:val="center"/>
            </w:pPr>
            <w:r>
              <w:rPr>
                <w:sz w:val="24"/>
              </w:rPr>
              <w:t>968050</w:t>
            </w:r>
          </w:p>
        </w:tc>
        <w:tc>
          <w:tcPr>
            <w:tcW w:w="1135" w:type="dxa"/>
            <w:vAlign w:val="center"/>
          </w:tcPr>
          <w:p w:rsidR="000228BC" w:rsidRDefault="002B6E42">
            <w:pPr>
              <w:jc w:val="center"/>
            </w:pPr>
            <w:r>
              <w:rPr>
                <w:sz w:val="24"/>
              </w:rPr>
              <w:t>摩根国际债券</w:t>
            </w:r>
            <w:r>
              <w:rPr>
                <w:sz w:val="24"/>
              </w:rPr>
              <w:lastRenderedPageBreak/>
              <w:t>人民币对冲累计</w:t>
            </w:r>
          </w:p>
        </w:tc>
        <w:tc>
          <w:tcPr>
            <w:tcW w:w="1135" w:type="dxa"/>
            <w:vAlign w:val="center"/>
          </w:tcPr>
          <w:p w:rsidR="000228BC" w:rsidRDefault="002B6E42">
            <w:pPr>
              <w:jc w:val="center"/>
            </w:pPr>
            <w:r>
              <w:rPr>
                <w:sz w:val="24"/>
              </w:rPr>
              <w:lastRenderedPageBreak/>
              <w:t>契约型开放式</w:t>
            </w:r>
          </w:p>
        </w:tc>
        <w:tc>
          <w:tcPr>
            <w:tcW w:w="1133" w:type="dxa"/>
            <w:vAlign w:val="center"/>
          </w:tcPr>
          <w:p w:rsidR="000228BC" w:rsidRDefault="002B6E42">
            <w:pPr>
              <w:jc w:val="center"/>
            </w:pPr>
            <w:r>
              <w:rPr>
                <w:sz w:val="24"/>
              </w:rPr>
              <w:t>454,016.62</w:t>
            </w:r>
          </w:p>
        </w:tc>
        <w:tc>
          <w:tcPr>
            <w:tcW w:w="1276" w:type="dxa"/>
            <w:vAlign w:val="center"/>
          </w:tcPr>
          <w:p w:rsidR="000228BC" w:rsidRDefault="002B6E42">
            <w:pPr>
              <w:jc w:val="center"/>
            </w:pPr>
            <w:r>
              <w:rPr>
                <w:sz w:val="24"/>
              </w:rPr>
              <w:t>4,735,393.35</w:t>
            </w:r>
          </w:p>
        </w:tc>
        <w:tc>
          <w:tcPr>
            <w:tcW w:w="1135" w:type="dxa"/>
            <w:vAlign w:val="center"/>
          </w:tcPr>
          <w:p w:rsidR="000228BC" w:rsidRDefault="002B6E42">
            <w:pPr>
              <w:jc w:val="center"/>
            </w:pPr>
            <w:r>
              <w:rPr>
                <w:sz w:val="24"/>
              </w:rPr>
              <w:t>3.65%</w:t>
            </w:r>
          </w:p>
        </w:tc>
        <w:tc>
          <w:tcPr>
            <w:tcW w:w="1272" w:type="dxa"/>
            <w:vAlign w:val="center"/>
          </w:tcPr>
          <w:p w:rsidR="000228BC" w:rsidRDefault="002B6E42">
            <w:pPr>
              <w:jc w:val="center"/>
            </w:pPr>
            <w:r>
              <w:rPr>
                <w:sz w:val="24"/>
              </w:rPr>
              <w:t>否</w:t>
            </w:r>
          </w:p>
        </w:tc>
      </w:tr>
      <w:tr w:rsidR="000228BC">
        <w:tc>
          <w:tcPr>
            <w:tcW w:w="817" w:type="dxa"/>
            <w:vAlign w:val="center"/>
          </w:tcPr>
          <w:p w:rsidR="000228BC" w:rsidRDefault="002B6E42">
            <w:pPr>
              <w:jc w:val="center"/>
            </w:pPr>
            <w:r>
              <w:rPr>
                <w:sz w:val="24"/>
              </w:rPr>
              <w:t>3</w:t>
            </w:r>
          </w:p>
        </w:tc>
        <w:tc>
          <w:tcPr>
            <w:tcW w:w="1133" w:type="dxa"/>
            <w:vAlign w:val="center"/>
          </w:tcPr>
          <w:p w:rsidR="000228BC" w:rsidRDefault="002B6E42">
            <w:pPr>
              <w:jc w:val="center"/>
            </w:pPr>
            <w:r>
              <w:rPr>
                <w:sz w:val="24"/>
              </w:rPr>
              <w:t>006567</w:t>
            </w:r>
          </w:p>
        </w:tc>
        <w:tc>
          <w:tcPr>
            <w:tcW w:w="1135" w:type="dxa"/>
            <w:vAlign w:val="center"/>
          </w:tcPr>
          <w:p w:rsidR="000228BC" w:rsidRDefault="002B6E42">
            <w:pPr>
              <w:jc w:val="center"/>
            </w:pPr>
            <w:r>
              <w:rPr>
                <w:sz w:val="24"/>
              </w:rPr>
              <w:t>中泰星元灵活配置混合</w:t>
            </w:r>
            <w:r>
              <w:rPr>
                <w:sz w:val="24"/>
              </w:rPr>
              <w:t>A</w:t>
            </w:r>
          </w:p>
        </w:tc>
        <w:tc>
          <w:tcPr>
            <w:tcW w:w="1135" w:type="dxa"/>
            <w:vAlign w:val="center"/>
          </w:tcPr>
          <w:p w:rsidR="000228BC" w:rsidRDefault="002B6E42">
            <w:pPr>
              <w:jc w:val="center"/>
            </w:pPr>
            <w:r>
              <w:rPr>
                <w:sz w:val="24"/>
              </w:rPr>
              <w:t>契约型开放式</w:t>
            </w:r>
          </w:p>
        </w:tc>
        <w:tc>
          <w:tcPr>
            <w:tcW w:w="1133" w:type="dxa"/>
            <w:vAlign w:val="center"/>
          </w:tcPr>
          <w:p w:rsidR="000228BC" w:rsidRDefault="002B6E42">
            <w:pPr>
              <w:jc w:val="center"/>
            </w:pPr>
            <w:r>
              <w:rPr>
                <w:sz w:val="24"/>
              </w:rPr>
              <w:t>1,959,144.19</w:t>
            </w:r>
          </w:p>
        </w:tc>
        <w:tc>
          <w:tcPr>
            <w:tcW w:w="1276" w:type="dxa"/>
            <w:vAlign w:val="center"/>
          </w:tcPr>
          <w:p w:rsidR="000228BC" w:rsidRDefault="002B6E42">
            <w:pPr>
              <w:jc w:val="center"/>
            </w:pPr>
            <w:r>
              <w:rPr>
                <w:sz w:val="24"/>
              </w:rPr>
              <w:t>4,665,114.15</w:t>
            </w:r>
          </w:p>
        </w:tc>
        <w:tc>
          <w:tcPr>
            <w:tcW w:w="1135" w:type="dxa"/>
            <w:vAlign w:val="center"/>
          </w:tcPr>
          <w:p w:rsidR="000228BC" w:rsidRDefault="002B6E42">
            <w:pPr>
              <w:jc w:val="center"/>
            </w:pPr>
            <w:r>
              <w:rPr>
                <w:sz w:val="24"/>
              </w:rPr>
              <w:t>3.60%</w:t>
            </w:r>
          </w:p>
        </w:tc>
        <w:tc>
          <w:tcPr>
            <w:tcW w:w="1272" w:type="dxa"/>
            <w:vAlign w:val="center"/>
          </w:tcPr>
          <w:p w:rsidR="000228BC" w:rsidRDefault="002B6E42">
            <w:pPr>
              <w:jc w:val="center"/>
            </w:pPr>
            <w:r>
              <w:rPr>
                <w:sz w:val="24"/>
              </w:rPr>
              <w:t>否</w:t>
            </w:r>
          </w:p>
        </w:tc>
      </w:tr>
      <w:tr w:rsidR="000228BC">
        <w:tc>
          <w:tcPr>
            <w:tcW w:w="817" w:type="dxa"/>
            <w:vAlign w:val="center"/>
          </w:tcPr>
          <w:p w:rsidR="000228BC" w:rsidRDefault="002B6E42">
            <w:pPr>
              <w:jc w:val="center"/>
            </w:pPr>
            <w:r>
              <w:rPr>
                <w:sz w:val="24"/>
              </w:rPr>
              <w:t>4</w:t>
            </w:r>
          </w:p>
        </w:tc>
        <w:tc>
          <w:tcPr>
            <w:tcW w:w="1133" w:type="dxa"/>
            <w:vAlign w:val="center"/>
          </w:tcPr>
          <w:p w:rsidR="000228BC" w:rsidRDefault="002B6E42">
            <w:pPr>
              <w:jc w:val="center"/>
            </w:pPr>
            <w:r>
              <w:rPr>
                <w:sz w:val="24"/>
              </w:rPr>
              <w:t>000186</w:t>
            </w:r>
          </w:p>
        </w:tc>
        <w:tc>
          <w:tcPr>
            <w:tcW w:w="1135" w:type="dxa"/>
            <w:vAlign w:val="center"/>
          </w:tcPr>
          <w:p w:rsidR="000228BC" w:rsidRDefault="002B6E42">
            <w:pPr>
              <w:jc w:val="center"/>
            </w:pPr>
            <w:r>
              <w:rPr>
                <w:sz w:val="24"/>
              </w:rPr>
              <w:t>华泰柏瑞季季红债券</w:t>
            </w:r>
            <w:r>
              <w:rPr>
                <w:sz w:val="24"/>
              </w:rPr>
              <w:t>A</w:t>
            </w:r>
          </w:p>
        </w:tc>
        <w:tc>
          <w:tcPr>
            <w:tcW w:w="1135" w:type="dxa"/>
            <w:vAlign w:val="center"/>
          </w:tcPr>
          <w:p w:rsidR="000228BC" w:rsidRDefault="002B6E42">
            <w:pPr>
              <w:jc w:val="center"/>
            </w:pPr>
            <w:r>
              <w:rPr>
                <w:sz w:val="24"/>
              </w:rPr>
              <w:t>契约型开放式</w:t>
            </w:r>
          </w:p>
        </w:tc>
        <w:tc>
          <w:tcPr>
            <w:tcW w:w="1133" w:type="dxa"/>
            <w:vAlign w:val="center"/>
          </w:tcPr>
          <w:p w:rsidR="000228BC" w:rsidRDefault="002B6E42">
            <w:pPr>
              <w:jc w:val="center"/>
            </w:pPr>
            <w:r>
              <w:rPr>
                <w:sz w:val="24"/>
              </w:rPr>
              <w:t>4,167,790.12</w:t>
            </w:r>
          </w:p>
        </w:tc>
        <w:tc>
          <w:tcPr>
            <w:tcW w:w="1276" w:type="dxa"/>
            <w:vAlign w:val="center"/>
          </w:tcPr>
          <w:p w:rsidR="000228BC" w:rsidRDefault="002B6E42">
            <w:pPr>
              <w:jc w:val="center"/>
            </w:pPr>
            <w:r>
              <w:rPr>
                <w:sz w:val="24"/>
              </w:rPr>
              <w:t>4,493,294.53</w:t>
            </w:r>
          </w:p>
        </w:tc>
        <w:tc>
          <w:tcPr>
            <w:tcW w:w="1135" w:type="dxa"/>
            <w:vAlign w:val="center"/>
          </w:tcPr>
          <w:p w:rsidR="000228BC" w:rsidRDefault="002B6E42">
            <w:pPr>
              <w:jc w:val="center"/>
            </w:pPr>
            <w:r>
              <w:rPr>
                <w:sz w:val="24"/>
              </w:rPr>
              <w:t>3.46%</w:t>
            </w:r>
          </w:p>
        </w:tc>
        <w:tc>
          <w:tcPr>
            <w:tcW w:w="1272" w:type="dxa"/>
            <w:vAlign w:val="center"/>
          </w:tcPr>
          <w:p w:rsidR="000228BC" w:rsidRDefault="002B6E42">
            <w:pPr>
              <w:jc w:val="center"/>
            </w:pPr>
            <w:r>
              <w:rPr>
                <w:sz w:val="24"/>
              </w:rPr>
              <w:t>否</w:t>
            </w:r>
          </w:p>
        </w:tc>
      </w:tr>
      <w:tr w:rsidR="000228BC">
        <w:tc>
          <w:tcPr>
            <w:tcW w:w="817" w:type="dxa"/>
            <w:vAlign w:val="center"/>
          </w:tcPr>
          <w:p w:rsidR="000228BC" w:rsidRDefault="002B6E42">
            <w:pPr>
              <w:jc w:val="center"/>
            </w:pPr>
            <w:r>
              <w:rPr>
                <w:sz w:val="24"/>
              </w:rPr>
              <w:t>5</w:t>
            </w:r>
          </w:p>
        </w:tc>
        <w:tc>
          <w:tcPr>
            <w:tcW w:w="1133" w:type="dxa"/>
            <w:vAlign w:val="center"/>
          </w:tcPr>
          <w:p w:rsidR="000228BC" w:rsidRDefault="002B6E42">
            <w:pPr>
              <w:jc w:val="center"/>
            </w:pPr>
            <w:r>
              <w:rPr>
                <w:sz w:val="24"/>
              </w:rPr>
              <w:t>003949</w:t>
            </w:r>
          </w:p>
        </w:tc>
        <w:tc>
          <w:tcPr>
            <w:tcW w:w="1135" w:type="dxa"/>
            <w:vAlign w:val="center"/>
          </w:tcPr>
          <w:p w:rsidR="000228BC" w:rsidRDefault="002B6E42">
            <w:pPr>
              <w:jc w:val="center"/>
            </w:pPr>
            <w:r>
              <w:rPr>
                <w:sz w:val="24"/>
              </w:rPr>
              <w:t>兴全稳泰债券</w:t>
            </w:r>
            <w:r>
              <w:rPr>
                <w:sz w:val="24"/>
              </w:rPr>
              <w:t>A</w:t>
            </w:r>
          </w:p>
        </w:tc>
        <w:tc>
          <w:tcPr>
            <w:tcW w:w="1135" w:type="dxa"/>
            <w:vAlign w:val="center"/>
          </w:tcPr>
          <w:p w:rsidR="000228BC" w:rsidRDefault="002B6E42">
            <w:pPr>
              <w:jc w:val="center"/>
            </w:pPr>
            <w:r>
              <w:rPr>
                <w:sz w:val="24"/>
              </w:rPr>
              <w:t>契约型开放式</w:t>
            </w:r>
          </w:p>
        </w:tc>
        <w:tc>
          <w:tcPr>
            <w:tcW w:w="1133" w:type="dxa"/>
            <w:vAlign w:val="center"/>
          </w:tcPr>
          <w:p w:rsidR="000228BC" w:rsidRDefault="002B6E42">
            <w:pPr>
              <w:jc w:val="center"/>
            </w:pPr>
            <w:r>
              <w:rPr>
                <w:sz w:val="24"/>
              </w:rPr>
              <w:t>3,940,881.07</w:t>
            </w:r>
          </w:p>
        </w:tc>
        <w:tc>
          <w:tcPr>
            <w:tcW w:w="1276" w:type="dxa"/>
            <w:vAlign w:val="center"/>
          </w:tcPr>
          <w:p w:rsidR="000228BC" w:rsidRDefault="002B6E42">
            <w:pPr>
              <w:jc w:val="center"/>
            </w:pPr>
            <w:r>
              <w:rPr>
                <w:sz w:val="24"/>
              </w:rPr>
              <w:t>4,462,259.64</w:t>
            </w:r>
          </w:p>
        </w:tc>
        <w:tc>
          <w:tcPr>
            <w:tcW w:w="1135" w:type="dxa"/>
            <w:vAlign w:val="center"/>
          </w:tcPr>
          <w:p w:rsidR="000228BC" w:rsidRDefault="002B6E42">
            <w:pPr>
              <w:jc w:val="center"/>
            </w:pPr>
            <w:r>
              <w:rPr>
                <w:sz w:val="24"/>
              </w:rPr>
              <w:t>3.44%</w:t>
            </w:r>
          </w:p>
        </w:tc>
        <w:tc>
          <w:tcPr>
            <w:tcW w:w="1272" w:type="dxa"/>
            <w:vAlign w:val="center"/>
          </w:tcPr>
          <w:p w:rsidR="000228BC" w:rsidRDefault="002B6E42">
            <w:pPr>
              <w:jc w:val="center"/>
            </w:pPr>
            <w:r>
              <w:rPr>
                <w:sz w:val="24"/>
              </w:rPr>
              <w:t>否</w:t>
            </w:r>
          </w:p>
        </w:tc>
      </w:tr>
      <w:tr w:rsidR="000228BC">
        <w:tc>
          <w:tcPr>
            <w:tcW w:w="817" w:type="dxa"/>
            <w:vAlign w:val="center"/>
          </w:tcPr>
          <w:p w:rsidR="000228BC" w:rsidRDefault="002B6E42">
            <w:pPr>
              <w:jc w:val="center"/>
            </w:pPr>
            <w:r>
              <w:rPr>
                <w:sz w:val="24"/>
              </w:rPr>
              <w:t>6</w:t>
            </w:r>
          </w:p>
        </w:tc>
        <w:tc>
          <w:tcPr>
            <w:tcW w:w="1133" w:type="dxa"/>
            <w:vAlign w:val="center"/>
          </w:tcPr>
          <w:p w:rsidR="000228BC" w:rsidRDefault="002B6E42">
            <w:pPr>
              <w:jc w:val="center"/>
            </w:pPr>
            <w:r>
              <w:rPr>
                <w:sz w:val="24"/>
              </w:rPr>
              <w:t>372010</w:t>
            </w:r>
          </w:p>
        </w:tc>
        <w:tc>
          <w:tcPr>
            <w:tcW w:w="1135" w:type="dxa"/>
            <w:vAlign w:val="center"/>
          </w:tcPr>
          <w:p w:rsidR="000228BC" w:rsidRDefault="002B6E42">
            <w:pPr>
              <w:jc w:val="center"/>
            </w:pPr>
            <w:r>
              <w:rPr>
                <w:sz w:val="24"/>
              </w:rPr>
              <w:t>摩根强化回报债券</w:t>
            </w:r>
            <w:r>
              <w:rPr>
                <w:sz w:val="24"/>
              </w:rPr>
              <w:t>A</w:t>
            </w:r>
          </w:p>
        </w:tc>
        <w:tc>
          <w:tcPr>
            <w:tcW w:w="1135" w:type="dxa"/>
            <w:vAlign w:val="center"/>
          </w:tcPr>
          <w:p w:rsidR="000228BC" w:rsidRDefault="002B6E42">
            <w:pPr>
              <w:jc w:val="center"/>
            </w:pPr>
            <w:r>
              <w:rPr>
                <w:sz w:val="24"/>
              </w:rPr>
              <w:t>契约型开放式</w:t>
            </w:r>
          </w:p>
        </w:tc>
        <w:tc>
          <w:tcPr>
            <w:tcW w:w="1133" w:type="dxa"/>
            <w:vAlign w:val="center"/>
          </w:tcPr>
          <w:p w:rsidR="000228BC" w:rsidRDefault="002B6E42">
            <w:pPr>
              <w:jc w:val="center"/>
            </w:pPr>
            <w:r>
              <w:rPr>
                <w:sz w:val="24"/>
              </w:rPr>
              <w:t>2,418,291.67</w:t>
            </w:r>
          </w:p>
        </w:tc>
        <w:tc>
          <w:tcPr>
            <w:tcW w:w="1276" w:type="dxa"/>
            <w:vAlign w:val="center"/>
          </w:tcPr>
          <w:p w:rsidR="000228BC" w:rsidRDefault="002B6E42">
            <w:pPr>
              <w:jc w:val="center"/>
            </w:pPr>
            <w:r>
              <w:rPr>
                <w:sz w:val="24"/>
              </w:rPr>
              <w:t>3,780,999.03</w:t>
            </w:r>
          </w:p>
        </w:tc>
        <w:tc>
          <w:tcPr>
            <w:tcW w:w="1135" w:type="dxa"/>
            <w:vAlign w:val="center"/>
          </w:tcPr>
          <w:p w:rsidR="000228BC" w:rsidRDefault="002B6E42">
            <w:pPr>
              <w:jc w:val="center"/>
            </w:pPr>
            <w:r>
              <w:rPr>
                <w:sz w:val="24"/>
              </w:rPr>
              <w:t>2.91%</w:t>
            </w:r>
          </w:p>
        </w:tc>
        <w:tc>
          <w:tcPr>
            <w:tcW w:w="1272" w:type="dxa"/>
            <w:vAlign w:val="center"/>
          </w:tcPr>
          <w:p w:rsidR="000228BC" w:rsidRDefault="002B6E42">
            <w:pPr>
              <w:jc w:val="center"/>
            </w:pPr>
            <w:r>
              <w:rPr>
                <w:sz w:val="24"/>
              </w:rPr>
              <w:t>是</w:t>
            </w:r>
          </w:p>
        </w:tc>
      </w:tr>
      <w:tr w:rsidR="000228BC">
        <w:tc>
          <w:tcPr>
            <w:tcW w:w="817" w:type="dxa"/>
            <w:vAlign w:val="center"/>
          </w:tcPr>
          <w:p w:rsidR="000228BC" w:rsidRDefault="002B6E42">
            <w:pPr>
              <w:jc w:val="center"/>
            </w:pPr>
            <w:r>
              <w:rPr>
                <w:sz w:val="24"/>
              </w:rPr>
              <w:t>7</w:t>
            </w:r>
          </w:p>
        </w:tc>
        <w:tc>
          <w:tcPr>
            <w:tcW w:w="1133" w:type="dxa"/>
            <w:vAlign w:val="center"/>
          </w:tcPr>
          <w:p w:rsidR="000228BC" w:rsidRDefault="002B6E42">
            <w:pPr>
              <w:jc w:val="center"/>
            </w:pPr>
            <w:r>
              <w:rPr>
                <w:sz w:val="24"/>
              </w:rPr>
              <w:t>006551</w:t>
            </w:r>
          </w:p>
        </w:tc>
        <w:tc>
          <w:tcPr>
            <w:tcW w:w="1135" w:type="dxa"/>
            <w:vAlign w:val="center"/>
          </w:tcPr>
          <w:p w:rsidR="000228BC" w:rsidRDefault="002B6E42">
            <w:pPr>
              <w:jc w:val="center"/>
            </w:pPr>
            <w:r>
              <w:rPr>
                <w:sz w:val="24"/>
              </w:rPr>
              <w:t>中庚价值领航混合</w:t>
            </w:r>
          </w:p>
        </w:tc>
        <w:tc>
          <w:tcPr>
            <w:tcW w:w="1135" w:type="dxa"/>
            <w:vAlign w:val="center"/>
          </w:tcPr>
          <w:p w:rsidR="000228BC" w:rsidRDefault="002B6E42">
            <w:pPr>
              <w:jc w:val="center"/>
            </w:pPr>
            <w:r>
              <w:rPr>
                <w:sz w:val="24"/>
              </w:rPr>
              <w:t>契约型开放式</w:t>
            </w:r>
          </w:p>
        </w:tc>
        <w:tc>
          <w:tcPr>
            <w:tcW w:w="1133" w:type="dxa"/>
            <w:vAlign w:val="center"/>
          </w:tcPr>
          <w:p w:rsidR="000228BC" w:rsidRDefault="002B6E42">
            <w:pPr>
              <w:jc w:val="center"/>
            </w:pPr>
            <w:r>
              <w:rPr>
                <w:sz w:val="24"/>
              </w:rPr>
              <w:t>1,643,868.58</w:t>
            </w:r>
          </w:p>
        </w:tc>
        <w:tc>
          <w:tcPr>
            <w:tcW w:w="1276" w:type="dxa"/>
            <w:vAlign w:val="center"/>
          </w:tcPr>
          <w:p w:rsidR="000228BC" w:rsidRDefault="002B6E42">
            <w:pPr>
              <w:jc w:val="center"/>
            </w:pPr>
            <w:r>
              <w:rPr>
                <w:sz w:val="24"/>
              </w:rPr>
              <w:t>3,690,484.96</w:t>
            </w:r>
          </w:p>
        </w:tc>
        <w:tc>
          <w:tcPr>
            <w:tcW w:w="1135" w:type="dxa"/>
            <w:vAlign w:val="center"/>
          </w:tcPr>
          <w:p w:rsidR="000228BC" w:rsidRDefault="002B6E42">
            <w:pPr>
              <w:jc w:val="center"/>
            </w:pPr>
            <w:r>
              <w:rPr>
                <w:sz w:val="24"/>
              </w:rPr>
              <w:t>2.85%</w:t>
            </w:r>
          </w:p>
        </w:tc>
        <w:tc>
          <w:tcPr>
            <w:tcW w:w="1272" w:type="dxa"/>
            <w:vAlign w:val="center"/>
          </w:tcPr>
          <w:p w:rsidR="000228BC" w:rsidRDefault="002B6E42">
            <w:pPr>
              <w:jc w:val="center"/>
            </w:pPr>
            <w:r>
              <w:rPr>
                <w:sz w:val="24"/>
              </w:rPr>
              <w:t>否</w:t>
            </w:r>
          </w:p>
        </w:tc>
      </w:tr>
      <w:tr w:rsidR="000228BC">
        <w:tc>
          <w:tcPr>
            <w:tcW w:w="817" w:type="dxa"/>
            <w:vAlign w:val="center"/>
          </w:tcPr>
          <w:p w:rsidR="000228BC" w:rsidRDefault="002B6E42">
            <w:pPr>
              <w:jc w:val="center"/>
            </w:pPr>
            <w:r>
              <w:rPr>
                <w:sz w:val="24"/>
              </w:rPr>
              <w:t>8</w:t>
            </w:r>
          </w:p>
        </w:tc>
        <w:tc>
          <w:tcPr>
            <w:tcW w:w="1133" w:type="dxa"/>
            <w:vAlign w:val="center"/>
          </w:tcPr>
          <w:p w:rsidR="000228BC" w:rsidRDefault="002B6E42">
            <w:pPr>
              <w:jc w:val="center"/>
            </w:pPr>
            <w:r>
              <w:rPr>
                <w:sz w:val="24"/>
              </w:rPr>
              <w:t>100018</w:t>
            </w:r>
          </w:p>
        </w:tc>
        <w:tc>
          <w:tcPr>
            <w:tcW w:w="1135" w:type="dxa"/>
            <w:vAlign w:val="center"/>
          </w:tcPr>
          <w:p w:rsidR="000228BC" w:rsidRDefault="002B6E42">
            <w:pPr>
              <w:jc w:val="center"/>
            </w:pPr>
            <w:r>
              <w:rPr>
                <w:sz w:val="24"/>
              </w:rPr>
              <w:t>富国天利增长债券</w:t>
            </w:r>
            <w:r>
              <w:rPr>
                <w:sz w:val="24"/>
              </w:rPr>
              <w:t>A</w:t>
            </w:r>
          </w:p>
        </w:tc>
        <w:tc>
          <w:tcPr>
            <w:tcW w:w="1135" w:type="dxa"/>
            <w:vAlign w:val="center"/>
          </w:tcPr>
          <w:p w:rsidR="000228BC" w:rsidRDefault="002B6E42">
            <w:pPr>
              <w:jc w:val="center"/>
            </w:pPr>
            <w:r>
              <w:rPr>
                <w:sz w:val="24"/>
              </w:rPr>
              <w:t>契约型开放式</w:t>
            </w:r>
          </w:p>
        </w:tc>
        <w:tc>
          <w:tcPr>
            <w:tcW w:w="1133" w:type="dxa"/>
            <w:vAlign w:val="center"/>
          </w:tcPr>
          <w:p w:rsidR="000228BC" w:rsidRDefault="002B6E42">
            <w:pPr>
              <w:jc w:val="center"/>
            </w:pPr>
            <w:r>
              <w:rPr>
                <w:sz w:val="24"/>
              </w:rPr>
              <w:t>2,636,385.85</w:t>
            </w:r>
          </w:p>
        </w:tc>
        <w:tc>
          <w:tcPr>
            <w:tcW w:w="1276" w:type="dxa"/>
            <w:vAlign w:val="center"/>
          </w:tcPr>
          <w:p w:rsidR="000228BC" w:rsidRDefault="002B6E42">
            <w:pPr>
              <w:jc w:val="center"/>
            </w:pPr>
            <w:r>
              <w:rPr>
                <w:sz w:val="24"/>
              </w:rPr>
              <w:t>3,530,120.65</w:t>
            </w:r>
          </w:p>
        </w:tc>
        <w:tc>
          <w:tcPr>
            <w:tcW w:w="1135" w:type="dxa"/>
            <w:vAlign w:val="center"/>
          </w:tcPr>
          <w:p w:rsidR="000228BC" w:rsidRDefault="002B6E42">
            <w:pPr>
              <w:jc w:val="center"/>
            </w:pPr>
            <w:r>
              <w:rPr>
                <w:sz w:val="24"/>
              </w:rPr>
              <w:t>2.72%</w:t>
            </w:r>
          </w:p>
        </w:tc>
        <w:tc>
          <w:tcPr>
            <w:tcW w:w="1272" w:type="dxa"/>
            <w:vAlign w:val="center"/>
          </w:tcPr>
          <w:p w:rsidR="000228BC" w:rsidRDefault="002B6E42">
            <w:pPr>
              <w:jc w:val="center"/>
            </w:pPr>
            <w:r>
              <w:rPr>
                <w:sz w:val="24"/>
              </w:rPr>
              <w:t>否</w:t>
            </w:r>
          </w:p>
        </w:tc>
      </w:tr>
      <w:tr w:rsidR="000228BC">
        <w:tc>
          <w:tcPr>
            <w:tcW w:w="817" w:type="dxa"/>
            <w:vAlign w:val="center"/>
          </w:tcPr>
          <w:p w:rsidR="000228BC" w:rsidRDefault="002B6E42">
            <w:pPr>
              <w:jc w:val="center"/>
            </w:pPr>
            <w:r>
              <w:rPr>
                <w:sz w:val="24"/>
              </w:rPr>
              <w:t>9</w:t>
            </w:r>
          </w:p>
        </w:tc>
        <w:tc>
          <w:tcPr>
            <w:tcW w:w="1133" w:type="dxa"/>
            <w:vAlign w:val="center"/>
          </w:tcPr>
          <w:p w:rsidR="000228BC" w:rsidRDefault="002B6E42">
            <w:pPr>
              <w:jc w:val="center"/>
            </w:pPr>
            <w:r>
              <w:rPr>
                <w:sz w:val="24"/>
              </w:rPr>
              <w:t>519782</w:t>
            </w:r>
          </w:p>
        </w:tc>
        <w:tc>
          <w:tcPr>
            <w:tcW w:w="1135" w:type="dxa"/>
            <w:vAlign w:val="center"/>
          </w:tcPr>
          <w:p w:rsidR="000228BC" w:rsidRDefault="002B6E42">
            <w:pPr>
              <w:jc w:val="center"/>
            </w:pPr>
            <w:r>
              <w:rPr>
                <w:sz w:val="24"/>
              </w:rPr>
              <w:t>交银裕隆纯债债券</w:t>
            </w:r>
            <w:r>
              <w:rPr>
                <w:sz w:val="24"/>
              </w:rPr>
              <w:t>A</w:t>
            </w:r>
          </w:p>
        </w:tc>
        <w:tc>
          <w:tcPr>
            <w:tcW w:w="1135" w:type="dxa"/>
            <w:vAlign w:val="center"/>
          </w:tcPr>
          <w:p w:rsidR="000228BC" w:rsidRDefault="002B6E42">
            <w:pPr>
              <w:jc w:val="center"/>
            </w:pPr>
            <w:r>
              <w:rPr>
                <w:sz w:val="24"/>
              </w:rPr>
              <w:t>契约型开放式</w:t>
            </w:r>
          </w:p>
        </w:tc>
        <w:tc>
          <w:tcPr>
            <w:tcW w:w="1133" w:type="dxa"/>
            <w:vAlign w:val="center"/>
          </w:tcPr>
          <w:p w:rsidR="000228BC" w:rsidRDefault="002B6E42">
            <w:pPr>
              <w:jc w:val="center"/>
            </w:pPr>
            <w:r>
              <w:rPr>
                <w:sz w:val="24"/>
              </w:rPr>
              <w:t>2,662,222.33</w:t>
            </w:r>
          </w:p>
        </w:tc>
        <w:tc>
          <w:tcPr>
            <w:tcW w:w="1276" w:type="dxa"/>
            <w:vAlign w:val="center"/>
          </w:tcPr>
          <w:p w:rsidR="000228BC" w:rsidRDefault="002B6E42">
            <w:pPr>
              <w:jc w:val="center"/>
            </w:pPr>
            <w:r>
              <w:rPr>
                <w:sz w:val="24"/>
              </w:rPr>
              <w:t>3,489,641.03</w:t>
            </w:r>
          </w:p>
        </w:tc>
        <w:tc>
          <w:tcPr>
            <w:tcW w:w="1135" w:type="dxa"/>
            <w:vAlign w:val="center"/>
          </w:tcPr>
          <w:p w:rsidR="000228BC" w:rsidRDefault="002B6E42">
            <w:pPr>
              <w:jc w:val="center"/>
            </w:pPr>
            <w:r>
              <w:rPr>
                <w:sz w:val="24"/>
              </w:rPr>
              <w:t>2.69%</w:t>
            </w:r>
          </w:p>
        </w:tc>
        <w:tc>
          <w:tcPr>
            <w:tcW w:w="1272" w:type="dxa"/>
            <w:vAlign w:val="center"/>
          </w:tcPr>
          <w:p w:rsidR="000228BC" w:rsidRDefault="002B6E42">
            <w:pPr>
              <w:jc w:val="center"/>
            </w:pPr>
            <w:r>
              <w:rPr>
                <w:sz w:val="24"/>
              </w:rPr>
              <w:t>否</w:t>
            </w:r>
          </w:p>
        </w:tc>
      </w:tr>
      <w:tr w:rsidR="000228BC">
        <w:tc>
          <w:tcPr>
            <w:tcW w:w="817" w:type="dxa"/>
            <w:vAlign w:val="center"/>
          </w:tcPr>
          <w:p w:rsidR="000228BC" w:rsidRDefault="002B6E42">
            <w:pPr>
              <w:jc w:val="center"/>
            </w:pPr>
            <w:r>
              <w:rPr>
                <w:sz w:val="24"/>
              </w:rPr>
              <w:t>10</w:t>
            </w:r>
          </w:p>
        </w:tc>
        <w:tc>
          <w:tcPr>
            <w:tcW w:w="1133" w:type="dxa"/>
            <w:vAlign w:val="center"/>
          </w:tcPr>
          <w:p w:rsidR="000228BC" w:rsidRDefault="002B6E42">
            <w:pPr>
              <w:jc w:val="center"/>
            </w:pPr>
            <w:r>
              <w:rPr>
                <w:sz w:val="24"/>
              </w:rPr>
              <w:t>377240</w:t>
            </w:r>
          </w:p>
        </w:tc>
        <w:tc>
          <w:tcPr>
            <w:tcW w:w="1135" w:type="dxa"/>
            <w:vAlign w:val="center"/>
          </w:tcPr>
          <w:p w:rsidR="000228BC" w:rsidRDefault="002B6E42">
            <w:pPr>
              <w:jc w:val="center"/>
            </w:pPr>
            <w:r>
              <w:rPr>
                <w:sz w:val="24"/>
              </w:rPr>
              <w:t>摩根新兴动力混合</w:t>
            </w:r>
            <w:r>
              <w:rPr>
                <w:sz w:val="24"/>
              </w:rPr>
              <w:t>A</w:t>
            </w:r>
          </w:p>
        </w:tc>
        <w:tc>
          <w:tcPr>
            <w:tcW w:w="1135" w:type="dxa"/>
            <w:vAlign w:val="center"/>
          </w:tcPr>
          <w:p w:rsidR="000228BC" w:rsidRDefault="002B6E42">
            <w:pPr>
              <w:jc w:val="center"/>
            </w:pPr>
            <w:r>
              <w:rPr>
                <w:sz w:val="24"/>
              </w:rPr>
              <w:t>契约型开放式</w:t>
            </w:r>
          </w:p>
        </w:tc>
        <w:tc>
          <w:tcPr>
            <w:tcW w:w="1133" w:type="dxa"/>
            <w:vAlign w:val="center"/>
          </w:tcPr>
          <w:p w:rsidR="000228BC" w:rsidRDefault="002B6E42">
            <w:pPr>
              <w:jc w:val="center"/>
            </w:pPr>
            <w:r>
              <w:rPr>
                <w:sz w:val="24"/>
              </w:rPr>
              <w:t>603,580.48</w:t>
            </w:r>
          </w:p>
        </w:tc>
        <w:tc>
          <w:tcPr>
            <w:tcW w:w="1276" w:type="dxa"/>
            <w:vAlign w:val="center"/>
          </w:tcPr>
          <w:p w:rsidR="000228BC" w:rsidRDefault="002B6E42">
            <w:pPr>
              <w:jc w:val="center"/>
            </w:pPr>
            <w:r>
              <w:rPr>
                <w:sz w:val="24"/>
              </w:rPr>
              <w:t>3,439,563.72</w:t>
            </w:r>
          </w:p>
        </w:tc>
        <w:tc>
          <w:tcPr>
            <w:tcW w:w="1135" w:type="dxa"/>
            <w:vAlign w:val="center"/>
          </w:tcPr>
          <w:p w:rsidR="000228BC" w:rsidRDefault="002B6E42">
            <w:pPr>
              <w:jc w:val="center"/>
            </w:pPr>
            <w:r>
              <w:rPr>
                <w:sz w:val="24"/>
              </w:rPr>
              <w:t>2.65%</w:t>
            </w:r>
          </w:p>
        </w:tc>
        <w:tc>
          <w:tcPr>
            <w:tcW w:w="1272" w:type="dxa"/>
            <w:vAlign w:val="center"/>
          </w:tcPr>
          <w:p w:rsidR="000228BC" w:rsidRDefault="002B6E42">
            <w:pPr>
              <w:jc w:val="center"/>
            </w:pPr>
            <w:r>
              <w:rPr>
                <w:sz w:val="24"/>
              </w:rPr>
              <w:t>是</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3,848.22</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19,882.01</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1,233.80</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10.01</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lastRenderedPageBreak/>
              <w:t>当期持有基金产生的应支付管理费（元）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285,127.09</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16,458.01</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51,455.31</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3,064.52</w:t>
            </w:r>
          </w:p>
        </w:tc>
      </w:tr>
      <w:tr w:rsidR="000228BC">
        <w:tc>
          <w:tcPr>
            <w:tcW w:w="3012" w:type="dxa"/>
            <w:vAlign w:val="center"/>
          </w:tcPr>
          <w:p w:rsidR="000228BC" w:rsidRDefault="002B6E42">
            <w:pPr>
              <w:jc w:val="left"/>
            </w:pPr>
            <w:r>
              <w:rPr>
                <w:rFonts w:eastAsiaTheme="minorEastAsia"/>
                <w:color w:val="000000" w:themeColor="text1"/>
                <w:sz w:val="24"/>
              </w:rPr>
              <w:t>当期交易基金产生的交易费（元）</w:t>
            </w:r>
          </w:p>
        </w:tc>
        <w:tc>
          <w:tcPr>
            <w:tcW w:w="3012" w:type="dxa"/>
            <w:vAlign w:val="center"/>
          </w:tcPr>
          <w:p w:rsidR="000228BC" w:rsidRDefault="002B6E42">
            <w:pPr>
              <w:jc w:val="right"/>
            </w:pPr>
            <w:r>
              <w:rPr>
                <w:rFonts w:eastAsiaTheme="minorEastAsia"/>
                <w:color w:val="000000" w:themeColor="text1"/>
                <w:sz w:val="24"/>
              </w:rPr>
              <w:t>11,441.56</w:t>
            </w:r>
          </w:p>
        </w:tc>
        <w:tc>
          <w:tcPr>
            <w:tcW w:w="3012" w:type="dxa"/>
            <w:vAlign w:val="center"/>
          </w:tcPr>
          <w:p w:rsidR="000228BC" w:rsidRDefault="002B6E42">
            <w:pPr>
              <w:jc w:val="right"/>
            </w:pPr>
            <w:r>
              <w:rPr>
                <w:rFonts w:eastAsiaTheme="minorEastAsia"/>
                <w:color w:val="000000" w:themeColor="text1"/>
                <w:sz w:val="24"/>
              </w:rPr>
              <w:t>-</w:t>
            </w:r>
          </w:p>
        </w:tc>
      </w:tr>
      <w:tr w:rsidR="000228BC">
        <w:tc>
          <w:tcPr>
            <w:tcW w:w="3012" w:type="dxa"/>
            <w:vAlign w:val="center"/>
          </w:tcPr>
          <w:p w:rsidR="000228BC" w:rsidRDefault="002B6E42">
            <w:pPr>
              <w:jc w:val="left"/>
            </w:pPr>
            <w:r>
              <w:rPr>
                <w:rFonts w:eastAsiaTheme="minorEastAsia"/>
                <w:color w:val="000000" w:themeColor="text1"/>
                <w:sz w:val="24"/>
              </w:rPr>
              <w:t>当期交易基金产生的转换费（元）</w:t>
            </w:r>
          </w:p>
        </w:tc>
        <w:tc>
          <w:tcPr>
            <w:tcW w:w="3012" w:type="dxa"/>
            <w:vAlign w:val="center"/>
          </w:tcPr>
          <w:p w:rsidR="000228BC" w:rsidRDefault="002B6E42">
            <w:pPr>
              <w:jc w:val="right"/>
            </w:pPr>
            <w:r>
              <w:rPr>
                <w:rFonts w:eastAsiaTheme="minorEastAsia"/>
                <w:color w:val="000000" w:themeColor="text1"/>
                <w:sz w:val="24"/>
              </w:rPr>
              <w:t>65,760.45</w:t>
            </w:r>
          </w:p>
        </w:tc>
        <w:tc>
          <w:tcPr>
            <w:tcW w:w="3012" w:type="dxa"/>
            <w:vAlign w:val="center"/>
          </w:tcPr>
          <w:p w:rsidR="000228BC" w:rsidRDefault="002B6E42">
            <w:pPr>
              <w:jc w:val="right"/>
            </w:pPr>
            <w:r>
              <w:rPr>
                <w:rFonts w:eastAsiaTheme="minorEastAsia"/>
                <w:color w:val="000000" w:themeColor="text1"/>
                <w:sz w:val="24"/>
              </w:rPr>
              <w:t>-</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摩根锦程均衡养老三年持有混合</w:t>
            </w:r>
            <w:r w:rsidRPr="00B27A29">
              <w:rPr>
                <w:rFonts w:eastAsiaTheme="minorEastAsia"/>
                <w:color w:val="000000" w:themeColor="text1"/>
                <w:szCs w:val="21"/>
              </w:rPr>
              <w:t>(FOF)Y</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91,286,460.41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26,610,203.13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357,551.55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5,615,180.52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13,179,652.97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78,464,358.99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32,225,383.65</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（二）摩根锦程均衡养老目标三年持有期混合型基金中基金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基金合同</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托管协议</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0228BC" w:rsidRDefault="002B6E42">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3C" w:rsidRDefault="00BA623C">
      <w:r>
        <w:separator/>
      </w:r>
    </w:p>
  </w:endnote>
  <w:endnote w:type="continuationSeparator" w:id="0">
    <w:p w:rsidR="00BA623C" w:rsidRDefault="00BA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F584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F5844">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F584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3C" w:rsidRDefault="00BA623C">
      <w:r>
        <w:separator/>
      </w:r>
    </w:p>
  </w:footnote>
  <w:footnote w:type="continuationSeparator" w:id="0">
    <w:p w:rsidR="00BA623C" w:rsidRDefault="00BA6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摩根锦程均衡养老目标三年持有期混合型基金中基金</w:t>
    </w:r>
    <w:r>
      <w:t>(FOF)2023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28BC"/>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B6E42"/>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5F5844"/>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0FC914-8DCB-444C-B9AB-32DCB6E5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26</TotalTime>
  <Pages>15</Pages>
  <Words>1280</Words>
  <Characters>7296</Characters>
  <Application>Microsoft Office Word</Application>
  <DocSecurity>0</DocSecurity>
  <Lines>60</Lines>
  <Paragraphs>17</Paragraphs>
  <ScaleCrop>false</ScaleCrop>
  <Company>TRT. Ltd. Co.</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224</cp:revision>
  <cp:lastPrinted>2007-07-19T00:46:00Z</cp:lastPrinted>
  <dcterms:created xsi:type="dcterms:W3CDTF">2013-06-21T06:56:00Z</dcterms:created>
  <dcterms:modified xsi:type="dcterms:W3CDTF">2023-07-20T06:28:00Z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