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摩根锦程均衡养老目标三年持有期混合型基金中基金</w:t>
      </w:r>
      <w:r w:rsidRPr="00B27A29">
        <w:rPr>
          <w:rFonts w:eastAsiaTheme="minorEastAsia"/>
          <w:b/>
          <w:color w:val="000000" w:themeColor="text1"/>
          <w:sz w:val="36"/>
          <w:szCs w:val="36"/>
        </w:rPr>
        <w:t>(FOF)</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4E27AE" w:rsidRDefault="00360B1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4E27AE" w:rsidRDefault="00360B1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4E27AE" w:rsidRDefault="00360B1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4E27AE" w:rsidRDefault="00360B1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4E27AE" w:rsidRDefault="00360B1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摩根锦程均衡养老三年持有混合</w:t>
            </w:r>
            <w:r w:rsidRPr="00B27A29">
              <w:rPr>
                <w:rFonts w:eastAsiaTheme="minorEastAsia"/>
                <w:color w:val="000000" w:themeColor="text1"/>
                <w:kern w:val="0"/>
                <w:szCs w:val="21"/>
              </w:rPr>
              <w:t>(FOF)</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007221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2019</w:t>
            </w:r>
            <w:r w:rsidRPr="00B27A29">
              <w:rPr>
                <w:rFonts w:eastAsiaTheme="minorEastAsia"/>
                <w:color w:val="000000" w:themeColor="text1"/>
                <w:kern w:val="0"/>
                <w:szCs w:val="21"/>
              </w:rPr>
              <w:t>年</w:t>
            </w:r>
            <w:r w:rsidRPr="00B27A29">
              <w:rPr>
                <w:rFonts w:eastAsiaTheme="minorEastAsia"/>
                <w:color w:val="000000" w:themeColor="text1"/>
                <w:kern w:val="0"/>
                <w:szCs w:val="21"/>
              </w:rPr>
              <w:t>9</w:t>
            </w:r>
            <w:r w:rsidRPr="00B27A29">
              <w:rPr>
                <w:rFonts w:eastAsiaTheme="minorEastAsia"/>
                <w:color w:val="000000" w:themeColor="text1"/>
                <w:kern w:val="0"/>
                <w:szCs w:val="21"/>
              </w:rPr>
              <w:t>月</w:t>
            </w:r>
            <w:r w:rsidRPr="00B27A29">
              <w:rPr>
                <w:rFonts w:eastAsiaTheme="minorEastAsia"/>
                <w:color w:val="000000" w:themeColor="text1"/>
                <w:kern w:val="0"/>
                <w:szCs w:val="21"/>
              </w:rPr>
              <w:t>2</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108,424,334.85</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本基金通过将资产分别配置于高风险类资产和其他资产，控制投资组合的风险收益水平，并自下而上精选基金，力求实现基金资产持续稳健增值，为投资者提供适应其风险承受水平的养老理财工具。</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4E27AE" w:rsidRDefault="00360B1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、目标风险投资策略：</w:t>
            </w:r>
          </w:p>
          <w:p w:rsidR="004E27AE" w:rsidRDefault="00360B1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）大类资产配置策略：本基金的目标风险指通过将基金所投资的高风险类资产和其他资产长期保持在相对恒定的比例，以达到目标的风险水平。</w:t>
            </w:r>
          </w:p>
          <w:p w:rsidR="004E27AE" w:rsidRDefault="00360B1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管理人根据对各类资产的中长期预期假设和策略观点以</w:t>
            </w:r>
            <w:r>
              <w:rPr>
                <w:rFonts w:eastAsiaTheme="minorEastAsia"/>
                <w:color w:val="000000" w:themeColor="text1"/>
                <w:kern w:val="0"/>
                <w:szCs w:val="21"/>
              </w:rPr>
              <w:lastRenderedPageBreak/>
              <w:t>及目标客户的风险收益偏好进行自上而下的资产配置，设定本基金在高风险类资产和其他资产之间的基准配置比例为</w:t>
            </w:r>
            <w:r>
              <w:rPr>
                <w:rFonts w:eastAsiaTheme="minorEastAsia"/>
                <w:color w:val="000000" w:themeColor="text1"/>
                <w:kern w:val="0"/>
                <w:szCs w:val="21"/>
              </w:rPr>
              <w:t>50%:50%</w:t>
            </w:r>
            <w:r>
              <w:rPr>
                <w:rFonts w:eastAsiaTheme="minorEastAsia"/>
                <w:color w:val="000000" w:themeColor="text1"/>
                <w:kern w:val="0"/>
                <w:szCs w:val="21"/>
              </w:rPr>
              <w:t>；高风险类资产指股票型基金、应计入高风险类资产的混合型基金、商品基金（含商品期货基金和黄金</w:t>
            </w:r>
            <w:r>
              <w:rPr>
                <w:rFonts w:eastAsiaTheme="minorEastAsia"/>
                <w:color w:val="000000" w:themeColor="text1"/>
                <w:kern w:val="0"/>
                <w:szCs w:val="21"/>
              </w:rPr>
              <w:t>ETF</w:t>
            </w:r>
            <w:r>
              <w:rPr>
                <w:rFonts w:eastAsiaTheme="minorEastAsia"/>
                <w:color w:val="000000" w:themeColor="text1"/>
                <w:kern w:val="0"/>
                <w:szCs w:val="21"/>
              </w:rPr>
              <w:t>）等品种（均包含</w:t>
            </w:r>
            <w:r>
              <w:rPr>
                <w:rFonts w:eastAsiaTheme="minorEastAsia"/>
                <w:color w:val="000000" w:themeColor="text1"/>
                <w:kern w:val="0"/>
                <w:szCs w:val="21"/>
              </w:rPr>
              <w:t>QDII</w:t>
            </w:r>
            <w:r>
              <w:rPr>
                <w:rFonts w:eastAsiaTheme="minorEastAsia"/>
                <w:color w:val="000000" w:themeColor="text1"/>
                <w:kern w:val="0"/>
                <w:szCs w:val="21"/>
              </w:rPr>
              <w:t>）及股票；其他资产指债券型基金、货币市场基金和不计入高风险类资产的混合型基金（均包含</w:t>
            </w:r>
            <w:r>
              <w:rPr>
                <w:rFonts w:eastAsiaTheme="minorEastAsia"/>
                <w:color w:val="000000" w:themeColor="text1"/>
                <w:kern w:val="0"/>
                <w:szCs w:val="21"/>
              </w:rPr>
              <w:t>QDII</w:t>
            </w:r>
            <w:r>
              <w:rPr>
                <w:rFonts w:eastAsiaTheme="minorEastAsia"/>
                <w:color w:val="000000" w:themeColor="text1"/>
                <w:kern w:val="0"/>
                <w:szCs w:val="21"/>
              </w:rPr>
              <w:t>）、债券、资产支持证券、债券回购、银行存款及同业存单等；本基金高风险类资产的向上、向下调整幅度分别不超过</w:t>
            </w:r>
            <w:r>
              <w:rPr>
                <w:rFonts w:eastAsiaTheme="minorEastAsia"/>
                <w:color w:val="000000" w:themeColor="text1"/>
                <w:kern w:val="0"/>
                <w:szCs w:val="21"/>
              </w:rPr>
              <w:t>5%</w:t>
            </w:r>
            <w:r>
              <w:rPr>
                <w:rFonts w:eastAsiaTheme="minorEastAsia"/>
                <w:color w:val="000000" w:themeColor="text1"/>
                <w:kern w:val="0"/>
                <w:szCs w:val="21"/>
              </w:rPr>
              <w:t>、</w:t>
            </w:r>
            <w:r>
              <w:rPr>
                <w:rFonts w:eastAsiaTheme="minorEastAsia"/>
                <w:color w:val="000000" w:themeColor="text1"/>
                <w:kern w:val="0"/>
                <w:szCs w:val="21"/>
              </w:rPr>
              <w:t>10%</w:t>
            </w:r>
            <w:r>
              <w:rPr>
                <w:rFonts w:eastAsiaTheme="minorEastAsia"/>
                <w:color w:val="000000" w:themeColor="text1"/>
                <w:kern w:val="0"/>
                <w:szCs w:val="21"/>
              </w:rPr>
              <w:t>。</w:t>
            </w:r>
          </w:p>
          <w:p w:rsidR="004E27AE" w:rsidRDefault="00360B1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细分资产类别配置策略：管理人根据长期资本市场观点评估各细分资产类别的风险收益特征，形成对不同资产类别的预期。在此基础上，确定基金资产在各细分资产类别间的配置比例。本基金定期结合策略观点，修正资产配置。</w:t>
            </w:r>
          </w:p>
          <w:p w:rsidR="004E27AE" w:rsidRDefault="00360B1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、主动管理型基金投资策略：通过自下而上的方式优选基金，研究过程中综合运用定量分析和定性分析，优选符合要求且能在中长期创造超额收益的基金。</w:t>
            </w:r>
          </w:p>
          <w:p w:rsidR="004E27AE" w:rsidRDefault="00360B1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、指数基金投资策略：优选中长期景气向好的指数基金进行配置，增厚组合收益，并把握阶段性投资机会，获取超额收益。</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、其他投资策略：包括股票投资策略、债券投资策略、中小企业私募债投资策略、证券公司短期公司债投资策略、资产支持证券投资策略、存托凭证投资策略。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*50%+</w:t>
            </w:r>
            <w:r w:rsidRPr="00B27A29">
              <w:rPr>
                <w:rFonts w:eastAsiaTheme="minorEastAsia"/>
                <w:color w:val="000000" w:themeColor="text1"/>
                <w:kern w:val="0"/>
                <w:szCs w:val="21"/>
              </w:rPr>
              <w:t>中证综合债指数收益率</w:t>
            </w:r>
            <w:r w:rsidRPr="00B27A29">
              <w:rPr>
                <w:rFonts w:eastAsiaTheme="minorEastAsia"/>
                <w:color w:val="000000" w:themeColor="text1"/>
                <w:kern w:val="0"/>
                <w:szCs w:val="21"/>
              </w:rPr>
              <w:t>*45%+</w:t>
            </w:r>
            <w:r w:rsidRPr="00B27A29">
              <w:rPr>
                <w:rFonts w:eastAsiaTheme="minorEastAsia"/>
                <w:color w:val="000000" w:themeColor="text1"/>
                <w:kern w:val="0"/>
                <w:szCs w:val="21"/>
              </w:rPr>
              <w:t>活期存款利率（税后）</w:t>
            </w:r>
            <w:r w:rsidRPr="00B27A29">
              <w:rPr>
                <w:rFonts w:eastAsiaTheme="minorEastAsia"/>
                <w:color w:val="000000" w:themeColor="text1"/>
                <w:kern w:val="0"/>
                <w:szCs w:val="21"/>
              </w:rPr>
              <w:t>*5%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4E27AE" w:rsidRDefault="00360B1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基金管理人将养老目标风险基金根据不同风险程度进行划分。本基金的高风险类资产和其他资产的基准配置比例为</w:t>
            </w:r>
            <w:r>
              <w:rPr>
                <w:rFonts w:eastAsiaTheme="minorEastAsia"/>
                <w:color w:val="000000" w:themeColor="text1"/>
                <w:kern w:val="0"/>
                <w:szCs w:val="21"/>
              </w:rPr>
              <w:t>50%</w:t>
            </w:r>
            <w:r>
              <w:rPr>
                <w:rFonts w:eastAsiaTheme="minorEastAsia"/>
                <w:color w:val="000000" w:themeColor="text1"/>
                <w:kern w:val="0"/>
                <w:szCs w:val="21"/>
              </w:rPr>
              <w:t>：</w:t>
            </w:r>
            <w:r>
              <w:rPr>
                <w:rFonts w:eastAsiaTheme="minorEastAsia"/>
                <w:color w:val="000000" w:themeColor="text1"/>
                <w:kern w:val="0"/>
                <w:szCs w:val="21"/>
              </w:rPr>
              <w:t>50%</w:t>
            </w:r>
            <w:r>
              <w:rPr>
                <w:rFonts w:eastAsiaTheme="minorEastAsia"/>
                <w:color w:val="000000" w:themeColor="text1"/>
                <w:kern w:val="0"/>
                <w:szCs w:val="21"/>
              </w:rPr>
              <w:t>，属于基金管理人管理的养老目标风险基金中高风险和其他资产配置比例较为平衡的。</w:t>
            </w:r>
          </w:p>
          <w:p w:rsidR="004E27AE" w:rsidRDefault="00360B1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本基金属于混合型基金中基金，预期风险和收益水平低于股票型基金中基金，高于债券型基金中基金和货币型基金中基金。</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摩根锦程均衡养老三年持有混合</w:t>
            </w:r>
            <w:r w:rsidRPr="00B27A29">
              <w:rPr>
                <w:rFonts w:eastAsiaTheme="minorEastAsia"/>
                <w:color w:val="000000" w:themeColor="text1"/>
                <w:szCs w:val="21"/>
              </w:rPr>
              <w:t>(FOF)A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摩根锦程均衡养老三年持有混合</w:t>
            </w:r>
            <w:r w:rsidRPr="00B27A29">
              <w:rPr>
                <w:rFonts w:eastAsiaTheme="minorEastAsia"/>
                <w:color w:val="000000" w:themeColor="text1"/>
                <w:szCs w:val="21"/>
              </w:rPr>
              <w:t>(FOF)Y</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007221</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017342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66,977,295.77</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41,447,039.08</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摩根锦程均衡养老三年持有混合</w:t>
            </w:r>
            <w:r w:rsidRPr="00B27A29">
              <w:rPr>
                <w:rFonts w:eastAsiaTheme="minorEastAsia"/>
                <w:color w:val="000000" w:themeColor="text1"/>
                <w:szCs w:val="21"/>
              </w:rPr>
              <w:t>(FOF)A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摩根锦程均衡养老三年持有混合</w:t>
            </w:r>
            <w:r w:rsidRPr="00B27A29">
              <w:rPr>
                <w:rFonts w:eastAsiaTheme="minorEastAsia"/>
                <w:color w:val="000000" w:themeColor="text1"/>
                <w:szCs w:val="21"/>
              </w:rPr>
              <w:t>(FOF)Y</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-1,212,152.50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-682,750.76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-1,075,499.03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-390,947.14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-0.0157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-0.0098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72,475,739.40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45,075,061.86</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1.0821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1.0875</w:t>
            </w:r>
          </w:p>
        </w:tc>
      </w:tr>
    </w:tbl>
    <w:p w:rsidR="004E27AE" w:rsidRDefault="00360B1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摩根锦程均衡养老三年持有混合</w:t>
      </w:r>
      <w:r w:rsidRPr="00B27A29">
        <w:rPr>
          <w:rFonts w:eastAsiaTheme="minorEastAsia"/>
          <w:b/>
          <w:color w:val="000000" w:themeColor="text1"/>
          <w:kern w:val="0"/>
          <w:szCs w:val="21"/>
        </w:rPr>
        <w:t>(FOF)A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36809">
        <w:tc>
          <w:tcPr>
            <w:tcW w:w="1290" w:type="dxa"/>
            <w:vAlign w:val="center"/>
          </w:tcPr>
          <w:p w:rsidR="00636809" w:rsidRDefault="00636809" w:rsidP="00636809">
            <w:pPr>
              <w:jc w:val="left"/>
            </w:pPr>
            <w:r>
              <w:rPr>
                <w:rFonts w:eastAsiaTheme="minorEastAsia"/>
                <w:color w:val="000000" w:themeColor="text1"/>
                <w:szCs w:val="21"/>
              </w:rPr>
              <w:t>过去三个月</w:t>
            </w:r>
          </w:p>
        </w:tc>
        <w:tc>
          <w:tcPr>
            <w:tcW w:w="1291" w:type="dxa"/>
            <w:vAlign w:val="center"/>
          </w:tcPr>
          <w:p w:rsidR="00636809" w:rsidRDefault="00636809" w:rsidP="00636809">
            <w:pPr>
              <w:jc w:val="right"/>
            </w:pPr>
            <w:r>
              <w:rPr>
                <w:rFonts w:eastAsiaTheme="minorEastAsia"/>
                <w:color w:val="000000" w:themeColor="text1"/>
                <w:szCs w:val="21"/>
              </w:rPr>
              <w:t>-1.32%</w:t>
            </w:r>
          </w:p>
        </w:tc>
        <w:tc>
          <w:tcPr>
            <w:tcW w:w="1291" w:type="dxa"/>
            <w:vAlign w:val="center"/>
          </w:tcPr>
          <w:p w:rsidR="00636809" w:rsidRDefault="00636809" w:rsidP="00636809">
            <w:pPr>
              <w:jc w:val="right"/>
            </w:pPr>
            <w:r>
              <w:rPr>
                <w:rFonts w:eastAsiaTheme="minorEastAsia"/>
                <w:color w:val="000000" w:themeColor="text1"/>
                <w:szCs w:val="21"/>
              </w:rPr>
              <w:t>0.83%</w:t>
            </w:r>
          </w:p>
        </w:tc>
        <w:tc>
          <w:tcPr>
            <w:tcW w:w="1291" w:type="dxa"/>
            <w:vAlign w:val="center"/>
          </w:tcPr>
          <w:p w:rsidR="00636809" w:rsidRDefault="00636809" w:rsidP="00636809">
            <w:pPr>
              <w:jc w:val="right"/>
            </w:pPr>
            <w:r>
              <w:rPr>
                <w:rFonts w:eastAsiaTheme="minorEastAsia"/>
                <w:color w:val="000000" w:themeColor="text1"/>
                <w:szCs w:val="21"/>
              </w:rPr>
              <w:t>1.95%</w:t>
            </w:r>
          </w:p>
        </w:tc>
        <w:tc>
          <w:tcPr>
            <w:tcW w:w="1291" w:type="dxa"/>
            <w:vAlign w:val="center"/>
          </w:tcPr>
          <w:p w:rsidR="00636809" w:rsidRDefault="00636809" w:rsidP="00636809">
            <w:pPr>
              <w:jc w:val="right"/>
            </w:pPr>
            <w:r>
              <w:rPr>
                <w:rFonts w:eastAsiaTheme="minorEastAsia"/>
                <w:color w:val="000000" w:themeColor="text1"/>
                <w:szCs w:val="21"/>
              </w:rPr>
              <w:t>0.59%</w:t>
            </w:r>
          </w:p>
        </w:tc>
        <w:tc>
          <w:tcPr>
            <w:tcW w:w="1291" w:type="dxa"/>
            <w:vAlign w:val="center"/>
          </w:tcPr>
          <w:p w:rsidR="00636809" w:rsidRDefault="00636809" w:rsidP="00636809">
            <w:pPr>
              <w:jc w:val="right"/>
            </w:pPr>
            <w:r>
              <w:rPr>
                <w:rFonts w:eastAsiaTheme="minorEastAsia"/>
                <w:color w:val="000000" w:themeColor="text1"/>
                <w:szCs w:val="21"/>
              </w:rPr>
              <w:t>-3.27%</w:t>
            </w:r>
          </w:p>
        </w:tc>
        <w:tc>
          <w:tcPr>
            <w:tcW w:w="1291" w:type="dxa"/>
            <w:vAlign w:val="center"/>
          </w:tcPr>
          <w:p w:rsidR="00636809" w:rsidRDefault="00636809" w:rsidP="00636809">
            <w:pPr>
              <w:jc w:val="right"/>
            </w:pPr>
            <w:r>
              <w:rPr>
                <w:rFonts w:eastAsiaTheme="minorEastAsia"/>
                <w:color w:val="000000" w:themeColor="text1"/>
                <w:szCs w:val="21"/>
              </w:rPr>
              <w:t>0.24%</w:t>
            </w:r>
          </w:p>
        </w:tc>
      </w:tr>
      <w:tr w:rsidR="00636809">
        <w:tc>
          <w:tcPr>
            <w:tcW w:w="1290" w:type="dxa"/>
            <w:vAlign w:val="center"/>
          </w:tcPr>
          <w:p w:rsidR="00636809" w:rsidRDefault="00636809" w:rsidP="00636809">
            <w:pPr>
              <w:jc w:val="left"/>
            </w:pPr>
            <w:r>
              <w:rPr>
                <w:rFonts w:eastAsiaTheme="minorEastAsia"/>
                <w:color w:val="000000" w:themeColor="text1"/>
                <w:szCs w:val="21"/>
              </w:rPr>
              <w:t>过去六个月</w:t>
            </w:r>
          </w:p>
        </w:tc>
        <w:tc>
          <w:tcPr>
            <w:tcW w:w="1291" w:type="dxa"/>
            <w:vAlign w:val="center"/>
          </w:tcPr>
          <w:p w:rsidR="00636809" w:rsidRDefault="00636809" w:rsidP="00636809">
            <w:pPr>
              <w:jc w:val="right"/>
            </w:pPr>
            <w:r>
              <w:rPr>
                <w:rFonts w:eastAsiaTheme="minorEastAsia"/>
                <w:color w:val="000000" w:themeColor="text1"/>
                <w:szCs w:val="21"/>
              </w:rPr>
              <w:t>-4.04%</w:t>
            </w:r>
          </w:p>
        </w:tc>
        <w:tc>
          <w:tcPr>
            <w:tcW w:w="1291" w:type="dxa"/>
            <w:vAlign w:val="center"/>
          </w:tcPr>
          <w:p w:rsidR="00636809" w:rsidRDefault="00636809" w:rsidP="00636809">
            <w:pPr>
              <w:jc w:val="right"/>
            </w:pPr>
            <w:r>
              <w:rPr>
                <w:rFonts w:eastAsiaTheme="minorEastAsia"/>
                <w:color w:val="000000" w:themeColor="text1"/>
                <w:szCs w:val="21"/>
              </w:rPr>
              <w:t>0.68%</w:t>
            </w:r>
          </w:p>
        </w:tc>
        <w:tc>
          <w:tcPr>
            <w:tcW w:w="1291" w:type="dxa"/>
            <w:vAlign w:val="center"/>
          </w:tcPr>
          <w:p w:rsidR="00636809" w:rsidRDefault="00636809" w:rsidP="00636809">
            <w:pPr>
              <w:jc w:val="right"/>
            </w:pPr>
            <w:r>
              <w:rPr>
                <w:rFonts w:eastAsiaTheme="minorEastAsia"/>
                <w:color w:val="000000" w:themeColor="text1"/>
                <w:szCs w:val="21"/>
              </w:rPr>
              <w:t>-0.74%</w:t>
            </w:r>
          </w:p>
        </w:tc>
        <w:tc>
          <w:tcPr>
            <w:tcW w:w="1291" w:type="dxa"/>
            <w:vAlign w:val="center"/>
          </w:tcPr>
          <w:p w:rsidR="00636809" w:rsidRDefault="00636809" w:rsidP="00636809">
            <w:pPr>
              <w:jc w:val="right"/>
            </w:pPr>
            <w:r>
              <w:rPr>
                <w:rFonts w:eastAsiaTheme="minorEastAsia"/>
                <w:color w:val="000000" w:themeColor="text1"/>
                <w:szCs w:val="21"/>
              </w:rPr>
              <w:t>0.50%</w:t>
            </w:r>
          </w:p>
        </w:tc>
        <w:tc>
          <w:tcPr>
            <w:tcW w:w="1291" w:type="dxa"/>
            <w:vAlign w:val="center"/>
          </w:tcPr>
          <w:p w:rsidR="00636809" w:rsidRDefault="00636809" w:rsidP="00636809">
            <w:pPr>
              <w:jc w:val="right"/>
            </w:pPr>
            <w:r>
              <w:rPr>
                <w:rFonts w:eastAsiaTheme="minorEastAsia"/>
                <w:color w:val="000000" w:themeColor="text1"/>
                <w:szCs w:val="21"/>
              </w:rPr>
              <w:t>-3.30%</w:t>
            </w:r>
          </w:p>
        </w:tc>
        <w:tc>
          <w:tcPr>
            <w:tcW w:w="1291" w:type="dxa"/>
            <w:vAlign w:val="center"/>
          </w:tcPr>
          <w:p w:rsidR="00636809" w:rsidRDefault="00636809" w:rsidP="00636809">
            <w:pPr>
              <w:jc w:val="right"/>
            </w:pPr>
            <w:r>
              <w:rPr>
                <w:rFonts w:eastAsiaTheme="minorEastAsia"/>
                <w:color w:val="000000" w:themeColor="text1"/>
                <w:szCs w:val="21"/>
              </w:rPr>
              <w:t>0.18%</w:t>
            </w:r>
          </w:p>
        </w:tc>
      </w:tr>
      <w:tr w:rsidR="00636809">
        <w:tc>
          <w:tcPr>
            <w:tcW w:w="1290" w:type="dxa"/>
            <w:vAlign w:val="center"/>
          </w:tcPr>
          <w:p w:rsidR="00636809" w:rsidRDefault="00636809" w:rsidP="00636809">
            <w:pPr>
              <w:jc w:val="left"/>
            </w:pPr>
            <w:r>
              <w:rPr>
                <w:rFonts w:eastAsiaTheme="minorEastAsia"/>
                <w:color w:val="000000" w:themeColor="text1"/>
                <w:szCs w:val="21"/>
              </w:rPr>
              <w:t>过去一年</w:t>
            </w:r>
          </w:p>
        </w:tc>
        <w:tc>
          <w:tcPr>
            <w:tcW w:w="1291" w:type="dxa"/>
            <w:vAlign w:val="center"/>
          </w:tcPr>
          <w:p w:rsidR="00636809" w:rsidRDefault="00636809" w:rsidP="00636809">
            <w:pPr>
              <w:jc w:val="right"/>
            </w:pPr>
            <w:r>
              <w:rPr>
                <w:rFonts w:eastAsiaTheme="minorEastAsia"/>
                <w:color w:val="000000" w:themeColor="text1"/>
                <w:szCs w:val="21"/>
              </w:rPr>
              <w:t>-10.23%</w:t>
            </w:r>
          </w:p>
        </w:tc>
        <w:tc>
          <w:tcPr>
            <w:tcW w:w="1291" w:type="dxa"/>
            <w:vAlign w:val="center"/>
          </w:tcPr>
          <w:p w:rsidR="00636809" w:rsidRDefault="00636809" w:rsidP="00636809">
            <w:pPr>
              <w:jc w:val="right"/>
            </w:pPr>
            <w:r>
              <w:rPr>
                <w:rFonts w:eastAsiaTheme="minorEastAsia"/>
                <w:color w:val="000000" w:themeColor="text1"/>
                <w:szCs w:val="21"/>
              </w:rPr>
              <w:t>0.58%</w:t>
            </w:r>
          </w:p>
        </w:tc>
        <w:tc>
          <w:tcPr>
            <w:tcW w:w="1291" w:type="dxa"/>
            <w:vAlign w:val="center"/>
          </w:tcPr>
          <w:p w:rsidR="00636809" w:rsidRDefault="00636809" w:rsidP="00636809">
            <w:pPr>
              <w:jc w:val="right"/>
            </w:pPr>
            <w:r>
              <w:rPr>
                <w:rFonts w:eastAsiaTheme="minorEastAsia"/>
                <w:color w:val="000000" w:themeColor="text1"/>
                <w:szCs w:val="21"/>
              </w:rPr>
              <w:t>-4.28%</w:t>
            </w:r>
          </w:p>
        </w:tc>
        <w:tc>
          <w:tcPr>
            <w:tcW w:w="1291" w:type="dxa"/>
            <w:vAlign w:val="center"/>
          </w:tcPr>
          <w:p w:rsidR="00636809" w:rsidRDefault="00636809" w:rsidP="00636809">
            <w:pPr>
              <w:jc w:val="right"/>
            </w:pPr>
            <w:r>
              <w:rPr>
                <w:rFonts w:eastAsiaTheme="minorEastAsia"/>
                <w:color w:val="000000" w:themeColor="text1"/>
                <w:szCs w:val="21"/>
              </w:rPr>
              <w:t>0.46%</w:t>
            </w:r>
          </w:p>
        </w:tc>
        <w:tc>
          <w:tcPr>
            <w:tcW w:w="1291" w:type="dxa"/>
            <w:vAlign w:val="center"/>
          </w:tcPr>
          <w:p w:rsidR="00636809" w:rsidRDefault="00636809" w:rsidP="00636809">
            <w:pPr>
              <w:jc w:val="right"/>
            </w:pPr>
            <w:r>
              <w:rPr>
                <w:rFonts w:eastAsiaTheme="minorEastAsia"/>
                <w:color w:val="000000" w:themeColor="text1"/>
                <w:szCs w:val="21"/>
              </w:rPr>
              <w:t>-5.95%</w:t>
            </w:r>
          </w:p>
        </w:tc>
        <w:tc>
          <w:tcPr>
            <w:tcW w:w="1291" w:type="dxa"/>
            <w:vAlign w:val="center"/>
          </w:tcPr>
          <w:p w:rsidR="00636809" w:rsidRDefault="00636809" w:rsidP="00636809">
            <w:pPr>
              <w:jc w:val="right"/>
            </w:pPr>
            <w:r>
              <w:rPr>
                <w:rFonts w:eastAsiaTheme="minorEastAsia"/>
                <w:color w:val="000000" w:themeColor="text1"/>
                <w:szCs w:val="21"/>
              </w:rPr>
              <w:t>0.12%</w:t>
            </w:r>
          </w:p>
        </w:tc>
      </w:tr>
      <w:tr w:rsidR="00636809">
        <w:tc>
          <w:tcPr>
            <w:tcW w:w="1290" w:type="dxa"/>
            <w:vAlign w:val="center"/>
          </w:tcPr>
          <w:p w:rsidR="00636809" w:rsidRDefault="00636809" w:rsidP="00636809">
            <w:pPr>
              <w:jc w:val="left"/>
            </w:pPr>
            <w:r>
              <w:rPr>
                <w:rFonts w:eastAsiaTheme="minorEastAsia"/>
                <w:color w:val="000000" w:themeColor="text1"/>
                <w:szCs w:val="21"/>
              </w:rPr>
              <w:t>过去三年</w:t>
            </w:r>
          </w:p>
        </w:tc>
        <w:tc>
          <w:tcPr>
            <w:tcW w:w="1291" w:type="dxa"/>
            <w:vAlign w:val="center"/>
          </w:tcPr>
          <w:p w:rsidR="00636809" w:rsidRDefault="00636809" w:rsidP="00636809">
            <w:pPr>
              <w:jc w:val="right"/>
            </w:pPr>
            <w:r>
              <w:rPr>
                <w:rFonts w:eastAsiaTheme="minorEastAsia"/>
                <w:color w:val="000000" w:themeColor="text1"/>
                <w:szCs w:val="21"/>
              </w:rPr>
              <w:t>-15.88%</w:t>
            </w:r>
          </w:p>
        </w:tc>
        <w:tc>
          <w:tcPr>
            <w:tcW w:w="1291" w:type="dxa"/>
            <w:vAlign w:val="center"/>
          </w:tcPr>
          <w:p w:rsidR="00636809" w:rsidRDefault="00636809" w:rsidP="00636809">
            <w:pPr>
              <w:jc w:val="right"/>
            </w:pPr>
            <w:r>
              <w:rPr>
                <w:rFonts w:eastAsiaTheme="minorEastAsia"/>
                <w:color w:val="000000" w:themeColor="text1"/>
                <w:szCs w:val="21"/>
              </w:rPr>
              <w:t>0.55%</w:t>
            </w:r>
          </w:p>
        </w:tc>
        <w:tc>
          <w:tcPr>
            <w:tcW w:w="1291" w:type="dxa"/>
            <w:vAlign w:val="center"/>
          </w:tcPr>
          <w:p w:rsidR="00636809" w:rsidRDefault="00636809" w:rsidP="00636809">
            <w:pPr>
              <w:jc w:val="right"/>
            </w:pPr>
            <w:r>
              <w:rPr>
                <w:rFonts w:eastAsiaTheme="minorEastAsia"/>
                <w:color w:val="000000" w:themeColor="text1"/>
                <w:szCs w:val="21"/>
              </w:rPr>
              <w:t>-7.71%</w:t>
            </w:r>
          </w:p>
        </w:tc>
        <w:tc>
          <w:tcPr>
            <w:tcW w:w="1291" w:type="dxa"/>
            <w:vAlign w:val="center"/>
          </w:tcPr>
          <w:p w:rsidR="00636809" w:rsidRDefault="00636809" w:rsidP="00636809">
            <w:pPr>
              <w:jc w:val="right"/>
            </w:pPr>
            <w:r>
              <w:rPr>
                <w:rFonts w:eastAsiaTheme="minorEastAsia"/>
                <w:color w:val="000000" w:themeColor="text1"/>
                <w:szCs w:val="21"/>
              </w:rPr>
              <w:t>0.51%</w:t>
            </w:r>
          </w:p>
        </w:tc>
        <w:tc>
          <w:tcPr>
            <w:tcW w:w="1291" w:type="dxa"/>
            <w:vAlign w:val="center"/>
          </w:tcPr>
          <w:p w:rsidR="00636809" w:rsidRDefault="00636809" w:rsidP="00636809">
            <w:pPr>
              <w:jc w:val="right"/>
            </w:pPr>
            <w:r>
              <w:rPr>
                <w:rFonts w:eastAsiaTheme="minorEastAsia"/>
                <w:color w:val="000000" w:themeColor="text1"/>
                <w:szCs w:val="21"/>
              </w:rPr>
              <w:t>-8.17%</w:t>
            </w:r>
          </w:p>
        </w:tc>
        <w:tc>
          <w:tcPr>
            <w:tcW w:w="1291" w:type="dxa"/>
            <w:vAlign w:val="center"/>
          </w:tcPr>
          <w:p w:rsidR="00636809" w:rsidRDefault="00636809" w:rsidP="00636809">
            <w:pPr>
              <w:jc w:val="right"/>
            </w:pPr>
            <w:r>
              <w:rPr>
                <w:rFonts w:eastAsiaTheme="minorEastAsia"/>
                <w:color w:val="000000" w:themeColor="text1"/>
                <w:szCs w:val="21"/>
              </w:rPr>
              <w:t>0.04%</w:t>
            </w:r>
          </w:p>
        </w:tc>
      </w:tr>
      <w:tr w:rsidR="00636809">
        <w:tc>
          <w:tcPr>
            <w:tcW w:w="1290" w:type="dxa"/>
            <w:vAlign w:val="center"/>
          </w:tcPr>
          <w:p w:rsidR="00636809" w:rsidRDefault="00636809" w:rsidP="00636809">
            <w:pPr>
              <w:jc w:val="left"/>
            </w:pPr>
            <w:r>
              <w:rPr>
                <w:rFonts w:eastAsiaTheme="minorEastAsia"/>
                <w:color w:val="000000" w:themeColor="text1"/>
                <w:szCs w:val="21"/>
              </w:rPr>
              <w:t>过去五年</w:t>
            </w:r>
          </w:p>
        </w:tc>
        <w:tc>
          <w:tcPr>
            <w:tcW w:w="1291" w:type="dxa"/>
            <w:vAlign w:val="center"/>
          </w:tcPr>
          <w:p w:rsidR="00636809" w:rsidRDefault="00636809" w:rsidP="00636809">
            <w:pPr>
              <w:jc w:val="right"/>
            </w:pPr>
            <w:r>
              <w:rPr>
                <w:rFonts w:eastAsiaTheme="minorEastAsia"/>
                <w:color w:val="000000" w:themeColor="text1"/>
                <w:szCs w:val="21"/>
              </w:rPr>
              <w:t>-</w:t>
            </w:r>
          </w:p>
        </w:tc>
        <w:tc>
          <w:tcPr>
            <w:tcW w:w="1291" w:type="dxa"/>
            <w:vAlign w:val="center"/>
          </w:tcPr>
          <w:p w:rsidR="00636809" w:rsidRDefault="00636809" w:rsidP="00636809">
            <w:pPr>
              <w:jc w:val="right"/>
            </w:pPr>
            <w:r>
              <w:rPr>
                <w:rFonts w:eastAsiaTheme="minorEastAsia"/>
                <w:color w:val="000000" w:themeColor="text1"/>
                <w:szCs w:val="21"/>
              </w:rPr>
              <w:t>-</w:t>
            </w:r>
          </w:p>
        </w:tc>
        <w:tc>
          <w:tcPr>
            <w:tcW w:w="1291" w:type="dxa"/>
            <w:vAlign w:val="center"/>
          </w:tcPr>
          <w:p w:rsidR="00636809" w:rsidRDefault="00636809" w:rsidP="00636809">
            <w:pPr>
              <w:jc w:val="right"/>
            </w:pPr>
            <w:r>
              <w:rPr>
                <w:rFonts w:eastAsiaTheme="minorEastAsia"/>
                <w:color w:val="000000" w:themeColor="text1"/>
                <w:szCs w:val="21"/>
              </w:rPr>
              <w:t>-</w:t>
            </w:r>
          </w:p>
        </w:tc>
        <w:tc>
          <w:tcPr>
            <w:tcW w:w="1291" w:type="dxa"/>
            <w:vAlign w:val="center"/>
          </w:tcPr>
          <w:p w:rsidR="00636809" w:rsidRDefault="00636809" w:rsidP="00636809">
            <w:pPr>
              <w:jc w:val="right"/>
            </w:pPr>
            <w:r>
              <w:rPr>
                <w:rFonts w:eastAsiaTheme="minorEastAsia"/>
                <w:color w:val="000000" w:themeColor="text1"/>
                <w:szCs w:val="21"/>
              </w:rPr>
              <w:t>-</w:t>
            </w:r>
          </w:p>
        </w:tc>
        <w:tc>
          <w:tcPr>
            <w:tcW w:w="1291" w:type="dxa"/>
            <w:vAlign w:val="center"/>
          </w:tcPr>
          <w:p w:rsidR="00636809" w:rsidRDefault="00636809" w:rsidP="00636809">
            <w:pPr>
              <w:jc w:val="right"/>
            </w:pPr>
            <w:r>
              <w:rPr>
                <w:rFonts w:eastAsiaTheme="minorEastAsia"/>
                <w:color w:val="000000" w:themeColor="text1"/>
                <w:szCs w:val="21"/>
              </w:rPr>
              <w:t>-</w:t>
            </w:r>
          </w:p>
        </w:tc>
        <w:tc>
          <w:tcPr>
            <w:tcW w:w="1291" w:type="dxa"/>
            <w:vAlign w:val="center"/>
          </w:tcPr>
          <w:p w:rsidR="00636809" w:rsidRDefault="00636809" w:rsidP="00636809">
            <w:pPr>
              <w:jc w:val="right"/>
            </w:pPr>
            <w:r>
              <w:rPr>
                <w:rFonts w:eastAsiaTheme="minorEastAsia"/>
                <w:color w:val="000000" w:themeColor="text1"/>
                <w:szCs w:val="21"/>
              </w:rPr>
              <w:t>-</w:t>
            </w:r>
          </w:p>
        </w:tc>
      </w:tr>
      <w:tr w:rsidR="00636809">
        <w:tc>
          <w:tcPr>
            <w:tcW w:w="1290" w:type="dxa"/>
            <w:vAlign w:val="center"/>
          </w:tcPr>
          <w:p w:rsidR="00636809" w:rsidRDefault="00636809" w:rsidP="00636809">
            <w:pPr>
              <w:jc w:val="left"/>
            </w:pPr>
            <w:r>
              <w:rPr>
                <w:rFonts w:eastAsiaTheme="minorEastAsia"/>
                <w:color w:val="000000" w:themeColor="text1"/>
                <w:szCs w:val="21"/>
              </w:rPr>
              <w:t>自基金合同生效起至今</w:t>
            </w:r>
          </w:p>
        </w:tc>
        <w:tc>
          <w:tcPr>
            <w:tcW w:w="1291" w:type="dxa"/>
            <w:vAlign w:val="center"/>
          </w:tcPr>
          <w:p w:rsidR="00636809" w:rsidRDefault="00636809" w:rsidP="00636809">
            <w:pPr>
              <w:jc w:val="right"/>
            </w:pPr>
            <w:r>
              <w:rPr>
                <w:rFonts w:eastAsiaTheme="minorEastAsia"/>
                <w:color w:val="000000" w:themeColor="text1"/>
                <w:szCs w:val="21"/>
              </w:rPr>
              <w:t>8.21%</w:t>
            </w:r>
          </w:p>
        </w:tc>
        <w:tc>
          <w:tcPr>
            <w:tcW w:w="1291" w:type="dxa"/>
            <w:vAlign w:val="center"/>
          </w:tcPr>
          <w:p w:rsidR="00636809" w:rsidRDefault="00636809" w:rsidP="00636809">
            <w:pPr>
              <w:jc w:val="right"/>
            </w:pPr>
            <w:r>
              <w:rPr>
                <w:rFonts w:eastAsiaTheme="minorEastAsia"/>
                <w:color w:val="000000" w:themeColor="text1"/>
                <w:szCs w:val="21"/>
              </w:rPr>
              <w:t>0.61%</w:t>
            </w:r>
          </w:p>
        </w:tc>
        <w:tc>
          <w:tcPr>
            <w:tcW w:w="1291" w:type="dxa"/>
            <w:vAlign w:val="center"/>
          </w:tcPr>
          <w:p w:rsidR="00636809" w:rsidRDefault="00636809" w:rsidP="00636809">
            <w:pPr>
              <w:jc w:val="right"/>
            </w:pPr>
            <w:r>
              <w:rPr>
                <w:rFonts w:eastAsiaTheme="minorEastAsia"/>
                <w:color w:val="000000" w:themeColor="text1"/>
                <w:szCs w:val="21"/>
              </w:rPr>
              <w:t>9.10%</w:t>
            </w:r>
          </w:p>
        </w:tc>
        <w:tc>
          <w:tcPr>
            <w:tcW w:w="1291" w:type="dxa"/>
            <w:vAlign w:val="center"/>
          </w:tcPr>
          <w:p w:rsidR="00636809" w:rsidRDefault="00636809" w:rsidP="00636809">
            <w:pPr>
              <w:jc w:val="right"/>
            </w:pPr>
            <w:r>
              <w:rPr>
                <w:rFonts w:eastAsiaTheme="minorEastAsia"/>
                <w:color w:val="000000" w:themeColor="text1"/>
                <w:szCs w:val="21"/>
              </w:rPr>
              <w:t>0.57%</w:t>
            </w:r>
          </w:p>
        </w:tc>
        <w:tc>
          <w:tcPr>
            <w:tcW w:w="1291" w:type="dxa"/>
            <w:vAlign w:val="center"/>
          </w:tcPr>
          <w:p w:rsidR="00636809" w:rsidRDefault="00636809" w:rsidP="00636809">
            <w:pPr>
              <w:jc w:val="right"/>
            </w:pPr>
            <w:r>
              <w:rPr>
                <w:rFonts w:eastAsiaTheme="minorEastAsia"/>
                <w:color w:val="000000" w:themeColor="text1"/>
                <w:szCs w:val="21"/>
              </w:rPr>
              <w:t>-0.89%</w:t>
            </w:r>
          </w:p>
        </w:tc>
        <w:tc>
          <w:tcPr>
            <w:tcW w:w="1291" w:type="dxa"/>
            <w:vAlign w:val="center"/>
          </w:tcPr>
          <w:p w:rsidR="00636809" w:rsidRDefault="00636809" w:rsidP="00636809">
            <w:pPr>
              <w:jc w:val="right"/>
            </w:pPr>
            <w:r>
              <w:rPr>
                <w:rFonts w:eastAsiaTheme="minorEastAsia"/>
                <w:color w:val="000000" w:themeColor="text1"/>
                <w:szCs w:val="21"/>
              </w:rPr>
              <w:t>0.04%</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摩根锦程均衡养老三年持有混合</w:t>
      </w:r>
      <w:r w:rsidRPr="00B27A29">
        <w:rPr>
          <w:rFonts w:eastAsiaTheme="minorEastAsia"/>
          <w:b/>
          <w:color w:val="000000" w:themeColor="text1"/>
          <w:kern w:val="0"/>
          <w:szCs w:val="21"/>
        </w:rPr>
        <w:t>(FOF)Y</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36809">
        <w:tc>
          <w:tcPr>
            <w:tcW w:w="1290" w:type="dxa"/>
            <w:vAlign w:val="center"/>
          </w:tcPr>
          <w:p w:rsidR="00636809" w:rsidRDefault="00636809" w:rsidP="00636809">
            <w:pPr>
              <w:jc w:val="left"/>
            </w:pPr>
            <w:r>
              <w:rPr>
                <w:rFonts w:eastAsiaTheme="minorEastAsia"/>
                <w:color w:val="000000" w:themeColor="text1"/>
                <w:szCs w:val="21"/>
              </w:rPr>
              <w:t>过去三个月</w:t>
            </w:r>
          </w:p>
        </w:tc>
        <w:tc>
          <w:tcPr>
            <w:tcW w:w="1291" w:type="dxa"/>
            <w:vAlign w:val="center"/>
          </w:tcPr>
          <w:p w:rsidR="00636809" w:rsidRDefault="00636809" w:rsidP="00636809">
            <w:pPr>
              <w:jc w:val="right"/>
            </w:pPr>
            <w:r>
              <w:rPr>
                <w:rFonts w:eastAsiaTheme="minorEastAsia"/>
                <w:color w:val="000000" w:themeColor="text1"/>
                <w:szCs w:val="21"/>
              </w:rPr>
              <w:t>-1.24%</w:t>
            </w:r>
          </w:p>
        </w:tc>
        <w:tc>
          <w:tcPr>
            <w:tcW w:w="1291" w:type="dxa"/>
            <w:vAlign w:val="center"/>
          </w:tcPr>
          <w:p w:rsidR="00636809" w:rsidRDefault="00636809" w:rsidP="00636809">
            <w:pPr>
              <w:jc w:val="right"/>
            </w:pPr>
            <w:r>
              <w:rPr>
                <w:rFonts w:eastAsiaTheme="minorEastAsia"/>
                <w:color w:val="000000" w:themeColor="text1"/>
                <w:szCs w:val="21"/>
              </w:rPr>
              <w:t>0.83%</w:t>
            </w:r>
          </w:p>
        </w:tc>
        <w:tc>
          <w:tcPr>
            <w:tcW w:w="1291" w:type="dxa"/>
            <w:vAlign w:val="center"/>
          </w:tcPr>
          <w:p w:rsidR="00636809" w:rsidRDefault="00636809" w:rsidP="00636809">
            <w:pPr>
              <w:jc w:val="right"/>
            </w:pPr>
            <w:r>
              <w:rPr>
                <w:rFonts w:eastAsiaTheme="minorEastAsia"/>
                <w:color w:val="000000" w:themeColor="text1"/>
                <w:szCs w:val="21"/>
              </w:rPr>
              <w:t>1.95%</w:t>
            </w:r>
          </w:p>
        </w:tc>
        <w:tc>
          <w:tcPr>
            <w:tcW w:w="1291" w:type="dxa"/>
            <w:vAlign w:val="center"/>
          </w:tcPr>
          <w:p w:rsidR="00636809" w:rsidRDefault="00636809" w:rsidP="00636809">
            <w:pPr>
              <w:jc w:val="right"/>
            </w:pPr>
            <w:r>
              <w:rPr>
                <w:rFonts w:eastAsiaTheme="minorEastAsia"/>
                <w:color w:val="000000" w:themeColor="text1"/>
                <w:szCs w:val="21"/>
              </w:rPr>
              <w:t>0.59%</w:t>
            </w:r>
          </w:p>
        </w:tc>
        <w:tc>
          <w:tcPr>
            <w:tcW w:w="1291" w:type="dxa"/>
            <w:vAlign w:val="center"/>
          </w:tcPr>
          <w:p w:rsidR="00636809" w:rsidRDefault="00636809" w:rsidP="00636809">
            <w:pPr>
              <w:jc w:val="right"/>
            </w:pPr>
            <w:r>
              <w:rPr>
                <w:rFonts w:eastAsiaTheme="minorEastAsia"/>
                <w:color w:val="000000" w:themeColor="text1"/>
                <w:szCs w:val="21"/>
              </w:rPr>
              <w:t>-3.19%</w:t>
            </w:r>
          </w:p>
        </w:tc>
        <w:tc>
          <w:tcPr>
            <w:tcW w:w="1291" w:type="dxa"/>
            <w:vAlign w:val="center"/>
          </w:tcPr>
          <w:p w:rsidR="00636809" w:rsidRDefault="00636809" w:rsidP="00636809">
            <w:pPr>
              <w:jc w:val="right"/>
            </w:pPr>
            <w:r>
              <w:rPr>
                <w:rFonts w:eastAsiaTheme="minorEastAsia"/>
                <w:color w:val="000000" w:themeColor="text1"/>
                <w:szCs w:val="21"/>
              </w:rPr>
              <w:t>0.24%</w:t>
            </w:r>
          </w:p>
        </w:tc>
      </w:tr>
      <w:tr w:rsidR="00636809">
        <w:tc>
          <w:tcPr>
            <w:tcW w:w="1290" w:type="dxa"/>
            <w:vAlign w:val="center"/>
          </w:tcPr>
          <w:p w:rsidR="00636809" w:rsidRDefault="00636809" w:rsidP="00636809">
            <w:pPr>
              <w:jc w:val="left"/>
            </w:pPr>
            <w:r>
              <w:rPr>
                <w:rFonts w:eastAsiaTheme="minorEastAsia"/>
                <w:color w:val="000000" w:themeColor="text1"/>
                <w:szCs w:val="21"/>
              </w:rPr>
              <w:t>过去六个月</w:t>
            </w:r>
          </w:p>
        </w:tc>
        <w:tc>
          <w:tcPr>
            <w:tcW w:w="1291" w:type="dxa"/>
            <w:vAlign w:val="center"/>
          </w:tcPr>
          <w:p w:rsidR="00636809" w:rsidRDefault="00636809" w:rsidP="00636809">
            <w:pPr>
              <w:jc w:val="right"/>
            </w:pPr>
            <w:r>
              <w:rPr>
                <w:rFonts w:eastAsiaTheme="minorEastAsia"/>
                <w:color w:val="000000" w:themeColor="text1"/>
                <w:szCs w:val="21"/>
              </w:rPr>
              <w:t>-3.86%</w:t>
            </w:r>
          </w:p>
        </w:tc>
        <w:tc>
          <w:tcPr>
            <w:tcW w:w="1291" w:type="dxa"/>
            <w:vAlign w:val="center"/>
          </w:tcPr>
          <w:p w:rsidR="00636809" w:rsidRDefault="00636809" w:rsidP="00636809">
            <w:pPr>
              <w:jc w:val="right"/>
            </w:pPr>
            <w:r>
              <w:rPr>
                <w:rFonts w:eastAsiaTheme="minorEastAsia"/>
                <w:color w:val="000000" w:themeColor="text1"/>
                <w:szCs w:val="21"/>
              </w:rPr>
              <w:t>0.68%</w:t>
            </w:r>
          </w:p>
        </w:tc>
        <w:tc>
          <w:tcPr>
            <w:tcW w:w="1291" w:type="dxa"/>
            <w:vAlign w:val="center"/>
          </w:tcPr>
          <w:p w:rsidR="00636809" w:rsidRDefault="00636809" w:rsidP="00636809">
            <w:pPr>
              <w:jc w:val="right"/>
            </w:pPr>
            <w:r>
              <w:rPr>
                <w:rFonts w:eastAsiaTheme="minorEastAsia"/>
                <w:color w:val="000000" w:themeColor="text1"/>
                <w:szCs w:val="21"/>
              </w:rPr>
              <w:t>-0.74%</w:t>
            </w:r>
          </w:p>
        </w:tc>
        <w:tc>
          <w:tcPr>
            <w:tcW w:w="1291" w:type="dxa"/>
            <w:vAlign w:val="center"/>
          </w:tcPr>
          <w:p w:rsidR="00636809" w:rsidRDefault="00636809" w:rsidP="00636809">
            <w:pPr>
              <w:jc w:val="right"/>
            </w:pPr>
            <w:r>
              <w:rPr>
                <w:rFonts w:eastAsiaTheme="minorEastAsia"/>
                <w:color w:val="000000" w:themeColor="text1"/>
                <w:szCs w:val="21"/>
              </w:rPr>
              <w:t>0.50%</w:t>
            </w:r>
          </w:p>
        </w:tc>
        <w:tc>
          <w:tcPr>
            <w:tcW w:w="1291" w:type="dxa"/>
            <w:vAlign w:val="center"/>
          </w:tcPr>
          <w:p w:rsidR="00636809" w:rsidRDefault="00636809" w:rsidP="00636809">
            <w:pPr>
              <w:jc w:val="right"/>
            </w:pPr>
            <w:r>
              <w:rPr>
                <w:rFonts w:eastAsiaTheme="minorEastAsia"/>
                <w:color w:val="000000" w:themeColor="text1"/>
                <w:szCs w:val="21"/>
              </w:rPr>
              <w:t>-3.12%</w:t>
            </w:r>
          </w:p>
        </w:tc>
        <w:tc>
          <w:tcPr>
            <w:tcW w:w="1291" w:type="dxa"/>
            <w:vAlign w:val="center"/>
          </w:tcPr>
          <w:p w:rsidR="00636809" w:rsidRDefault="00636809" w:rsidP="00636809">
            <w:pPr>
              <w:jc w:val="right"/>
            </w:pPr>
            <w:r>
              <w:rPr>
                <w:rFonts w:eastAsiaTheme="minorEastAsia"/>
                <w:color w:val="000000" w:themeColor="text1"/>
                <w:szCs w:val="21"/>
              </w:rPr>
              <w:t>0.18%</w:t>
            </w:r>
          </w:p>
        </w:tc>
      </w:tr>
      <w:tr w:rsidR="00636809">
        <w:tc>
          <w:tcPr>
            <w:tcW w:w="1290" w:type="dxa"/>
            <w:vAlign w:val="center"/>
          </w:tcPr>
          <w:p w:rsidR="00636809" w:rsidRDefault="00636809" w:rsidP="00636809">
            <w:pPr>
              <w:jc w:val="left"/>
            </w:pPr>
            <w:r>
              <w:rPr>
                <w:rFonts w:eastAsiaTheme="minorEastAsia"/>
                <w:color w:val="000000" w:themeColor="text1"/>
                <w:szCs w:val="21"/>
              </w:rPr>
              <w:t>过去一年</w:t>
            </w:r>
          </w:p>
        </w:tc>
        <w:tc>
          <w:tcPr>
            <w:tcW w:w="1291" w:type="dxa"/>
            <w:vAlign w:val="center"/>
          </w:tcPr>
          <w:p w:rsidR="00636809" w:rsidRDefault="00636809" w:rsidP="00636809">
            <w:pPr>
              <w:jc w:val="right"/>
            </w:pPr>
            <w:r>
              <w:rPr>
                <w:rFonts w:eastAsiaTheme="minorEastAsia"/>
                <w:color w:val="000000" w:themeColor="text1"/>
                <w:szCs w:val="21"/>
              </w:rPr>
              <w:t>-9.90%</w:t>
            </w:r>
          </w:p>
        </w:tc>
        <w:tc>
          <w:tcPr>
            <w:tcW w:w="1291" w:type="dxa"/>
            <w:vAlign w:val="center"/>
          </w:tcPr>
          <w:p w:rsidR="00636809" w:rsidRDefault="00636809" w:rsidP="00636809">
            <w:pPr>
              <w:jc w:val="right"/>
            </w:pPr>
            <w:r>
              <w:rPr>
                <w:rFonts w:eastAsiaTheme="minorEastAsia"/>
                <w:color w:val="000000" w:themeColor="text1"/>
                <w:szCs w:val="21"/>
              </w:rPr>
              <w:t>0.58%</w:t>
            </w:r>
          </w:p>
        </w:tc>
        <w:tc>
          <w:tcPr>
            <w:tcW w:w="1291" w:type="dxa"/>
            <w:vAlign w:val="center"/>
          </w:tcPr>
          <w:p w:rsidR="00636809" w:rsidRDefault="00636809" w:rsidP="00636809">
            <w:pPr>
              <w:jc w:val="right"/>
            </w:pPr>
            <w:r>
              <w:rPr>
                <w:rFonts w:eastAsiaTheme="minorEastAsia"/>
                <w:color w:val="000000" w:themeColor="text1"/>
                <w:szCs w:val="21"/>
              </w:rPr>
              <w:t>-4.28%</w:t>
            </w:r>
          </w:p>
        </w:tc>
        <w:tc>
          <w:tcPr>
            <w:tcW w:w="1291" w:type="dxa"/>
            <w:vAlign w:val="center"/>
          </w:tcPr>
          <w:p w:rsidR="00636809" w:rsidRDefault="00636809" w:rsidP="00636809">
            <w:pPr>
              <w:jc w:val="right"/>
            </w:pPr>
            <w:r>
              <w:rPr>
                <w:rFonts w:eastAsiaTheme="minorEastAsia"/>
                <w:color w:val="000000" w:themeColor="text1"/>
                <w:szCs w:val="21"/>
              </w:rPr>
              <w:t>0.46%</w:t>
            </w:r>
          </w:p>
        </w:tc>
        <w:tc>
          <w:tcPr>
            <w:tcW w:w="1291" w:type="dxa"/>
            <w:vAlign w:val="center"/>
          </w:tcPr>
          <w:p w:rsidR="00636809" w:rsidRDefault="00636809" w:rsidP="00636809">
            <w:pPr>
              <w:jc w:val="right"/>
            </w:pPr>
            <w:r>
              <w:rPr>
                <w:rFonts w:eastAsiaTheme="minorEastAsia"/>
                <w:color w:val="000000" w:themeColor="text1"/>
                <w:szCs w:val="21"/>
              </w:rPr>
              <w:t>-5.62%</w:t>
            </w:r>
          </w:p>
        </w:tc>
        <w:tc>
          <w:tcPr>
            <w:tcW w:w="1291" w:type="dxa"/>
            <w:vAlign w:val="center"/>
          </w:tcPr>
          <w:p w:rsidR="00636809" w:rsidRDefault="00636809" w:rsidP="00636809">
            <w:pPr>
              <w:jc w:val="right"/>
            </w:pPr>
            <w:r>
              <w:rPr>
                <w:rFonts w:eastAsiaTheme="minorEastAsia"/>
                <w:color w:val="000000" w:themeColor="text1"/>
                <w:szCs w:val="21"/>
              </w:rPr>
              <w:t>0.12%</w:t>
            </w:r>
          </w:p>
        </w:tc>
      </w:tr>
      <w:tr w:rsidR="00636809">
        <w:tc>
          <w:tcPr>
            <w:tcW w:w="1290" w:type="dxa"/>
            <w:vAlign w:val="center"/>
          </w:tcPr>
          <w:p w:rsidR="00636809" w:rsidRDefault="00636809" w:rsidP="00636809">
            <w:pPr>
              <w:jc w:val="left"/>
            </w:pPr>
            <w:r>
              <w:rPr>
                <w:rFonts w:eastAsiaTheme="minorEastAsia"/>
                <w:color w:val="000000" w:themeColor="text1"/>
                <w:szCs w:val="21"/>
              </w:rPr>
              <w:t>过去三年</w:t>
            </w:r>
          </w:p>
        </w:tc>
        <w:tc>
          <w:tcPr>
            <w:tcW w:w="1291" w:type="dxa"/>
            <w:vAlign w:val="center"/>
          </w:tcPr>
          <w:p w:rsidR="00636809" w:rsidRDefault="00636809" w:rsidP="00636809">
            <w:pPr>
              <w:jc w:val="right"/>
            </w:pPr>
            <w:r>
              <w:rPr>
                <w:rFonts w:eastAsiaTheme="minorEastAsia"/>
                <w:color w:val="000000" w:themeColor="text1"/>
                <w:szCs w:val="21"/>
              </w:rPr>
              <w:t>-</w:t>
            </w:r>
          </w:p>
        </w:tc>
        <w:tc>
          <w:tcPr>
            <w:tcW w:w="1291" w:type="dxa"/>
            <w:vAlign w:val="center"/>
          </w:tcPr>
          <w:p w:rsidR="00636809" w:rsidRDefault="00636809" w:rsidP="00636809">
            <w:pPr>
              <w:jc w:val="right"/>
            </w:pPr>
            <w:r>
              <w:rPr>
                <w:rFonts w:eastAsiaTheme="minorEastAsia"/>
                <w:color w:val="000000" w:themeColor="text1"/>
                <w:szCs w:val="21"/>
              </w:rPr>
              <w:t>-</w:t>
            </w:r>
          </w:p>
        </w:tc>
        <w:tc>
          <w:tcPr>
            <w:tcW w:w="1291" w:type="dxa"/>
            <w:vAlign w:val="center"/>
          </w:tcPr>
          <w:p w:rsidR="00636809" w:rsidRDefault="00636809" w:rsidP="00636809">
            <w:pPr>
              <w:jc w:val="right"/>
            </w:pPr>
            <w:r>
              <w:rPr>
                <w:rFonts w:eastAsiaTheme="minorEastAsia"/>
                <w:color w:val="000000" w:themeColor="text1"/>
                <w:szCs w:val="21"/>
              </w:rPr>
              <w:t>-</w:t>
            </w:r>
          </w:p>
        </w:tc>
        <w:tc>
          <w:tcPr>
            <w:tcW w:w="1291" w:type="dxa"/>
            <w:vAlign w:val="center"/>
          </w:tcPr>
          <w:p w:rsidR="00636809" w:rsidRDefault="00636809" w:rsidP="00636809">
            <w:pPr>
              <w:jc w:val="right"/>
            </w:pPr>
            <w:r>
              <w:rPr>
                <w:rFonts w:eastAsiaTheme="minorEastAsia"/>
                <w:color w:val="000000" w:themeColor="text1"/>
                <w:szCs w:val="21"/>
              </w:rPr>
              <w:t>-</w:t>
            </w:r>
          </w:p>
        </w:tc>
        <w:tc>
          <w:tcPr>
            <w:tcW w:w="1291" w:type="dxa"/>
            <w:vAlign w:val="center"/>
          </w:tcPr>
          <w:p w:rsidR="00636809" w:rsidRDefault="00636809" w:rsidP="00636809">
            <w:pPr>
              <w:jc w:val="right"/>
            </w:pPr>
            <w:r>
              <w:rPr>
                <w:rFonts w:eastAsiaTheme="minorEastAsia"/>
                <w:color w:val="000000" w:themeColor="text1"/>
                <w:szCs w:val="21"/>
              </w:rPr>
              <w:t>-</w:t>
            </w:r>
          </w:p>
        </w:tc>
        <w:tc>
          <w:tcPr>
            <w:tcW w:w="1291" w:type="dxa"/>
            <w:vAlign w:val="center"/>
          </w:tcPr>
          <w:p w:rsidR="00636809" w:rsidRDefault="00636809" w:rsidP="00636809">
            <w:pPr>
              <w:jc w:val="right"/>
            </w:pPr>
            <w:r>
              <w:rPr>
                <w:rFonts w:eastAsiaTheme="minorEastAsia"/>
                <w:color w:val="000000" w:themeColor="text1"/>
                <w:szCs w:val="21"/>
              </w:rPr>
              <w:t>-</w:t>
            </w:r>
          </w:p>
        </w:tc>
      </w:tr>
      <w:tr w:rsidR="00636809">
        <w:tc>
          <w:tcPr>
            <w:tcW w:w="1290" w:type="dxa"/>
            <w:vAlign w:val="center"/>
          </w:tcPr>
          <w:p w:rsidR="00636809" w:rsidRDefault="00636809" w:rsidP="00636809">
            <w:pPr>
              <w:jc w:val="left"/>
            </w:pPr>
            <w:r>
              <w:rPr>
                <w:rFonts w:eastAsiaTheme="minorEastAsia"/>
                <w:color w:val="000000" w:themeColor="text1"/>
                <w:szCs w:val="21"/>
              </w:rPr>
              <w:t>过去五年</w:t>
            </w:r>
          </w:p>
        </w:tc>
        <w:tc>
          <w:tcPr>
            <w:tcW w:w="1291" w:type="dxa"/>
            <w:vAlign w:val="center"/>
          </w:tcPr>
          <w:p w:rsidR="00636809" w:rsidRDefault="00636809" w:rsidP="00636809">
            <w:pPr>
              <w:jc w:val="right"/>
            </w:pPr>
            <w:r>
              <w:rPr>
                <w:rFonts w:eastAsiaTheme="minorEastAsia"/>
                <w:color w:val="000000" w:themeColor="text1"/>
                <w:szCs w:val="21"/>
              </w:rPr>
              <w:t>-</w:t>
            </w:r>
          </w:p>
        </w:tc>
        <w:tc>
          <w:tcPr>
            <w:tcW w:w="1291" w:type="dxa"/>
            <w:vAlign w:val="center"/>
          </w:tcPr>
          <w:p w:rsidR="00636809" w:rsidRDefault="00636809" w:rsidP="00636809">
            <w:pPr>
              <w:jc w:val="right"/>
            </w:pPr>
            <w:r>
              <w:rPr>
                <w:rFonts w:eastAsiaTheme="minorEastAsia"/>
                <w:color w:val="000000" w:themeColor="text1"/>
                <w:szCs w:val="21"/>
              </w:rPr>
              <w:t>-</w:t>
            </w:r>
          </w:p>
        </w:tc>
        <w:tc>
          <w:tcPr>
            <w:tcW w:w="1291" w:type="dxa"/>
            <w:vAlign w:val="center"/>
          </w:tcPr>
          <w:p w:rsidR="00636809" w:rsidRDefault="00636809" w:rsidP="00636809">
            <w:pPr>
              <w:jc w:val="right"/>
            </w:pPr>
            <w:r>
              <w:rPr>
                <w:rFonts w:eastAsiaTheme="minorEastAsia"/>
                <w:color w:val="000000" w:themeColor="text1"/>
                <w:szCs w:val="21"/>
              </w:rPr>
              <w:t>-</w:t>
            </w:r>
          </w:p>
        </w:tc>
        <w:tc>
          <w:tcPr>
            <w:tcW w:w="1291" w:type="dxa"/>
            <w:vAlign w:val="center"/>
          </w:tcPr>
          <w:p w:rsidR="00636809" w:rsidRDefault="00636809" w:rsidP="00636809">
            <w:pPr>
              <w:jc w:val="right"/>
            </w:pPr>
            <w:r>
              <w:rPr>
                <w:rFonts w:eastAsiaTheme="minorEastAsia"/>
                <w:color w:val="000000" w:themeColor="text1"/>
                <w:szCs w:val="21"/>
              </w:rPr>
              <w:t>-</w:t>
            </w:r>
          </w:p>
        </w:tc>
        <w:tc>
          <w:tcPr>
            <w:tcW w:w="1291" w:type="dxa"/>
            <w:vAlign w:val="center"/>
          </w:tcPr>
          <w:p w:rsidR="00636809" w:rsidRDefault="00636809" w:rsidP="00636809">
            <w:pPr>
              <w:jc w:val="right"/>
            </w:pPr>
            <w:r>
              <w:rPr>
                <w:rFonts w:eastAsiaTheme="minorEastAsia"/>
                <w:color w:val="000000" w:themeColor="text1"/>
                <w:szCs w:val="21"/>
              </w:rPr>
              <w:t>-</w:t>
            </w:r>
          </w:p>
        </w:tc>
        <w:tc>
          <w:tcPr>
            <w:tcW w:w="1291" w:type="dxa"/>
            <w:vAlign w:val="center"/>
          </w:tcPr>
          <w:p w:rsidR="00636809" w:rsidRDefault="00636809" w:rsidP="00636809">
            <w:pPr>
              <w:jc w:val="right"/>
            </w:pPr>
            <w:r>
              <w:rPr>
                <w:rFonts w:eastAsiaTheme="minorEastAsia"/>
                <w:color w:val="000000" w:themeColor="text1"/>
                <w:szCs w:val="21"/>
              </w:rPr>
              <w:t>-</w:t>
            </w:r>
          </w:p>
        </w:tc>
      </w:tr>
      <w:tr w:rsidR="00636809">
        <w:tc>
          <w:tcPr>
            <w:tcW w:w="1290" w:type="dxa"/>
            <w:vAlign w:val="center"/>
          </w:tcPr>
          <w:p w:rsidR="00636809" w:rsidRDefault="00636809" w:rsidP="00636809">
            <w:pPr>
              <w:jc w:val="left"/>
            </w:pPr>
            <w:r>
              <w:rPr>
                <w:rFonts w:eastAsiaTheme="minorEastAsia"/>
                <w:color w:val="000000" w:themeColor="text1"/>
                <w:szCs w:val="21"/>
              </w:rPr>
              <w:t>自基金合同生效起至今</w:t>
            </w:r>
          </w:p>
        </w:tc>
        <w:tc>
          <w:tcPr>
            <w:tcW w:w="1291" w:type="dxa"/>
            <w:vAlign w:val="center"/>
          </w:tcPr>
          <w:p w:rsidR="00636809" w:rsidRDefault="00636809" w:rsidP="00636809">
            <w:pPr>
              <w:jc w:val="right"/>
            </w:pPr>
            <w:r>
              <w:rPr>
                <w:rFonts w:eastAsiaTheme="minorEastAsia"/>
                <w:color w:val="000000" w:themeColor="text1"/>
                <w:szCs w:val="21"/>
              </w:rPr>
              <w:t>-6.10%</w:t>
            </w:r>
          </w:p>
        </w:tc>
        <w:tc>
          <w:tcPr>
            <w:tcW w:w="1291" w:type="dxa"/>
            <w:vAlign w:val="center"/>
          </w:tcPr>
          <w:p w:rsidR="00636809" w:rsidRDefault="00636809" w:rsidP="00636809">
            <w:pPr>
              <w:jc w:val="right"/>
            </w:pPr>
            <w:r>
              <w:rPr>
                <w:rFonts w:eastAsiaTheme="minorEastAsia"/>
                <w:color w:val="000000" w:themeColor="text1"/>
                <w:szCs w:val="21"/>
              </w:rPr>
              <w:t>0.56%</w:t>
            </w:r>
          </w:p>
        </w:tc>
        <w:tc>
          <w:tcPr>
            <w:tcW w:w="1291" w:type="dxa"/>
            <w:vAlign w:val="center"/>
          </w:tcPr>
          <w:p w:rsidR="00636809" w:rsidRDefault="00636809" w:rsidP="00636809">
            <w:pPr>
              <w:jc w:val="right"/>
            </w:pPr>
            <w:r>
              <w:rPr>
                <w:rFonts w:eastAsiaTheme="minorEastAsia"/>
                <w:color w:val="000000" w:themeColor="text1"/>
                <w:szCs w:val="21"/>
              </w:rPr>
              <w:t>-0.23%</w:t>
            </w:r>
          </w:p>
        </w:tc>
        <w:tc>
          <w:tcPr>
            <w:tcW w:w="1291" w:type="dxa"/>
            <w:vAlign w:val="center"/>
          </w:tcPr>
          <w:p w:rsidR="00636809" w:rsidRDefault="00636809" w:rsidP="00636809">
            <w:pPr>
              <w:jc w:val="right"/>
            </w:pPr>
            <w:r>
              <w:rPr>
                <w:rFonts w:eastAsiaTheme="minorEastAsia"/>
                <w:color w:val="000000" w:themeColor="text1"/>
                <w:szCs w:val="21"/>
              </w:rPr>
              <w:t>0.44%</w:t>
            </w:r>
          </w:p>
        </w:tc>
        <w:tc>
          <w:tcPr>
            <w:tcW w:w="1291" w:type="dxa"/>
            <w:vAlign w:val="center"/>
          </w:tcPr>
          <w:p w:rsidR="00636809" w:rsidRDefault="00636809" w:rsidP="00636809">
            <w:pPr>
              <w:jc w:val="right"/>
            </w:pPr>
            <w:r>
              <w:rPr>
                <w:rFonts w:eastAsiaTheme="minorEastAsia"/>
                <w:color w:val="000000" w:themeColor="text1"/>
                <w:szCs w:val="21"/>
              </w:rPr>
              <w:t>-5.87%</w:t>
            </w:r>
          </w:p>
        </w:tc>
        <w:tc>
          <w:tcPr>
            <w:tcW w:w="1291" w:type="dxa"/>
            <w:vAlign w:val="center"/>
          </w:tcPr>
          <w:p w:rsidR="00636809" w:rsidRDefault="00636809" w:rsidP="00636809">
            <w:pPr>
              <w:jc w:val="right"/>
            </w:pPr>
            <w:r>
              <w:rPr>
                <w:rFonts w:eastAsiaTheme="minorEastAsia"/>
                <w:color w:val="000000" w:themeColor="text1"/>
                <w:szCs w:val="21"/>
              </w:rPr>
              <w:t>0.12%</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摩根锦程均衡养老目标三年持有期混合型基金中基金</w:t>
      </w:r>
      <w:r w:rsidRPr="00B27A29">
        <w:rPr>
          <w:rFonts w:eastAsiaTheme="minorEastAsia"/>
          <w:color w:val="000000" w:themeColor="text1"/>
          <w:szCs w:val="21"/>
        </w:rPr>
        <w:t>(FOF)</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(2019</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．摩根锦程均衡养老三年持有混合</w:t>
      </w:r>
      <w:r w:rsidRPr="00B27A29">
        <w:rPr>
          <w:rFonts w:eastAsiaTheme="minorEastAsia"/>
          <w:color w:val="000000" w:themeColor="text1"/>
          <w:szCs w:val="21"/>
        </w:rPr>
        <w:t>(FOF)A</w:t>
      </w:r>
      <w:r w:rsidRPr="00B27A29">
        <w:rPr>
          <w:rFonts w:eastAsiaTheme="minorEastAsia"/>
          <w:color w:val="000000" w:themeColor="text1"/>
          <w:szCs w:val="21"/>
        </w:rPr>
        <w:t>：</w:t>
      </w:r>
    </w:p>
    <w:p w:rsidR="005E6DF3" w:rsidRPr="00B27A29" w:rsidRDefault="005E6DF3">
      <w:pPr>
        <w:pStyle w:val="20"/>
        <w:spacing w:line="288" w:lineRule="auto"/>
        <w:ind w:firstLineChars="0" w:firstLine="0"/>
        <w:jc w:val="center"/>
        <w:rPr>
          <w:rFonts w:ascii="Times New Roman" w:eastAsiaTheme="minorEastAsia" w:hAnsi="Times New Roman"/>
          <w:color w:val="000000" w:themeColor="text1"/>
          <w:sz w:val="21"/>
          <w:szCs w:val="21"/>
        </w:rPr>
      </w:pPr>
    </w:p>
    <w:p w:rsidR="00636809" w:rsidRDefault="00636809">
      <w:pPr>
        <w:spacing w:line="360" w:lineRule="auto"/>
        <w:ind w:firstLineChars="200" w:firstLine="420"/>
        <w:rPr>
          <w:rFonts w:eastAsiaTheme="minorEastAsia"/>
          <w:color w:val="000000" w:themeColor="text1"/>
          <w:szCs w:val="21"/>
        </w:rPr>
      </w:pPr>
      <w:r w:rsidRPr="00B27A29">
        <w:rPr>
          <w:rFonts w:eastAsiaTheme="minorEastAsia"/>
          <w:noProof/>
          <w:color w:val="000000" w:themeColor="text1"/>
          <w:szCs w:val="21"/>
        </w:rPr>
        <w:drawing>
          <wp:inline distT="0" distB="0" distL="0" distR="0" wp14:anchorId="1225B112" wp14:editId="4B06AA66">
            <wp:extent cx="5591175" cy="3276600"/>
            <wp:effectExtent l="0" t="0" r="0" b="0"/>
            <wp:docPr id="4" name="图片 4"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4E27AE" w:rsidRDefault="00360B1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．摩根锦程均衡养老三年持有混合</w:t>
      </w:r>
      <w:r w:rsidRPr="00B27A29">
        <w:rPr>
          <w:rFonts w:eastAsiaTheme="minorEastAsia"/>
          <w:color w:val="000000" w:themeColor="text1"/>
          <w:szCs w:val="21"/>
        </w:rPr>
        <w:t>(FOF)Y</w:t>
      </w:r>
      <w:r w:rsidRPr="00B27A29">
        <w:rPr>
          <w:rFonts w:eastAsiaTheme="minorEastAsia"/>
          <w:color w:val="000000" w:themeColor="text1"/>
          <w:szCs w:val="21"/>
        </w:rPr>
        <w:t>：</w:t>
      </w:r>
    </w:p>
    <w:p w:rsidR="005E6DF3" w:rsidRPr="00B27A29" w:rsidRDefault="005E6DF3">
      <w:pPr>
        <w:pStyle w:val="20"/>
        <w:spacing w:line="288" w:lineRule="auto"/>
        <w:ind w:firstLineChars="0" w:firstLine="0"/>
        <w:jc w:val="center"/>
        <w:rPr>
          <w:rFonts w:ascii="Times New Roman" w:eastAsiaTheme="minorEastAsia" w:hAnsi="Times New Roman"/>
          <w:color w:val="000000" w:themeColor="text1"/>
          <w:sz w:val="21"/>
          <w:szCs w:val="21"/>
        </w:rPr>
      </w:pPr>
    </w:p>
    <w:p w:rsidR="00636809" w:rsidRDefault="00636809">
      <w:pPr>
        <w:spacing w:line="360" w:lineRule="auto"/>
        <w:ind w:firstLineChars="200" w:firstLine="420"/>
        <w:rPr>
          <w:rFonts w:eastAsiaTheme="minorEastAsia"/>
          <w:color w:val="000000" w:themeColor="text1"/>
          <w:szCs w:val="21"/>
        </w:rPr>
      </w:pPr>
      <w:r w:rsidRPr="00B27A29">
        <w:rPr>
          <w:rFonts w:eastAsiaTheme="minorEastAsia"/>
          <w:noProof/>
          <w:color w:val="000000" w:themeColor="text1"/>
          <w:szCs w:val="21"/>
        </w:rPr>
        <w:drawing>
          <wp:inline distT="0" distB="0" distL="0" distR="0" wp14:anchorId="4A2DD35C" wp14:editId="5B125187">
            <wp:extent cx="5591175" cy="3276600"/>
            <wp:effectExtent l="0" t="0" r="0" b="0"/>
            <wp:docPr id="5" name="图片 5"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4E27AE" w:rsidRDefault="00360B1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17</w:t>
      </w:r>
      <w:r>
        <w:rPr>
          <w:rFonts w:eastAsiaTheme="minorEastAsia"/>
          <w:color w:val="000000" w:themeColor="text1"/>
          <w:szCs w:val="21"/>
        </w:rPr>
        <w:t>日起增加</w:t>
      </w:r>
      <w:r>
        <w:rPr>
          <w:rFonts w:eastAsiaTheme="minorEastAsia"/>
          <w:color w:val="000000" w:themeColor="text1"/>
          <w:szCs w:val="21"/>
        </w:rPr>
        <w:t>Y</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4E27AE">
        <w:tc>
          <w:tcPr>
            <w:tcW w:w="952" w:type="dxa"/>
            <w:vAlign w:val="center"/>
          </w:tcPr>
          <w:p w:rsidR="004E27AE" w:rsidRDefault="00360B15">
            <w:pPr>
              <w:jc w:val="center"/>
            </w:pPr>
            <w:r>
              <w:rPr>
                <w:rFonts w:eastAsiaTheme="minorEastAsia"/>
                <w:color w:val="000000" w:themeColor="text1"/>
                <w:szCs w:val="21"/>
              </w:rPr>
              <w:t>杜习杰</w:t>
            </w:r>
          </w:p>
        </w:tc>
        <w:tc>
          <w:tcPr>
            <w:tcW w:w="930" w:type="dxa"/>
            <w:vAlign w:val="center"/>
          </w:tcPr>
          <w:p w:rsidR="004E27AE" w:rsidRDefault="00360B15">
            <w:pPr>
              <w:jc w:val="center"/>
            </w:pPr>
            <w:r>
              <w:rPr>
                <w:rFonts w:eastAsiaTheme="minorEastAsia"/>
                <w:color w:val="000000" w:themeColor="text1"/>
                <w:szCs w:val="21"/>
              </w:rPr>
              <w:t>本基金基金经理</w:t>
            </w:r>
          </w:p>
        </w:tc>
        <w:tc>
          <w:tcPr>
            <w:tcW w:w="1210" w:type="dxa"/>
            <w:vAlign w:val="center"/>
          </w:tcPr>
          <w:p w:rsidR="004E27AE" w:rsidRDefault="00360B15">
            <w:pPr>
              <w:jc w:val="center"/>
            </w:pPr>
            <w:r>
              <w:rPr>
                <w:rFonts w:eastAsiaTheme="minorEastAsia"/>
                <w:color w:val="000000" w:themeColor="text1"/>
                <w:szCs w:val="21"/>
              </w:rPr>
              <w:t>2019-09-02</w:t>
            </w:r>
          </w:p>
        </w:tc>
        <w:tc>
          <w:tcPr>
            <w:tcW w:w="1309" w:type="dxa"/>
            <w:vAlign w:val="center"/>
          </w:tcPr>
          <w:p w:rsidR="004E27AE" w:rsidRDefault="00360B15">
            <w:pPr>
              <w:jc w:val="center"/>
            </w:pPr>
            <w:r>
              <w:rPr>
                <w:rFonts w:eastAsiaTheme="minorEastAsia"/>
                <w:color w:val="000000" w:themeColor="text1"/>
                <w:szCs w:val="21"/>
              </w:rPr>
              <w:t>-</w:t>
            </w:r>
          </w:p>
        </w:tc>
        <w:tc>
          <w:tcPr>
            <w:tcW w:w="1254" w:type="dxa"/>
            <w:vAlign w:val="center"/>
          </w:tcPr>
          <w:p w:rsidR="004E27AE" w:rsidRDefault="00360B15">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4E27AE" w:rsidRDefault="00360B15">
            <w:r>
              <w:rPr>
                <w:rFonts w:eastAsiaTheme="minorEastAsia"/>
                <w:color w:val="000000" w:themeColor="text1"/>
                <w:szCs w:val="21"/>
              </w:rPr>
              <w:t>杜习杰先生曾任长信基金任研究员。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月起加入摩根基金管理（中国）有限公司（原上投摩根基金管理有限公司），历任研究员、投资经理兼研究员，现任组合基金投资部基金经理。</w:t>
            </w:r>
          </w:p>
        </w:tc>
      </w:tr>
      <w:tr w:rsidR="004E27AE">
        <w:tc>
          <w:tcPr>
            <w:tcW w:w="952" w:type="dxa"/>
            <w:vAlign w:val="center"/>
          </w:tcPr>
          <w:p w:rsidR="004E27AE" w:rsidRDefault="00360B15">
            <w:pPr>
              <w:jc w:val="center"/>
            </w:pPr>
            <w:r>
              <w:rPr>
                <w:rFonts w:eastAsiaTheme="minorEastAsia"/>
                <w:color w:val="000000" w:themeColor="text1"/>
                <w:szCs w:val="21"/>
              </w:rPr>
              <w:t>吴春杰</w:t>
            </w:r>
          </w:p>
        </w:tc>
        <w:tc>
          <w:tcPr>
            <w:tcW w:w="930" w:type="dxa"/>
            <w:vAlign w:val="center"/>
          </w:tcPr>
          <w:p w:rsidR="004E27AE" w:rsidRDefault="00360B15">
            <w:pPr>
              <w:jc w:val="center"/>
            </w:pPr>
            <w:r>
              <w:rPr>
                <w:rFonts w:eastAsiaTheme="minorEastAsia"/>
                <w:color w:val="000000" w:themeColor="text1"/>
                <w:szCs w:val="21"/>
              </w:rPr>
              <w:t>本基金基金经理</w:t>
            </w:r>
          </w:p>
        </w:tc>
        <w:tc>
          <w:tcPr>
            <w:tcW w:w="1210" w:type="dxa"/>
            <w:vAlign w:val="center"/>
          </w:tcPr>
          <w:p w:rsidR="004E27AE" w:rsidRDefault="00360B15">
            <w:pPr>
              <w:jc w:val="center"/>
            </w:pPr>
            <w:r>
              <w:rPr>
                <w:rFonts w:eastAsiaTheme="minorEastAsia"/>
                <w:color w:val="000000" w:themeColor="text1"/>
                <w:szCs w:val="21"/>
              </w:rPr>
              <w:t>2022-11-18</w:t>
            </w:r>
          </w:p>
        </w:tc>
        <w:tc>
          <w:tcPr>
            <w:tcW w:w="1309" w:type="dxa"/>
            <w:vAlign w:val="center"/>
          </w:tcPr>
          <w:p w:rsidR="004E27AE" w:rsidRDefault="00360B15">
            <w:pPr>
              <w:jc w:val="center"/>
            </w:pPr>
            <w:r>
              <w:rPr>
                <w:rFonts w:eastAsiaTheme="minorEastAsia"/>
                <w:color w:val="000000" w:themeColor="text1"/>
                <w:szCs w:val="21"/>
              </w:rPr>
              <w:t>-</w:t>
            </w:r>
          </w:p>
        </w:tc>
        <w:tc>
          <w:tcPr>
            <w:tcW w:w="1254" w:type="dxa"/>
            <w:vAlign w:val="center"/>
          </w:tcPr>
          <w:p w:rsidR="004E27AE" w:rsidRDefault="00360B15">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4E27AE" w:rsidRDefault="00360B15">
            <w:r>
              <w:rPr>
                <w:rFonts w:eastAsiaTheme="minorEastAsia"/>
                <w:color w:val="000000" w:themeColor="text1"/>
                <w:szCs w:val="21"/>
              </w:rPr>
              <w:t>吴春杰女士曾任长江证券股份有限公司宏观策略分析师，中国太平洋人寿保险有限公司资产配置中心配置策略经理，上海景熙资产管理有限公司投资经理</w:t>
            </w:r>
            <w:r>
              <w:rPr>
                <w:rFonts w:eastAsiaTheme="minorEastAsia"/>
                <w:color w:val="000000" w:themeColor="text1"/>
                <w:szCs w:val="21"/>
              </w:rPr>
              <w:t>/</w:t>
            </w:r>
            <w:r>
              <w:rPr>
                <w:rFonts w:eastAsiaTheme="minorEastAsia"/>
                <w:color w:val="000000" w:themeColor="text1"/>
                <w:szCs w:val="21"/>
              </w:rPr>
              <w:t>宏观策略研究。</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月加入摩根基金管理（中国）有限公司（原上投摩根基金管理有限公司），历任宏观研究员，现任高级基金经理。</w:t>
            </w:r>
          </w:p>
        </w:tc>
      </w:tr>
    </w:tbl>
    <w:p w:rsidR="004E27AE" w:rsidRDefault="00360B1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4E27AE" w:rsidRDefault="00360B1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杜习杰先生为本基金首任基金经理，其任职日期指本基金基金合同生效之日。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lastRenderedPageBreak/>
        <w:t xml:space="preserve">4.3.1 </w:t>
      </w:r>
      <w:r w:rsidRPr="00B27A29">
        <w:rPr>
          <w:rFonts w:eastAsiaTheme="minorEastAsia"/>
          <w:color w:val="000000" w:themeColor="text1"/>
          <w:szCs w:val="21"/>
        </w:rPr>
        <w:t>公平交易制度的执行情况</w:t>
      </w:r>
    </w:p>
    <w:p w:rsidR="004E27AE" w:rsidRDefault="00360B1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4E27AE" w:rsidRDefault="00360B1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4E27AE" w:rsidRDefault="00360B1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4E27AE" w:rsidRDefault="00360B15">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w:t>
      </w:r>
      <w:r>
        <w:rPr>
          <w:rFonts w:eastAsiaTheme="minorEastAsia"/>
          <w:color w:val="000000" w:themeColor="text1"/>
          <w:szCs w:val="21"/>
        </w:rPr>
        <w:t>2024</w:t>
      </w:r>
      <w:r>
        <w:rPr>
          <w:rFonts w:eastAsiaTheme="minorEastAsia"/>
          <w:color w:val="000000" w:themeColor="text1"/>
          <w:szCs w:val="21"/>
        </w:rPr>
        <w:t>年一季度，国内权益市场经历了较大的波动。一季度为经济数据相对空窗的阶段，叠加春节错位使得经济数据受基数的影响较大，因此，相较经济基本面而言，流动性与情绪成为放大价格波动主要因素。进入</w:t>
      </w:r>
      <w:r>
        <w:rPr>
          <w:rFonts w:eastAsiaTheme="minorEastAsia"/>
          <w:color w:val="000000" w:themeColor="text1"/>
          <w:szCs w:val="21"/>
        </w:rPr>
        <w:t>2</w:t>
      </w:r>
      <w:r>
        <w:rPr>
          <w:rFonts w:eastAsiaTheme="minorEastAsia"/>
          <w:color w:val="000000" w:themeColor="text1"/>
          <w:szCs w:val="21"/>
        </w:rPr>
        <w:t>月份，多项政策呵护下，市场流动性逐步恢复，前期调整幅度较大的高贝塔行业反弹居前，主要指数亦在一季度小幅收涨。两会期间，央行表示后续在降准上仍有空间，国内债券收益率在一季度整体下行，</w:t>
      </w:r>
      <w:r>
        <w:rPr>
          <w:rFonts w:eastAsiaTheme="minorEastAsia"/>
          <w:color w:val="000000" w:themeColor="text1"/>
          <w:szCs w:val="21"/>
        </w:rPr>
        <w:t>10</w:t>
      </w:r>
      <w:r>
        <w:rPr>
          <w:rFonts w:eastAsiaTheme="minorEastAsia"/>
          <w:color w:val="000000" w:themeColor="text1"/>
          <w:szCs w:val="21"/>
        </w:rPr>
        <w:t>年国债收益率降至</w:t>
      </w:r>
      <w:r>
        <w:rPr>
          <w:rFonts w:eastAsiaTheme="minorEastAsia"/>
          <w:color w:val="000000" w:themeColor="text1"/>
          <w:szCs w:val="21"/>
        </w:rPr>
        <w:t>2.29%</w:t>
      </w:r>
      <w:r>
        <w:rPr>
          <w:rFonts w:eastAsiaTheme="minorEastAsia"/>
          <w:color w:val="000000" w:themeColor="text1"/>
          <w:szCs w:val="21"/>
        </w:rPr>
        <w:t>。</w:t>
      </w:r>
    </w:p>
    <w:p w:rsidR="004E27AE" w:rsidRDefault="00360B15">
      <w:pPr>
        <w:spacing w:line="360" w:lineRule="auto"/>
        <w:ind w:firstLineChars="200" w:firstLine="420"/>
        <w:rPr>
          <w:rFonts w:eastAsiaTheme="minorEastAsia"/>
          <w:color w:val="000000" w:themeColor="text1"/>
          <w:szCs w:val="21"/>
        </w:rPr>
      </w:pPr>
      <w:r>
        <w:rPr>
          <w:rFonts w:eastAsiaTheme="minorEastAsia"/>
          <w:color w:val="000000" w:themeColor="text1"/>
          <w:szCs w:val="21"/>
        </w:rPr>
        <w:t>海外方面，美国经济韧性强于预期，美股在一季度表现较好。美债收益率反弹至</w:t>
      </w:r>
      <w:r>
        <w:rPr>
          <w:rFonts w:eastAsiaTheme="minorEastAsia"/>
          <w:color w:val="000000" w:themeColor="text1"/>
          <w:szCs w:val="21"/>
        </w:rPr>
        <w:t>4.2%</w:t>
      </w:r>
      <w:r>
        <w:rPr>
          <w:rFonts w:eastAsiaTheme="minorEastAsia"/>
          <w:color w:val="000000" w:themeColor="text1"/>
          <w:szCs w:val="21"/>
        </w:rPr>
        <w:t>左右，</w:t>
      </w:r>
      <w:r>
        <w:rPr>
          <w:rFonts w:eastAsiaTheme="minorEastAsia"/>
          <w:color w:val="000000" w:themeColor="text1"/>
          <w:szCs w:val="21"/>
        </w:rPr>
        <w:t>2</w:t>
      </w:r>
      <w:r>
        <w:rPr>
          <w:rFonts w:eastAsiaTheme="minorEastAsia"/>
          <w:color w:val="000000" w:themeColor="text1"/>
          <w:szCs w:val="21"/>
        </w:rPr>
        <w:t>月通胀数据高于预期，对通胀顽固性的担忧有所上升。</w:t>
      </w:r>
      <w:r>
        <w:rPr>
          <w:rFonts w:eastAsiaTheme="minorEastAsia"/>
          <w:color w:val="000000" w:themeColor="text1"/>
          <w:szCs w:val="21"/>
        </w:rPr>
        <w:t xml:space="preserve">   </w:t>
      </w:r>
    </w:p>
    <w:p w:rsidR="004E27AE" w:rsidRDefault="00360B15">
      <w:pPr>
        <w:spacing w:line="360" w:lineRule="auto"/>
        <w:ind w:firstLineChars="200" w:firstLine="420"/>
        <w:rPr>
          <w:rFonts w:eastAsiaTheme="minorEastAsia"/>
          <w:color w:val="000000" w:themeColor="text1"/>
          <w:szCs w:val="21"/>
        </w:rPr>
      </w:pPr>
      <w:r>
        <w:rPr>
          <w:rFonts w:eastAsiaTheme="minorEastAsia"/>
          <w:color w:val="000000" w:themeColor="text1"/>
          <w:szCs w:val="21"/>
        </w:rPr>
        <w:t>前期总量政策的积极调整为</w:t>
      </w:r>
      <w:r>
        <w:rPr>
          <w:rFonts w:eastAsiaTheme="minorEastAsia"/>
          <w:color w:val="000000" w:themeColor="text1"/>
          <w:szCs w:val="21"/>
        </w:rPr>
        <w:t>2024</w:t>
      </w:r>
      <w:r>
        <w:rPr>
          <w:rFonts w:eastAsiaTheme="minorEastAsia"/>
          <w:color w:val="000000" w:themeColor="text1"/>
          <w:szCs w:val="21"/>
        </w:rPr>
        <w:t>年经济增长的修复积蓄了动能。两会制定的主要经济目标符合市场预期，就业目标高于往年体现对年内经济稳定运行的诉求，对新质生产力的强调也体现了</w:t>
      </w:r>
      <w:r>
        <w:rPr>
          <w:rFonts w:eastAsiaTheme="minorEastAsia"/>
          <w:color w:val="000000" w:themeColor="text1"/>
          <w:szCs w:val="21"/>
        </w:rPr>
        <w:lastRenderedPageBreak/>
        <w:t>中长期目标中对经济质量提升的关注。结构上，过去两年承压的传统行业面临的环境趋于改善；适应国内需求变化的科技创新、消费服务等领域在政策支持下也有望迎来较好的增长。同时，外需对出口的拉动也在逐步改善。整体供需格局的平衡，也将有利于价格从偏弱的预期中恢复，进而反映在企业的盈利水平的提升上。</w:t>
      </w:r>
    </w:p>
    <w:p w:rsidR="004E27AE" w:rsidRDefault="00360B1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国内权益来讲，维持相对看好。当前历史绝对估值分位、相对债券资产的估值均处在较高吸引力的水平，具备长期配置价值。去年底以来，企业盈利预期指标有所企稳，并有望逐步修复。一季度市场资金流波动较大，近期以恢复平稳，后续关注市场增量资金流入的稳定性与负债属性。对于国内债券来讲，托底经济增长的政策在发力中，内外利差仍为负值，相对</w:t>
      </w:r>
      <w:r>
        <w:rPr>
          <w:rFonts w:eastAsiaTheme="minorEastAsia"/>
          <w:color w:val="000000" w:themeColor="text1"/>
          <w:szCs w:val="21"/>
        </w:rPr>
        <w:t>A</w:t>
      </w:r>
      <w:r>
        <w:rPr>
          <w:rFonts w:eastAsiaTheme="minorEastAsia"/>
          <w:color w:val="000000" w:themeColor="text1"/>
          <w:szCs w:val="21"/>
        </w:rPr>
        <w:t>股配置价值处在偏低的位置。但考虑到当前处在地方政府化债进程中、实际利率高位下，货币政策仍有进一步宽松的空间，国内债券的下行风险相对可控。同时，需关注二季度政府债券发行节奏的阶段性影响。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海外方面，市场预期美国经济软着陆，尽管短期通胀回落有所曲折，但美联储维持年内降息的前瞻指引。如随年内降息落地，美债在货币政策宽松周期中将受益，收益率下行也有利于美股估值的维持。对于港股，来自国内经济基本面、海外高利率环境的压力均有望逐步缓和。</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636809" w:rsidRDefault="00636809" w:rsidP="0063680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本报告期摩根锦程均衡养老三年</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:-1.32%</w:t>
      </w:r>
      <w:r>
        <w:rPr>
          <w:rFonts w:eastAsiaTheme="minorEastAsia"/>
          <w:color w:val="000000" w:themeColor="text1"/>
          <w:szCs w:val="21"/>
        </w:rPr>
        <w:t>，同期业绩比较基准收益率为</w:t>
      </w:r>
      <w:r>
        <w:rPr>
          <w:rFonts w:eastAsiaTheme="minorEastAsia"/>
          <w:color w:val="000000" w:themeColor="text1"/>
          <w:szCs w:val="21"/>
        </w:rPr>
        <w:t>:1.95%</w:t>
      </w:r>
    </w:p>
    <w:p w:rsidR="005E6DF3" w:rsidRPr="00B27A29" w:rsidRDefault="00636809">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摩根锦程均衡养老三年</w:t>
      </w:r>
      <w:r w:rsidRPr="00B27A29">
        <w:rPr>
          <w:rFonts w:eastAsiaTheme="minorEastAsia"/>
          <w:color w:val="000000" w:themeColor="text1"/>
          <w:szCs w:val="21"/>
        </w:rPr>
        <w:t>Y</w:t>
      </w:r>
      <w:r w:rsidRPr="00B27A29">
        <w:rPr>
          <w:rFonts w:eastAsiaTheme="minorEastAsia"/>
          <w:color w:val="000000" w:themeColor="text1"/>
          <w:szCs w:val="21"/>
        </w:rPr>
        <w:t>份额净值增长率为</w:t>
      </w:r>
      <w:r w:rsidRPr="00B27A29">
        <w:rPr>
          <w:rFonts w:eastAsiaTheme="minorEastAsia"/>
          <w:color w:val="000000" w:themeColor="text1"/>
          <w:szCs w:val="21"/>
        </w:rPr>
        <w:t>:-1.24%</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:1.95%</w:t>
      </w:r>
      <w:r w:rsidRPr="00B27A29">
        <w:rPr>
          <w:rFonts w:eastAsiaTheme="minorEastAsia"/>
          <w:color w:val="000000" w:themeColor="text1"/>
          <w:szCs w:val="21"/>
        </w:rPr>
        <w:t>。</w:t>
      </w: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2824"/>
        <w:gridCol w:w="2552"/>
        <w:gridCol w:w="2801"/>
      </w:tblGrid>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序号</w:t>
            </w:r>
          </w:p>
        </w:tc>
        <w:tc>
          <w:tcPr>
            <w:tcW w:w="2824"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项目</w:t>
            </w:r>
          </w:p>
        </w:tc>
        <w:tc>
          <w:tcPr>
            <w:tcW w:w="2552"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金额</w:t>
            </w:r>
            <w:r w:rsidRPr="007B5F21">
              <w:rPr>
                <w:rFonts w:eastAsiaTheme="minorEastAsia"/>
                <w:color w:val="000000" w:themeColor="text1"/>
                <w:sz w:val="24"/>
              </w:rPr>
              <w:t>(</w:t>
            </w:r>
            <w:r w:rsidRPr="007B5F21">
              <w:rPr>
                <w:rFonts w:eastAsiaTheme="minorEastAsia"/>
                <w:color w:val="000000" w:themeColor="text1"/>
                <w:sz w:val="24"/>
              </w:rPr>
              <w:t>元</w:t>
            </w: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占基金总资产的比例</w:t>
            </w: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1</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权益投资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其中：股票</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2</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ascii="宋体" w:hAnsi="宋体" w:hint="eastAsia"/>
                <w:sz w:val="24"/>
              </w:rPr>
              <w:t>基金投资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106,533,222.42</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89.50</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3</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固定收益投资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4,965,445.21</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4.17</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其中：债券</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4,965,445.21</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4.17</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autoSpaceDE w:val="0"/>
              <w:autoSpaceDN w:val="0"/>
              <w:adjustRightInd w:val="0"/>
              <w:spacing w:before="29" w:line="360" w:lineRule="auto"/>
              <w:ind w:left="17" w:firstLineChars="300" w:firstLine="720"/>
              <w:jc w:val="left"/>
              <w:rPr>
                <w:rFonts w:eastAsiaTheme="minorEastAsia"/>
                <w:color w:val="000000" w:themeColor="text1"/>
                <w:sz w:val="24"/>
              </w:rPr>
            </w:pPr>
            <w:r w:rsidRPr="007B5F21">
              <w:rPr>
                <w:rFonts w:eastAsiaTheme="minorEastAsia"/>
                <w:color w:val="000000" w:themeColor="text1"/>
                <w:sz w:val="24"/>
              </w:rPr>
              <w:t>资产支持证券</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4</w:t>
            </w:r>
          </w:p>
        </w:tc>
        <w:tc>
          <w:tcPr>
            <w:tcW w:w="2824" w:type="dxa"/>
            <w:vAlign w:val="center"/>
          </w:tcPr>
          <w:p w:rsidR="006336AE" w:rsidRPr="007B5F21" w:rsidRDefault="006336AE" w:rsidP="00342FE7">
            <w:pPr>
              <w:spacing w:before="29" w:line="360" w:lineRule="auto"/>
              <w:ind w:leftChars="50" w:left="105"/>
              <w:rPr>
                <w:rFonts w:eastAsiaTheme="minorEastAsia"/>
                <w:color w:val="000000" w:themeColor="text1"/>
                <w:sz w:val="24"/>
              </w:rPr>
            </w:pPr>
            <w:r w:rsidRPr="007B5F21">
              <w:rPr>
                <w:rFonts w:eastAsiaTheme="minorEastAsia"/>
                <w:color w:val="000000" w:themeColor="text1"/>
                <w:sz w:val="24"/>
              </w:rPr>
              <w:t>贵金属投资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5</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金融衍生品投资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6</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买入返售金融资产</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其中：买断式回购的买入返售金融资产</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7</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银行存款和结算备付金合计</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2,392,264.91</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2.01</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8</w:t>
            </w:r>
          </w:p>
        </w:tc>
        <w:tc>
          <w:tcPr>
            <w:tcW w:w="2824" w:type="dxa"/>
            <w:vAlign w:val="center"/>
          </w:tcPr>
          <w:p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其他各项资产</w:t>
            </w:r>
          </w:p>
        </w:tc>
        <w:tc>
          <w:tcPr>
            <w:tcW w:w="2552"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5,141,088.20</w:t>
            </w:r>
          </w:p>
        </w:tc>
        <w:tc>
          <w:tcPr>
            <w:tcW w:w="2801"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4.32</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9</w:t>
            </w:r>
          </w:p>
        </w:tc>
        <w:tc>
          <w:tcPr>
            <w:tcW w:w="2824" w:type="dxa"/>
            <w:vAlign w:val="center"/>
          </w:tcPr>
          <w:p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合计</w:t>
            </w:r>
          </w:p>
        </w:tc>
        <w:tc>
          <w:tcPr>
            <w:tcW w:w="2552"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119,032,020.74</w:t>
            </w:r>
          </w:p>
        </w:tc>
        <w:tc>
          <w:tcPr>
            <w:tcW w:w="2801"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100.00</w:t>
            </w:r>
          </w:p>
        </w:tc>
      </w:tr>
    </w:tbl>
    <w:p w:rsidR="006336AE" w:rsidRPr="006336AE" w:rsidRDefault="006336AE">
      <w:pPr>
        <w:autoSpaceDE w:val="0"/>
        <w:autoSpaceDN w:val="0"/>
        <w:adjustRightInd w:val="0"/>
        <w:spacing w:line="360" w:lineRule="auto"/>
        <w:jc w:val="left"/>
        <w:rPr>
          <w:rFonts w:eastAsiaTheme="minorEastAsia"/>
          <w:b/>
          <w:color w:val="000000" w:themeColor="text1"/>
          <w:kern w:val="0"/>
          <w:szCs w:val="21"/>
        </w:rPr>
      </w:pP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4,965,445.21</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4.22</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4,965,445.21</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4E27AE">
        <w:tc>
          <w:tcPr>
            <w:tcW w:w="1504" w:type="dxa"/>
            <w:vAlign w:val="center"/>
          </w:tcPr>
          <w:p w:rsidR="004E27AE" w:rsidRDefault="00360B15">
            <w:pPr>
              <w:jc w:val="center"/>
            </w:pPr>
            <w:r>
              <w:rPr>
                <w:rFonts w:eastAsiaTheme="minorEastAsia"/>
                <w:color w:val="000000" w:themeColor="text1"/>
                <w:szCs w:val="21"/>
              </w:rPr>
              <w:t>1</w:t>
            </w:r>
          </w:p>
        </w:tc>
        <w:tc>
          <w:tcPr>
            <w:tcW w:w="1504" w:type="dxa"/>
            <w:vAlign w:val="center"/>
          </w:tcPr>
          <w:p w:rsidR="004E27AE" w:rsidRDefault="00360B15">
            <w:pPr>
              <w:jc w:val="center"/>
            </w:pPr>
            <w:r>
              <w:rPr>
                <w:rFonts w:eastAsiaTheme="minorEastAsia"/>
                <w:color w:val="000000" w:themeColor="text1"/>
                <w:szCs w:val="21"/>
              </w:rPr>
              <w:t>019727</w:t>
            </w:r>
          </w:p>
        </w:tc>
        <w:tc>
          <w:tcPr>
            <w:tcW w:w="1504" w:type="dxa"/>
            <w:vAlign w:val="center"/>
          </w:tcPr>
          <w:p w:rsidR="004E27AE" w:rsidRDefault="00360B15">
            <w:pPr>
              <w:jc w:val="center"/>
            </w:pPr>
            <w:r>
              <w:rPr>
                <w:rFonts w:eastAsiaTheme="minorEastAsia"/>
                <w:color w:val="000000" w:themeColor="text1"/>
                <w:szCs w:val="21"/>
              </w:rPr>
              <w:t>23</w:t>
            </w:r>
            <w:r>
              <w:rPr>
                <w:rFonts w:eastAsiaTheme="minorEastAsia"/>
                <w:color w:val="000000" w:themeColor="text1"/>
                <w:szCs w:val="21"/>
              </w:rPr>
              <w:t>国债</w:t>
            </w:r>
            <w:r>
              <w:rPr>
                <w:rFonts w:eastAsiaTheme="minorEastAsia"/>
                <w:color w:val="000000" w:themeColor="text1"/>
                <w:szCs w:val="21"/>
              </w:rPr>
              <w:t>24</w:t>
            </w:r>
          </w:p>
        </w:tc>
        <w:tc>
          <w:tcPr>
            <w:tcW w:w="1503" w:type="dxa"/>
            <w:vAlign w:val="center"/>
          </w:tcPr>
          <w:p w:rsidR="004E27AE" w:rsidRDefault="00360B15">
            <w:pPr>
              <w:jc w:val="right"/>
            </w:pPr>
            <w:r>
              <w:rPr>
                <w:rFonts w:eastAsiaTheme="minorEastAsia"/>
                <w:color w:val="000000" w:themeColor="text1"/>
                <w:szCs w:val="21"/>
              </w:rPr>
              <w:t>49,000</w:t>
            </w:r>
          </w:p>
        </w:tc>
        <w:tc>
          <w:tcPr>
            <w:tcW w:w="1503" w:type="dxa"/>
            <w:vAlign w:val="center"/>
          </w:tcPr>
          <w:p w:rsidR="004E27AE" w:rsidRDefault="00360B15">
            <w:pPr>
              <w:jc w:val="right"/>
            </w:pPr>
            <w:r>
              <w:rPr>
                <w:rFonts w:eastAsiaTheme="minorEastAsia"/>
                <w:color w:val="000000" w:themeColor="text1"/>
                <w:szCs w:val="21"/>
              </w:rPr>
              <w:t>4,965,445.21</w:t>
            </w:r>
          </w:p>
        </w:tc>
        <w:tc>
          <w:tcPr>
            <w:tcW w:w="1503" w:type="dxa"/>
            <w:vAlign w:val="center"/>
          </w:tcPr>
          <w:p w:rsidR="004E27AE" w:rsidRDefault="00360B15">
            <w:pPr>
              <w:jc w:val="right"/>
            </w:pPr>
            <w:r>
              <w:rPr>
                <w:rFonts w:eastAsiaTheme="minorEastAsia"/>
                <w:color w:val="000000" w:themeColor="text1"/>
                <w:szCs w:val="21"/>
              </w:rPr>
              <w:t>4.22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3,878.83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5,002,102.06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0.84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135,095.79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10.68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5,141,088.20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C45886" w:rsidRPr="00414345" w:rsidRDefault="005C671B" w:rsidP="00C45886">
      <w:pPr>
        <w:spacing w:before="29" w:line="288" w:lineRule="auto"/>
        <w:rPr>
          <w:color w:val="000000"/>
          <w:sz w:val="24"/>
        </w:rPr>
      </w:pPr>
      <w:r w:rsidRPr="00B27A29">
        <w:rPr>
          <w:rFonts w:eastAsiaTheme="minorEastAsia"/>
          <w:color w:val="000000" w:themeColor="text1"/>
          <w:szCs w:val="21"/>
        </w:rPr>
        <w:t>因四舍五入原因，投资组合报告中分项之和与合计可能存在尾差。</w:t>
      </w:r>
    </w:p>
    <w:p w:rsidR="00C45886" w:rsidRDefault="00C45886" w:rsidP="00C45886">
      <w:pPr>
        <w:spacing w:before="29" w:line="288" w:lineRule="auto"/>
        <w:ind w:firstLineChars="200" w:firstLine="480"/>
        <w:rPr>
          <w:color w:val="000000"/>
          <w:sz w:val="24"/>
        </w:rPr>
      </w:pPr>
    </w:p>
    <w:p w:rsidR="00C45886" w:rsidRDefault="00C45886" w:rsidP="00C45886">
      <w:pPr>
        <w:spacing w:before="29" w:line="288" w:lineRule="auto"/>
        <w:ind w:firstLineChars="200" w:firstLine="480"/>
        <w:rPr>
          <w:color w:val="000000"/>
          <w:sz w:val="24"/>
        </w:rPr>
      </w:pPr>
    </w:p>
    <w:p w:rsidR="00C45886" w:rsidRPr="00575270" w:rsidRDefault="00C45886" w:rsidP="00C45886">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C45886" w:rsidRPr="00575270" w:rsidRDefault="00C45886" w:rsidP="00C45886">
      <w:pPr>
        <w:adjustRightInd w:val="0"/>
        <w:snapToGrid w:val="0"/>
        <w:spacing w:line="360" w:lineRule="auto"/>
        <w:rPr>
          <w:rFonts w:eastAsiaTheme="minorEastAsia"/>
          <w:b/>
          <w:color w:val="000000" w:themeColor="text1"/>
          <w:kern w:val="0"/>
          <w:sz w:val="24"/>
        </w:rPr>
      </w:pPr>
      <w:r w:rsidRPr="00575270">
        <w:rPr>
          <w:rFonts w:eastAsiaTheme="minorEastAsia"/>
          <w:b/>
          <w:color w:val="000000" w:themeColor="text1"/>
          <w:kern w:val="0"/>
          <w:sz w:val="24"/>
        </w:rPr>
        <w:t>6.1</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报告期末按公允价值占基金资产净值比例大小排序的前十名基金投资明细</w:t>
      </w:r>
    </w:p>
    <w:tbl>
      <w:tblPr>
        <w:tblStyle w:val="afa"/>
        <w:tblW w:w="5000" w:type="pct"/>
        <w:tblLayout w:type="fixed"/>
        <w:tblLook w:val="04A0" w:firstRow="1" w:lastRow="0" w:firstColumn="1" w:lastColumn="0" w:noHBand="0" w:noVBand="1"/>
      </w:tblPr>
      <w:tblGrid>
        <w:gridCol w:w="817"/>
        <w:gridCol w:w="1133"/>
        <w:gridCol w:w="1135"/>
        <w:gridCol w:w="1135"/>
        <w:gridCol w:w="1133"/>
        <w:gridCol w:w="1276"/>
        <w:gridCol w:w="1135"/>
        <w:gridCol w:w="1272"/>
      </w:tblGrid>
      <w:tr w:rsidR="00C45886" w:rsidRPr="00575270" w:rsidTr="00342FE7">
        <w:tc>
          <w:tcPr>
            <w:tcW w:w="452"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p>
        </w:tc>
        <w:tc>
          <w:tcPr>
            <w:tcW w:w="704" w:type="pct"/>
            <w:vAlign w:val="center"/>
          </w:tcPr>
          <w:p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是否属于基金管理人及管理人关联方所管理的基金</w:t>
            </w:r>
          </w:p>
        </w:tc>
      </w:tr>
      <w:tr w:rsidR="004E27AE">
        <w:tc>
          <w:tcPr>
            <w:tcW w:w="817" w:type="dxa"/>
            <w:vAlign w:val="center"/>
          </w:tcPr>
          <w:p w:rsidR="004E27AE" w:rsidRDefault="00360B15">
            <w:pPr>
              <w:jc w:val="center"/>
            </w:pPr>
            <w:r>
              <w:rPr>
                <w:sz w:val="24"/>
              </w:rPr>
              <w:t>1</w:t>
            </w:r>
          </w:p>
        </w:tc>
        <w:tc>
          <w:tcPr>
            <w:tcW w:w="1133" w:type="dxa"/>
            <w:vAlign w:val="center"/>
          </w:tcPr>
          <w:p w:rsidR="004E27AE" w:rsidRDefault="00360B15">
            <w:pPr>
              <w:jc w:val="center"/>
            </w:pPr>
            <w:r>
              <w:rPr>
                <w:sz w:val="24"/>
              </w:rPr>
              <w:t>968050</w:t>
            </w:r>
          </w:p>
        </w:tc>
        <w:tc>
          <w:tcPr>
            <w:tcW w:w="1135" w:type="dxa"/>
            <w:vAlign w:val="center"/>
          </w:tcPr>
          <w:p w:rsidR="004E27AE" w:rsidRDefault="00360B15">
            <w:pPr>
              <w:jc w:val="center"/>
            </w:pPr>
            <w:r>
              <w:rPr>
                <w:sz w:val="24"/>
              </w:rPr>
              <w:t>摩根国际债券人民币对冲累计</w:t>
            </w:r>
          </w:p>
        </w:tc>
        <w:tc>
          <w:tcPr>
            <w:tcW w:w="1135" w:type="dxa"/>
            <w:vAlign w:val="center"/>
          </w:tcPr>
          <w:p w:rsidR="004E27AE" w:rsidRDefault="00360B15">
            <w:pPr>
              <w:jc w:val="center"/>
            </w:pPr>
            <w:r>
              <w:rPr>
                <w:sz w:val="24"/>
              </w:rPr>
              <w:t>契约型开放式</w:t>
            </w:r>
          </w:p>
        </w:tc>
        <w:tc>
          <w:tcPr>
            <w:tcW w:w="1133" w:type="dxa"/>
            <w:vAlign w:val="center"/>
          </w:tcPr>
          <w:p w:rsidR="004E27AE" w:rsidRDefault="00360B15">
            <w:pPr>
              <w:jc w:val="center"/>
            </w:pPr>
            <w:r>
              <w:rPr>
                <w:sz w:val="24"/>
              </w:rPr>
              <w:t>454,016.62</w:t>
            </w:r>
          </w:p>
        </w:tc>
        <w:tc>
          <w:tcPr>
            <w:tcW w:w="1276" w:type="dxa"/>
            <w:vAlign w:val="center"/>
          </w:tcPr>
          <w:p w:rsidR="004E27AE" w:rsidRDefault="00360B15">
            <w:pPr>
              <w:jc w:val="center"/>
            </w:pPr>
            <w:r>
              <w:rPr>
                <w:sz w:val="24"/>
              </w:rPr>
              <w:t>4,817,116.34</w:t>
            </w:r>
          </w:p>
        </w:tc>
        <w:tc>
          <w:tcPr>
            <w:tcW w:w="1135" w:type="dxa"/>
            <w:vAlign w:val="center"/>
          </w:tcPr>
          <w:p w:rsidR="004E27AE" w:rsidRDefault="00360B15">
            <w:pPr>
              <w:jc w:val="center"/>
            </w:pPr>
            <w:r>
              <w:rPr>
                <w:sz w:val="24"/>
              </w:rPr>
              <w:t>4.10%</w:t>
            </w:r>
          </w:p>
        </w:tc>
        <w:tc>
          <w:tcPr>
            <w:tcW w:w="1272" w:type="dxa"/>
            <w:vAlign w:val="center"/>
          </w:tcPr>
          <w:p w:rsidR="004E27AE" w:rsidRDefault="00360B15">
            <w:pPr>
              <w:jc w:val="center"/>
            </w:pPr>
            <w:r>
              <w:rPr>
                <w:sz w:val="24"/>
              </w:rPr>
              <w:t>是</w:t>
            </w:r>
          </w:p>
        </w:tc>
      </w:tr>
      <w:tr w:rsidR="004E27AE">
        <w:tc>
          <w:tcPr>
            <w:tcW w:w="817" w:type="dxa"/>
            <w:vAlign w:val="center"/>
          </w:tcPr>
          <w:p w:rsidR="004E27AE" w:rsidRDefault="00360B15">
            <w:pPr>
              <w:jc w:val="center"/>
            </w:pPr>
            <w:r>
              <w:rPr>
                <w:sz w:val="24"/>
              </w:rPr>
              <w:lastRenderedPageBreak/>
              <w:t>2</w:t>
            </w:r>
          </w:p>
        </w:tc>
        <w:tc>
          <w:tcPr>
            <w:tcW w:w="1133" w:type="dxa"/>
            <w:vAlign w:val="center"/>
          </w:tcPr>
          <w:p w:rsidR="004E27AE" w:rsidRDefault="00360B15">
            <w:pPr>
              <w:jc w:val="center"/>
            </w:pPr>
            <w:r>
              <w:rPr>
                <w:sz w:val="24"/>
              </w:rPr>
              <w:t>003949</w:t>
            </w:r>
          </w:p>
        </w:tc>
        <w:tc>
          <w:tcPr>
            <w:tcW w:w="1135" w:type="dxa"/>
            <w:vAlign w:val="center"/>
          </w:tcPr>
          <w:p w:rsidR="004E27AE" w:rsidRDefault="00360B15">
            <w:pPr>
              <w:jc w:val="center"/>
            </w:pPr>
            <w:r>
              <w:rPr>
                <w:sz w:val="24"/>
              </w:rPr>
              <w:t>兴全稳泰债券</w:t>
            </w:r>
            <w:r>
              <w:rPr>
                <w:sz w:val="24"/>
              </w:rPr>
              <w:t>A</w:t>
            </w:r>
          </w:p>
        </w:tc>
        <w:tc>
          <w:tcPr>
            <w:tcW w:w="1135" w:type="dxa"/>
            <w:vAlign w:val="center"/>
          </w:tcPr>
          <w:p w:rsidR="004E27AE" w:rsidRDefault="00360B15">
            <w:pPr>
              <w:jc w:val="center"/>
            </w:pPr>
            <w:r>
              <w:rPr>
                <w:sz w:val="24"/>
              </w:rPr>
              <w:t>契约型开放式</w:t>
            </w:r>
          </w:p>
        </w:tc>
        <w:tc>
          <w:tcPr>
            <w:tcW w:w="1133" w:type="dxa"/>
            <w:vAlign w:val="center"/>
          </w:tcPr>
          <w:p w:rsidR="004E27AE" w:rsidRDefault="00360B15">
            <w:pPr>
              <w:jc w:val="center"/>
            </w:pPr>
            <w:r>
              <w:rPr>
                <w:sz w:val="24"/>
              </w:rPr>
              <w:t>3,940,881.07</w:t>
            </w:r>
          </w:p>
        </w:tc>
        <w:tc>
          <w:tcPr>
            <w:tcW w:w="1276" w:type="dxa"/>
            <w:vAlign w:val="center"/>
          </w:tcPr>
          <w:p w:rsidR="004E27AE" w:rsidRDefault="00360B15">
            <w:pPr>
              <w:jc w:val="center"/>
            </w:pPr>
            <w:r>
              <w:rPr>
                <w:sz w:val="24"/>
              </w:rPr>
              <w:t>4,597,037.77</w:t>
            </w:r>
          </w:p>
        </w:tc>
        <w:tc>
          <w:tcPr>
            <w:tcW w:w="1135" w:type="dxa"/>
            <w:vAlign w:val="center"/>
          </w:tcPr>
          <w:p w:rsidR="004E27AE" w:rsidRDefault="00360B15">
            <w:pPr>
              <w:jc w:val="center"/>
            </w:pPr>
            <w:r>
              <w:rPr>
                <w:sz w:val="24"/>
              </w:rPr>
              <w:t>3.91%</w:t>
            </w:r>
          </w:p>
        </w:tc>
        <w:tc>
          <w:tcPr>
            <w:tcW w:w="1272" w:type="dxa"/>
            <w:vAlign w:val="center"/>
          </w:tcPr>
          <w:p w:rsidR="004E27AE" w:rsidRDefault="00360B15">
            <w:pPr>
              <w:jc w:val="center"/>
            </w:pPr>
            <w:r>
              <w:rPr>
                <w:sz w:val="24"/>
              </w:rPr>
              <w:t>否</w:t>
            </w:r>
          </w:p>
        </w:tc>
      </w:tr>
      <w:tr w:rsidR="004E27AE">
        <w:tc>
          <w:tcPr>
            <w:tcW w:w="817" w:type="dxa"/>
            <w:vAlign w:val="center"/>
          </w:tcPr>
          <w:p w:rsidR="004E27AE" w:rsidRDefault="00360B15">
            <w:pPr>
              <w:jc w:val="center"/>
            </w:pPr>
            <w:r>
              <w:rPr>
                <w:sz w:val="24"/>
              </w:rPr>
              <w:t>3</w:t>
            </w:r>
          </w:p>
        </w:tc>
        <w:tc>
          <w:tcPr>
            <w:tcW w:w="1133" w:type="dxa"/>
            <w:vAlign w:val="center"/>
          </w:tcPr>
          <w:p w:rsidR="004E27AE" w:rsidRDefault="00360B15">
            <w:pPr>
              <w:jc w:val="center"/>
            </w:pPr>
            <w:r>
              <w:rPr>
                <w:sz w:val="24"/>
              </w:rPr>
              <w:t>004200</w:t>
            </w:r>
          </w:p>
        </w:tc>
        <w:tc>
          <w:tcPr>
            <w:tcW w:w="1135" w:type="dxa"/>
            <w:vAlign w:val="center"/>
          </w:tcPr>
          <w:p w:rsidR="004E27AE" w:rsidRDefault="00360B15">
            <w:pPr>
              <w:jc w:val="center"/>
            </w:pPr>
            <w:r>
              <w:rPr>
                <w:sz w:val="24"/>
              </w:rPr>
              <w:t>博时富瑞纯债债券</w:t>
            </w:r>
            <w:r>
              <w:rPr>
                <w:sz w:val="24"/>
              </w:rPr>
              <w:t>A</w:t>
            </w:r>
          </w:p>
        </w:tc>
        <w:tc>
          <w:tcPr>
            <w:tcW w:w="1135" w:type="dxa"/>
            <w:vAlign w:val="center"/>
          </w:tcPr>
          <w:p w:rsidR="004E27AE" w:rsidRDefault="00360B15">
            <w:pPr>
              <w:jc w:val="center"/>
            </w:pPr>
            <w:r>
              <w:rPr>
                <w:sz w:val="24"/>
              </w:rPr>
              <w:t>契约型开放式</w:t>
            </w:r>
          </w:p>
        </w:tc>
        <w:tc>
          <w:tcPr>
            <w:tcW w:w="1133" w:type="dxa"/>
            <w:vAlign w:val="center"/>
          </w:tcPr>
          <w:p w:rsidR="004E27AE" w:rsidRDefault="00360B15">
            <w:pPr>
              <w:jc w:val="center"/>
            </w:pPr>
            <w:r>
              <w:rPr>
                <w:sz w:val="24"/>
              </w:rPr>
              <w:t>4,273,291.69</w:t>
            </w:r>
          </w:p>
        </w:tc>
        <w:tc>
          <w:tcPr>
            <w:tcW w:w="1276" w:type="dxa"/>
            <w:vAlign w:val="center"/>
          </w:tcPr>
          <w:p w:rsidR="004E27AE" w:rsidRDefault="00360B15">
            <w:pPr>
              <w:jc w:val="center"/>
            </w:pPr>
            <w:r>
              <w:rPr>
                <w:sz w:val="24"/>
              </w:rPr>
              <w:t>4,575,413.41</w:t>
            </w:r>
          </w:p>
        </w:tc>
        <w:tc>
          <w:tcPr>
            <w:tcW w:w="1135" w:type="dxa"/>
            <w:vAlign w:val="center"/>
          </w:tcPr>
          <w:p w:rsidR="004E27AE" w:rsidRDefault="00360B15">
            <w:pPr>
              <w:jc w:val="center"/>
            </w:pPr>
            <w:r>
              <w:rPr>
                <w:sz w:val="24"/>
              </w:rPr>
              <w:t>3.89%</w:t>
            </w:r>
          </w:p>
        </w:tc>
        <w:tc>
          <w:tcPr>
            <w:tcW w:w="1272" w:type="dxa"/>
            <w:vAlign w:val="center"/>
          </w:tcPr>
          <w:p w:rsidR="004E27AE" w:rsidRDefault="00360B15">
            <w:pPr>
              <w:jc w:val="center"/>
            </w:pPr>
            <w:r>
              <w:rPr>
                <w:sz w:val="24"/>
              </w:rPr>
              <w:t>否</w:t>
            </w:r>
          </w:p>
        </w:tc>
      </w:tr>
      <w:tr w:rsidR="004E27AE">
        <w:tc>
          <w:tcPr>
            <w:tcW w:w="817" w:type="dxa"/>
            <w:vAlign w:val="center"/>
          </w:tcPr>
          <w:p w:rsidR="004E27AE" w:rsidRDefault="00360B15">
            <w:pPr>
              <w:jc w:val="center"/>
            </w:pPr>
            <w:r>
              <w:rPr>
                <w:sz w:val="24"/>
              </w:rPr>
              <w:t>4</w:t>
            </w:r>
          </w:p>
        </w:tc>
        <w:tc>
          <w:tcPr>
            <w:tcW w:w="1133" w:type="dxa"/>
            <w:vAlign w:val="center"/>
          </w:tcPr>
          <w:p w:rsidR="004E27AE" w:rsidRDefault="00360B15">
            <w:pPr>
              <w:jc w:val="center"/>
            </w:pPr>
            <w:r>
              <w:rPr>
                <w:sz w:val="24"/>
              </w:rPr>
              <w:t>002207</w:t>
            </w:r>
          </w:p>
        </w:tc>
        <w:tc>
          <w:tcPr>
            <w:tcW w:w="1135" w:type="dxa"/>
            <w:vAlign w:val="center"/>
          </w:tcPr>
          <w:p w:rsidR="004E27AE" w:rsidRDefault="00360B15">
            <w:pPr>
              <w:jc w:val="center"/>
            </w:pPr>
            <w:r>
              <w:rPr>
                <w:sz w:val="24"/>
              </w:rPr>
              <w:t>前海开源金银珠宝混合</w:t>
            </w:r>
            <w:r>
              <w:rPr>
                <w:sz w:val="24"/>
              </w:rPr>
              <w:t>C</w:t>
            </w:r>
          </w:p>
        </w:tc>
        <w:tc>
          <w:tcPr>
            <w:tcW w:w="1135" w:type="dxa"/>
            <w:vAlign w:val="center"/>
          </w:tcPr>
          <w:p w:rsidR="004E27AE" w:rsidRDefault="00360B15">
            <w:pPr>
              <w:jc w:val="center"/>
            </w:pPr>
            <w:r>
              <w:rPr>
                <w:sz w:val="24"/>
              </w:rPr>
              <w:t>契约型开放式</w:t>
            </w:r>
          </w:p>
        </w:tc>
        <w:tc>
          <w:tcPr>
            <w:tcW w:w="1133" w:type="dxa"/>
            <w:vAlign w:val="center"/>
          </w:tcPr>
          <w:p w:rsidR="004E27AE" w:rsidRDefault="00360B15">
            <w:pPr>
              <w:jc w:val="center"/>
            </w:pPr>
            <w:r>
              <w:rPr>
                <w:sz w:val="24"/>
              </w:rPr>
              <w:t>2,640,024.89</w:t>
            </w:r>
          </w:p>
        </w:tc>
        <w:tc>
          <w:tcPr>
            <w:tcW w:w="1276" w:type="dxa"/>
            <w:vAlign w:val="center"/>
          </w:tcPr>
          <w:p w:rsidR="004E27AE" w:rsidRDefault="00360B15">
            <w:pPr>
              <w:jc w:val="center"/>
            </w:pPr>
            <w:r>
              <w:rPr>
                <w:sz w:val="24"/>
              </w:rPr>
              <w:t>3,981,157.53</w:t>
            </w:r>
          </w:p>
        </w:tc>
        <w:tc>
          <w:tcPr>
            <w:tcW w:w="1135" w:type="dxa"/>
            <w:vAlign w:val="center"/>
          </w:tcPr>
          <w:p w:rsidR="004E27AE" w:rsidRDefault="00360B15">
            <w:pPr>
              <w:jc w:val="center"/>
            </w:pPr>
            <w:r>
              <w:rPr>
                <w:sz w:val="24"/>
              </w:rPr>
              <w:t>3.39%</w:t>
            </w:r>
          </w:p>
        </w:tc>
        <w:tc>
          <w:tcPr>
            <w:tcW w:w="1272" w:type="dxa"/>
            <w:vAlign w:val="center"/>
          </w:tcPr>
          <w:p w:rsidR="004E27AE" w:rsidRDefault="00360B15">
            <w:pPr>
              <w:jc w:val="center"/>
            </w:pPr>
            <w:r>
              <w:rPr>
                <w:sz w:val="24"/>
              </w:rPr>
              <w:t>否</w:t>
            </w:r>
          </w:p>
        </w:tc>
      </w:tr>
      <w:tr w:rsidR="004E27AE">
        <w:tc>
          <w:tcPr>
            <w:tcW w:w="817" w:type="dxa"/>
            <w:vAlign w:val="center"/>
          </w:tcPr>
          <w:p w:rsidR="004E27AE" w:rsidRDefault="00360B15">
            <w:pPr>
              <w:jc w:val="center"/>
            </w:pPr>
            <w:r>
              <w:rPr>
                <w:sz w:val="24"/>
              </w:rPr>
              <w:t>5</w:t>
            </w:r>
          </w:p>
        </w:tc>
        <w:tc>
          <w:tcPr>
            <w:tcW w:w="1133" w:type="dxa"/>
            <w:vAlign w:val="center"/>
          </w:tcPr>
          <w:p w:rsidR="004E27AE" w:rsidRDefault="00360B15">
            <w:pPr>
              <w:jc w:val="center"/>
            </w:pPr>
            <w:r>
              <w:rPr>
                <w:sz w:val="24"/>
              </w:rPr>
              <w:t>519782</w:t>
            </w:r>
          </w:p>
        </w:tc>
        <w:tc>
          <w:tcPr>
            <w:tcW w:w="1135" w:type="dxa"/>
            <w:vAlign w:val="center"/>
          </w:tcPr>
          <w:p w:rsidR="004E27AE" w:rsidRDefault="00360B15">
            <w:pPr>
              <w:jc w:val="center"/>
            </w:pPr>
            <w:r>
              <w:rPr>
                <w:sz w:val="24"/>
              </w:rPr>
              <w:t>交银裕隆纯债债券</w:t>
            </w:r>
            <w:r>
              <w:rPr>
                <w:sz w:val="24"/>
              </w:rPr>
              <w:t>A</w:t>
            </w:r>
          </w:p>
        </w:tc>
        <w:tc>
          <w:tcPr>
            <w:tcW w:w="1135" w:type="dxa"/>
            <w:vAlign w:val="center"/>
          </w:tcPr>
          <w:p w:rsidR="004E27AE" w:rsidRDefault="00360B15">
            <w:pPr>
              <w:jc w:val="center"/>
            </w:pPr>
            <w:r>
              <w:rPr>
                <w:sz w:val="24"/>
              </w:rPr>
              <w:t>契约型开放式</w:t>
            </w:r>
          </w:p>
        </w:tc>
        <w:tc>
          <w:tcPr>
            <w:tcW w:w="1133" w:type="dxa"/>
            <w:vAlign w:val="center"/>
          </w:tcPr>
          <w:p w:rsidR="004E27AE" w:rsidRDefault="00360B15">
            <w:pPr>
              <w:jc w:val="center"/>
            </w:pPr>
            <w:r>
              <w:rPr>
                <w:sz w:val="24"/>
              </w:rPr>
              <w:t>2,662,222.33</w:t>
            </w:r>
          </w:p>
        </w:tc>
        <w:tc>
          <w:tcPr>
            <w:tcW w:w="1276" w:type="dxa"/>
            <w:vAlign w:val="center"/>
          </w:tcPr>
          <w:p w:rsidR="004E27AE" w:rsidRDefault="00360B15">
            <w:pPr>
              <w:jc w:val="center"/>
            </w:pPr>
            <w:r>
              <w:rPr>
                <w:sz w:val="24"/>
              </w:rPr>
              <w:t>3,611,038.37</w:t>
            </w:r>
          </w:p>
        </w:tc>
        <w:tc>
          <w:tcPr>
            <w:tcW w:w="1135" w:type="dxa"/>
            <w:vAlign w:val="center"/>
          </w:tcPr>
          <w:p w:rsidR="004E27AE" w:rsidRDefault="00360B15">
            <w:pPr>
              <w:jc w:val="center"/>
            </w:pPr>
            <w:r>
              <w:rPr>
                <w:sz w:val="24"/>
              </w:rPr>
              <w:t>3.07%</w:t>
            </w:r>
          </w:p>
        </w:tc>
        <w:tc>
          <w:tcPr>
            <w:tcW w:w="1272" w:type="dxa"/>
            <w:vAlign w:val="center"/>
          </w:tcPr>
          <w:p w:rsidR="004E27AE" w:rsidRDefault="00360B15">
            <w:pPr>
              <w:jc w:val="center"/>
            </w:pPr>
            <w:r>
              <w:rPr>
                <w:sz w:val="24"/>
              </w:rPr>
              <w:t>否</w:t>
            </w:r>
          </w:p>
        </w:tc>
      </w:tr>
      <w:tr w:rsidR="004E27AE">
        <w:tc>
          <w:tcPr>
            <w:tcW w:w="817" w:type="dxa"/>
            <w:vAlign w:val="center"/>
          </w:tcPr>
          <w:p w:rsidR="004E27AE" w:rsidRDefault="00360B15">
            <w:pPr>
              <w:jc w:val="center"/>
            </w:pPr>
            <w:r>
              <w:rPr>
                <w:sz w:val="24"/>
              </w:rPr>
              <w:t>6</w:t>
            </w:r>
          </w:p>
        </w:tc>
        <w:tc>
          <w:tcPr>
            <w:tcW w:w="1133" w:type="dxa"/>
            <w:vAlign w:val="center"/>
          </w:tcPr>
          <w:p w:rsidR="004E27AE" w:rsidRDefault="00360B15">
            <w:pPr>
              <w:jc w:val="center"/>
            </w:pPr>
            <w:r>
              <w:rPr>
                <w:sz w:val="24"/>
              </w:rPr>
              <w:t>100018</w:t>
            </w:r>
          </w:p>
        </w:tc>
        <w:tc>
          <w:tcPr>
            <w:tcW w:w="1135" w:type="dxa"/>
            <w:vAlign w:val="center"/>
          </w:tcPr>
          <w:p w:rsidR="004E27AE" w:rsidRDefault="00360B15">
            <w:pPr>
              <w:jc w:val="center"/>
            </w:pPr>
            <w:r>
              <w:rPr>
                <w:sz w:val="24"/>
              </w:rPr>
              <w:t>富国天利增长债券</w:t>
            </w:r>
            <w:r>
              <w:rPr>
                <w:sz w:val="24"/>
              </w:rPr>
              <w:t>A</w:t>
            </w:r>
          </w:p>
        </w:tc>
        <w:tc>
          <w:tcPr>
            <w:tcW w:w="1135" w:type="dxa"/>
            <w:vAlign w:val="center"/>
          </w:tcPr>
          <w:p w:rsidR="004E27AE" w:rsidRDefault="00360B15">
            <w:pPr>
              <w:jc w:val="center"/>
            </w:pPr>
            <w:r>
              <w:rPr>
                <w:sz w:val="24"/>
              </w:rPr>
              <w:t>契约型开放式</w:t>
            </w:r>
          </w:p>
        </w:tc>
        <w:tc>
          <w:tcPr>
            <w:tcW w:w="1133" w:type="dxa"/>
            <w:vAlign w:val="center"/>
          </w:tcPr>
          <w:p w:rsidR="004E27AE" w:rsidRDefault="00360B15">
            <w:pPr>
              <w:jc w:val="center"/>
            </w:pPr>
            <w:r>
              <w:rPr>
                <w:sz w:val="24"/>
              </w:rPr>
              <w:t>2,636,385.85</w:t>
            </w:r>
          </w:p>
        </w:tc>
        <w:tc>
          <w:tcPr>
            <w:tcW w:w="1276" w:type="dxa"/>
            <w:vAlign w:val="center"/>
          </w:tcPr>
          <w:p w:rsidR="004E27AE" w:rsidRDefault="00360B15">
            <w:pPr>
              <w:jc w:val="center"/>
            </w:pPr>
            <w:r>
              <w:rPr>
                <w:sz w:val="24"/>
              </w:rPr>
              <w:t>3,500,329.49</w:t>
            </w:r>
          </w:p>
        </w:tc>
        <w:tc>
          <w:tcPr>
            <w:tcW w:w="1135" w:type="dxa"/>
            <w:vAlign w:val="center"/>
          </w:tcPr>
          <w:p w:rsidR="004E27AE" w:rsidRDefault="00360B15">
            <w:pPr>
              <w:jc w:val="center"/>
            </w:pPr>
            <w:r>
              <w:rPr>
                <w:sz w:val="24"/>
              </w:rPr>
              <w:t>2.98%</w:t>
            </w:r>
          </w:p>
        </w:tc>
        <w:tc>
          <w:tcPr>
            <w:tcW w:w="1272" w:type="dxa"/>
            <w:vAlign w:val="center"/>
          </w:tcPr>
          <w:p w:rsidR="004E27AE" w:rsidRDefault="00360B15">
            <w:pPr>
              <w:jc w:val="center"/>
            </w:pPr>
            <w:r>
              <w:rPr>
                <w:sz w:val="24"/>
              </w:rPr>
              <w:t>否</w:t>
            </w:r>
          </w:p>
        </w:tc>
      </w:tr>
      <w:tr w:rsidR="004E27AE">
        <w:tc>
          <w:tcPr>
            <w:tcW w:w="817" w:type="dxa"/>
            <w:vAlign w:val="center"/>
          </w:tcPr>
          <w:p w:rsidR="004E27AE" w:rsidRDefault="00360B15">
            <w:pPr>
              <w:jc w:val="center"/>
            </w:pPr>
            <w:r>
              <w:rPr>
                <w:sz w:val="24"/>
              </w:rPr>
              <w:t>7</w:t>
            </w:r>
          </w:p>
        </w:tc>
        <w:tc>
          <w:tcPr>
            <w:tcW w:w="1133" w:type="dxa"/>
            <w:vAlign w:val="center"/>
          </w:tcPr>
          <w:p w:rsidR="004E27AE" w:rsidRDefault="00360B15">
            <w:pPr>
              <w:jc w:val="center"/>
            </w:pPr>
            <w:r>
              <w:rPr>
                <w:sz w:val="24"/>
              </w:rPr>
              <w:t>004585</w:t>
            </w:r>
          </w:p>
        </w:tc>
        <w:tc>
          <w:tcPr>
            <w:tcW w:w="1135" w:type="dxa"/>
            <w:vAlign w:val="center"/>
          </w:tcPr>
          <w:p w:rsidR="004E27AE" w:rsidRDefault="00360B15">
            <w:pPr>
              <w:jc w:val="center"/>
            </w:pPr>
            <w:r>
              <w:rPr>
                <w:sz w:val="24"/>
              </w:rPr>
              <w:t>鹏扬汇利债券</w:t>
            </w:r>
            <w:r>
              <w:rPr>
                <w:sz w:val="24"/>
              </w:rPr>
              <w:t>A</w:t>
            </w:r>
          </w:p>
        </w:tc>
        <w:tc>
          <w:tcPr>
            <w:tcW w:w="1135" w:type="dxa"/>
            <w:vAlign w:val="center"/>
          </w:tcPr>
          <w:p w:rsidR="004E27AE" w:rsidRDefault="00360B15">
            <w:pPr>
              <w:jc w:val="center"/>
            </w:pPr>
            <w:r>
              <w:rPr>
                <w:sz w:val="24"/>
              </w:rPr>
              <w:t>契约型开放式</w:t>
            </w:r>
          </w:p>
        </w:tc>
        <w:tc>
          <w:tcPr>
            <w:tcW w:w="1133" w:type="dxa"/>
            <w:vAlign w:val="center"/>
          </w:tcPr>
          <w:p w:rsidR="004E27AE" w:rsidRDefault="00360B15">
            <w:pPr>
              <w:jc w:val="center"/>
            </w:pPr>
            <w:r>
              <w:rPr>
                <w:sz w:val="24"/>
              </w:rPr>
              <w:t>2,837,934.42</w:t>
            </w:r>
          </w:p>
        </w:tc>
        <w:tc>
          <w:tcPr>
            <w:tcW w:w="1276" w:type="dxa"/>
            <w:vAlign w:val="center"/>
          </w:tcPr>
          <w:p w:rsidR="004E27AE" w:rsidRDefault="00360B15">
            <w:pPr>
              <w:jc w:val="center"/>
            </w:pPr>
            <w:r>
              <w:rPr>
                <w:sz w:val="24"/>
              </w:rPr>
              <w:t>3,025,238.09</w:t>
            </w:r>
          </w:p>
        </w:tc>
        <w:tc>
          <w:tcPr>
            <w:tcW w:w="1135" w:type="dxa"/>
            <w:vAlign w:val="center"/>
          </w:tcPr>
          <w:p w:rsidR="004E27AE" w:rsidRDefault="00360B15">
            <w:pPr>
              <w:jc w:val="center"/>
            </w:pPr>
            <w:r>
              <w:rPr>
                <w:sz w:val="24"/>
              </w:rPr>
              <w:t>2.57%</w:t>
            </w:r>
          </w:p>
        </w:tc>
        <w:tc>
          <w:tcPr>
            <w:tcW w:w="1272" w:type="dxa"/>
            <w:vAlign w:val="center"/>
          </w:tcPr>
          <w:p w:rsidR="004E27AE" w:rsidRDefault="00360B15">
            <w:pPr>
              <w:jc w:val="center"/>
            </w:pPr>
            <w:r>
              <w:rPr>
                <w:sz w:val="24"/>
              </w:rPr>
              <w:t>否</w:t>
            </w:r>
          </w:p>
        </w:tc>
      </w:tr>
      <w:tr w:rsidR="004E27AE">
        <w:tc>
          <w:tcPr>
            <w:tcW w:w="817" w:type="dxa"/>
            <w:vAlign w:val="center"/>
          </w:tcPr>
          <w:p w:rsidR="004E27AE" w:rsidRDefault="00360B15">
            <w:pPr>
              <w:jc w:val="center"/>
            </w:pPr>
            <w:r>
              <w:rPr>
                <w:sz w:val="24"/>
              </w:rPr>
              <w:t>8</w:t>
            </w:r>
          </w:p>
        </w:tc>
        <w:tc>
          <w:tcPr>
            <w:tcW w:w="1133" w:type="dxa"/>
            <w:vAlign w:val="center"/>
          </w:tcPr>
          <w:p w:rsidR="004E27AE" w:rsidRDefault="00360B15">
            <w:pPr>
              <w:jc w:val="center"/>
            </w:pPr>
            <w:r>
              <w:rPr>
                <w:sz w:val="24"/>
              </w:rPr>
              <w:t>009100</w:t>
            </w:r>
          </w:p>
        </w:tc>
        <w:tc>
          <w:tcPr>
            <w:tcW w:w="1135" w:type="dxa"/>
            <w:vAlign w:val="center"/>
          </w:tcPr>
          <w:p w:rsidR="004E27AE" w:rsidRDefault="00360B15">
            <w:pPr>
              <w:jc w:val="center"/>
            </w:pPr>
            <w:r>
              <w:rPr>
                <w:sz w:val="24"/>
              </w:rPr>
              <w:t>安信稳健增利混合</w:t>
            </w:r>
            <w:r>
              <w:rPr>
                <w:sz w:val="24"/>
              </w:rPr>
              <w:t>A</w:t>
            </w:r>
          </w:p>
        </w:tc>
        <w:tc>
          <w:tcPr>
            <w:tcW w:w="1135" w:type="dxa"/>
            <w:vAlign w:val="center"/>
          </w:tcPr>
          <w:p w:rsidR="004E27AE" w:rsidRDefault="00360B15">
            <w:pPr>
              <w:jc w:val="center"/>
            </w:pPr>
            <w:r>
              <w:rPr>
                <w:sz w:val="24"/>
              </w:rPr>
              <w:t>契约型开放式</w:t>
            </w:r>
          </w:p>
        </w:tc>
        <w:tc>
          <w:tcPr>
            <w:tcW w:w="1133" w:type="dxa"/>
            <w:vAlign w:val="center"/>
          </w:tcPr>
          <w:p w:rsidR="004E27AE" w:rsidRDefault="00360B15">
            <w:pPr>
              <w:jc w:val="center"/>
            </w:pPr>
            <w:r>
              <w:rPr>
                <w:sz w:val="24"/>
              </w:rPr>
              <w:t>2,429,656.56</w:t>
            </w:r>
          </w:p>
        </w:tc>
        <w:tc>
          <w:tcPr>
            <w:tcW w:w="1276" w:type="dxa"/>
            <w:vAlign w:val="center"/>
          </w:tcPr>
          <w:p w:rsidR="004E27AE" w:rsidRDefault="00360B15">
            <w:pPr>
              <w:jc w:val="center"/>
            </w:pPr>
            <w:r>
              <w:rPr>
                <w:sz w:val="24"/>
              </w:rPr>
              <w:t>3,007,914.82</w:t>
            </w:r>
          </w:p>
        </w:tc>
        <w:tc>
          <w:tcPr>
            <w:tcW w:w="1135" w:type="dxa"/>
            <w:vAlign w:val="center"/>
          </w:tcPr>
          <w:p w:rsidR="004E27AE" w:rsidRDefault="00360B15">
            <w:pPr>
              <w:jc w:val="center"/>
            </w:pPr>
            <w:r>
              <w:rPr>
                <w:sz w:val="24"/>
              </w:rPr>
              <w:t>2.56%</w:t>
            </w:r>
          </w:p>
        </w:tc>
        <w:tc>
          <w:tcPr>
            <w:tcW w:w="1272" w:type="dxa"/>
            <w:vAlign w:val="center"/>
          </w:tcPr>
          <w:p w:rsidR="004E27AE" w:rsidRDefault="00360B15">
            <w:pPr>
              <w:jc w:val="center"/>
            </w:pPr>
            <w:r>
              <w:rPr>
                <w:sz w:val="24"/>
              </w:rPr>
              <w:t>否</w:t>
            </w:r>
          </w:p>
        </w:tc>
      </w:tr>
      <w:tr w:rsidR="004E27AE">
        <w:tc>
          <w:tcPr>
            <w:tcW w:w="817" w:type="dxa"/>
            <w:vAlign w:val="center"/>
          </w:tcPr>
          <w:p w:rsidR="004E27AE" w:rsidRDefault="00360B15">
            <w:pPr>
              <w:jc w:val="center"/>
            </w:pPr>
            <w:r>
              <w:rPr>
                <w:sz w:val="24"/>
              </w:rPr>
              <w:t>9</w:t>
            </w:r>
          </w:p>
        </w:tc>
        <w:tc>
          <w:tcPr>
            <w:tcW w:w="1133" w:type="dxa"/>
            <w:vAlign w:val="center"/>
          </w:tcPr>
          <w:p w:rsidR="004E27AE" w:rsidRDefault="00360B15">
            <w:pPr>
              <w:jc w:val="center"/>
            </w:pPr>
            <w:r>
              <w:rPr>
                <w:sz w:val="24"/>
              </w:rPr>
              <w:t>000107</w:t>
            </w:r>
          </w:p>
        </w:tc>
        <w:tc>
          <w:tcPr>
            <w:tcW w:w="1135" w:type="dxa"/>
            <w:vAlign w:val="center"/>
          </w:tcPr>
          <w:p w:rsidR="004E27AE" w:rsidRDefault="00360B15">
            <w:pPr>
              <w:jc w:val="center"/>
            </w:pPr>
            <w:r>
              <w:rPr>
                <w:sz w:val="24"/>
              </w:rPr>
              <w:t>富国稳健增强债券</w:t>
            </w:r>
            <w:r>
              <w:rPr>
                <w:sz w:val="24"/>
              </w:rPr>
              <w:t>A/B</w:t>
            </w:r>
          </w:p>
        </w:tc>
        <w:tc>
          <w:tcPr>
            <w:tcW w:w="1135" w:type="dxa"/>
            <w:vAlign w:val="center"/>
          </w:tcPr>
          <w:p w:rsidR="004E27AE" w:rsidRDefault="00360B15">
            <w:pPr>
              <w:jc w:val="center"/>
            </w:pPr>
            <w:r>
              <w:rPr>
                <w:sz w:val="24"/>
              </w:rPr>
              <w:t>契约型开放式</w:t>
            </w:r>
          </w:p>
        </w:tc>
        <w:tc>
          <w:tcPr>
            <w:tcW w:w="1133" w:type="dxa"/>
            <w:vAlign w:val="center"/>
          </w:tcPr>
          <w:p w:rsidR="004E27AE" w:rsidRDefault="00360B15">
            <w:pPr>
              <w:jc w:val="center"/>
            </w:pPr>
            <w:r>
              <w:rPr>
                <w:sz w:val="24"/>
              </w:rPr>
              <w:t>2,437,193.85</w:t>
            </w:r>
          </w:p>
        </w:tc>
        <w:tc>
          <w:tcPr>
            <w:tcW w:w="1276" w:type="dxa"/>
            <w:vAlign w:val="center"/>
          </w:tcPr>
          <w:p w:rsidR="004E27AE" w:rsidRDefault="00360B15">
            <w:pPr>
              <w:jc w:val="center"/>
            </w:pPr>
            <w:r>
              <w:rPr>
                <w:sz w:val="24"/>
              </w:rPr>
              <w:t>3,000,185.63</w:t>
            </w:r>
          </w:p>
        </w:tc>
        <w:tc>
          <w:tcPr>
            <w:tcW w:w="1135" w:type="dxa"/>
            <w:vAlign w:val="center"/>
          </w:tcPr>
          <w:p w:rsidR="004E27AE" w:rsidRDefault="00360B15">
            <w:pPr>
              <w:jc w:val="center"/>
            </w:pPr>
            <w:r>
              <w:rPr>
                <w:sz w:val="24"/>
              </w:rPr>
              <w:t>2.55%</w:t>
            </w:r>
          </w:p>
        </w:tc>
        <w:tc>
          <w:tcPr>
            <w:tcW w:w="1272" w:type="dxa"/>
            <w:vAlign w:val="center"/>
          </w:tcPr>
          <w:p w:rsidR="004E27AE" w:rsidRDefault="00360B15">
            <w:pPr>
              <w:jc w:val="center"/>
            </w:pPr>
            <w:r>
              <w:rPr>
                <w:sz w:val="24"/>
              </w:rPr>
              <w:t>否</w:t>
            </w:r>
          </w:p>
        </w:tc>
      </w:tr>
      <w:tr w:rsidR="004E27AE">
        <w:tc>
          <w:tcPr>
            <w:tcW w:w="817" w:type="dxa"/>
            <w:vAlign w:val="center"/>
          </w:tcPr>
          <w:p w:rsidR="004E27AE" w:rsidRDefault="00360B15">
            <w:pPr>
              <w:jc w:val="center"/>
            </w:pPr>
            <w:r>
              <w:rPr>
                <w:sz w:val="24"/>
              </w:rPr>
              <w:t>10</w:t>
            </w:r>
          </w:p>
        </w:tc>
        <w:tc>
          <w:tcPr>
            <w:tcW w:w="1133" w:type="dxa"/>
            <w:vAlign w:val="center"/>
          </w:tcPr>
          <w:p w:rsidR="004E27AE" w:rsidRDefault="00360B15">
            <w:pPr>
              <w:jc w:val="center"/>
            </w:pPr>
            <w:r>
              <w:rPr>
                <w:sz w:val="24"/>
              </w:rPr>
              <w:t>006102</w:t>
            </w:r>
          </w:p>
        </w:tc>
        <w:tc>
          <w:tcPr>
            <w:tcW w:w="1135" w:type="dxa"/>
            <w:vAlign w:val="center"/>
          </w:tcPr>
          <w:p w:rsidR="004E27AE" w:rsidRDefault="00360B15">
            <w:pPr>
              <w:jc w:val="center"/>
            </w:pPr>
            <w:r>
              <w:rPr>
                <w:sz w:val="24"/>
              </w:rPr>
              <w:t>浙商丰利增强债券</w:t>
            </w:r>
          </w:p>
        </w:tc>
        <w:tc>
          <w:tcPr>
            <w:tcW w:w="1135" w:type="dxa"/>
            <w:vAlign w:val="center"/>
          </w:tcPr>
          <w:p w:rsidR="004E27AE" w:rsidRDefault="00360B15">
            <w:pPr>
              <w:jc w:val="center"/>
            </w:pPr>
            <w:r>
              <w:rPr>
                <w:sz w:val="24"/>
              </w:rPr>
              <w:t>契约型开放式</w:t>
            </w:r>
          </w:p>
        </w:tc>
        <w:tc>
          <w:tcPr>
            <w:tcW w:w="1133" w:type="dxa"/>
            <w:vAlign w:val="center"/>
          </w:tcPr>
          <w:p w:rsidR="004E27AE" w:rsidRDefault="00360B15">
            <w:pPr>
              <w:jc w:val="center"/>
            </w:pPr>
            <w:r>
              <w:rPr>
                <w:sz w:val="24"/>
              </w:rPr>
              <w:t>1,821,315.93</w:t>
            </w:r>
          </w:p>
        </w:tc>
        <w:tc>
          <w:tcPr>
            <w:tcW w:w="1276" w:type="dxa"/>
            <w:vAlign w:val="center"/>
          </w:tcPr>
          <w:p w:rsidR="004E27AE" w:rsidRDefault="00360B15">
            <w:pPr>
              <w:jc w:val="center"/>
            </w:pPr>
            <w:r>
              <w:rPr>
                <w:sz w:val="24"/>
              </w:rPr>
              <w:t>2,945,978.52</w:t>
            </w:r>
          </w:p>
        </w:tc>
        <w:tc>
          <w:tcPr>
            <w:tcW w:w="1135" w:type="dxa"/>
            <w:vAlign w:val="center"/>
          </w:tcPr>
          <w:p w:rsidR="004E27AE" w:rsidRDefault="00360B15">
            <w:pPr>
              <w:jc w:val="center"/>
            </w:pPr>
            <w:r>
              <w:rPr>
                <w:sz w:val="24"/>
              </w:rPr>
              <w:t>2.51%</w:t>
            </w:r>
          </w:p>
        </w:tc>
        <w:tc>
          <w:tcPr>
            <w:tcW w:w="1272" w:type="dxa"/>
            <w:vAlign w:val="center"/>
          </w:tcPr>
          <w:p w:rsidR="004E27AE" w:rsidRDefault="00360B15">
            <w:pPr>
              <w:jc w:val="center"/>
            </w:pPr>
            <w:r>
              <w:rPr>
                <w:sz w:val="24"/>
              </w:rPr>
              <w:t>否</w:t>
            </w:r>
          </w:p>
        </w:tc>
      </w:tr>
    </w:tbl>
    <w:p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6.2</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当期交易及持有基金产生的费用</w:t>
      </w:r>
    </w:p>
    <w:tbl>
      <w:tblPr>
        <w:tblStyle w:val="afa"/>
        <w:tblW w:w="0" w:type="auto"/>
        <w:tblLayout w:type="fixed"/>
        <w:tblLook w:val="04A0" w:firstRow="1" w:lastRow="0" w:firstColumn="1" w:lastColumn="0" w:noHBand="0" w:noVBand="1"/>
      </w:tblPr>
      <w:tblGrid>
        <w:gridCol w:w="3012"/>
        <w:gridCol w:w="3012"/>
        <w:gridCol w:w="3012"/>
      </w:tblGrid>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jc w:val="center"/>
              <w:rPr>
                <w:rFonts w:eastAsiaTheme="minorEastAsia"/>
                <w:color w:val="000000" w:themeColor="text1"/>
                <w:sz w:val="24"/>
              </w:rPr>
            </w:pPr>
            <w:r w:rsidRPr="00575270">
              <w:rPr>
                <w:sz w:val="24"/>
              </w:rPr>
              <w:t>项目</w:t>
            </w:r>
          </w:p>
        </w:tc>
        <w:tc>
          <w:tcPr>
            <w:tcW w:w="3012" w:type="dxa"/>
            <w:vAlign w:val="center"/>
          </w:tcPr>
          <w:p w:rsidR="00C45886" w:rsidRPr="00575270" w:rsidRDefault="00C45886" w:rsidP="00342FE7">
            <w:pPr>
              <w:spacing w:line="276" w:lineRule="auto"/>
              <w:jc w:val="center"/>
              <w:rPr>
                <w:sz w:val="24"/>
              </w:rPr>
            </w:pPr>
            <w:r w:rsidRPr="00575270">
              <w:rPr>
                <w:sz w:val="24"/>
              </w:rPr>
              <w:t>本期费用</w:t>
            </w:r>
          </w:p>
        </w:tc>
        <w:tc>
          <w:tcPr>
            <w:tcW w:w="3012" w:type="dxa"/>
            <w:vAlign w:val="center"/>
          </w:tcPr>
          <w:p w:rsidR="00C45886" w:rsidRPr="00575270" w:rsidRDefault="00C45886" w:rsidP="00342FE7">
            <w:pPr>
              <w:spacing w:line="276" w:lineRule="auto"/>
              <w:jc w:val="center"/>
              <w:rPr>
                <w:sz w:val="24"/>
              </w:rPr>
            </w:pPr>
            <w:r w:rsidRPr="00575270">
              <w:rPr>
                <w:sz w:val="24"/>
              </w:rPr>
              <w:t>其中：交易及持有基金管理人以及管理人关联方所管理基金产生的费用</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当期交易基金产生的申购费</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2,044.39</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当期交易基金产生的赎回费（元）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3,739.02</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当期持有基金产生的应支付销售服务费（元）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2,381.40</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10.92</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w:t>
            </w:r>
            <w:r w:rsidRPr="00575270">
              <w:rPr>
                <w:sz w:val="24"/>
              </w:rPr>
              <w:lastRenderedPageBreak/>
              <w:t>付管理费（元）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lastRenderedPageBreak/>
              <w:t>209,403.10</w:t>
            </w:r>
          </w:p>
        </w:tc>
        <w:tc>
          <w:tcPr>
            <w:tcW w:w="3012" w:type="dxa"/>
            <w:vAlign w:val="center"/>
          </w:tcPr>
          <w:p w:rsidR="00C45886" w:rsidRPr="00575270" w:rsidRDefault="00360B15" w:rsidP="00342FE7">
            <w:pPr>
              <w:adjustRightInd w:val="0"/>
              <w:snapToGrid w:val="0"/>
              <w:spacing w:beforeLines="50" w:before="156" w:line="276" w:lineRule="auto"/>
              <w:jc w:val="right"/>
              <w:rPr>
                <w:rFonts w:eastAsiaTheme="minorEastAsia"/>
                <w:color w:val="000000" w:themeColor="text1"/>
                <w:sz w:val="24"/>
              </w:rPr>
            </w:pPr>
            <w:r w:rsidRPr="00360B15">
              <w:rPr>
                <w:rFonts w:eastAsiaTheme="minorEastAsia"/>
                <w:color w:val="000000" w:themeColor="text1"/>
                <w:sz w:val="24"/>
              </w:rPr>
              <w:t>18</w:t>
            </w:r>
            <w:r>
              <w:rPr>
                <w:rFonts w:eastAsiaTheme="minorEastAsia" w:hint="eastAsia"/>
                <w:color w:val="000000" w:themeColor="text1"/>
                <w:sz w:val="24"/>
              </w:rPr>
              <w:t>,</w:t>
            </w:r>
            <w:r w:rsidRPr="00360B15">
              <w:rPr>
                <w:rFonts w:eastAsiaTheme="minorEastAsia"/>
                <w:color w:val="000000" w:themeColor="text1"/>
                <w:sz w:val="24"/>
              </w:rPr>
              <w:t>697.94</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当期持有基金产生的应支付托管费（元）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40,218.06</w:t>
            </w:r>
          </w:p>
        </w:tc>
        <w:tc>
          <w:tcPr>
            <w:tcW w:w="3012" w:type="dxa"/>
            <w:vAlign w:val="center"/>
          </w:tcPr>
          <w:p w:rsidR="00C45886" w:rsidRPr="00575270" w:rsidRDefault="00360B15" w:rsidP="00342FE7">
            <w:pPr>
              <w:adjustRightInd w:val="0"/>
              <w:snapToGrid w:val="0"/>
              <w:spacing w:beforeLines="50" w:before="156" w:line="276" w:lineRule="auto"/>
              <w:jc w:val="right"/>
              <w:rPr>
                <w:rFonts w:eastAsiaTheme="minorEastAsia"/>
                <w:color w:val="000000" w:themeColor="text1"/>
                <w:sz w:val="24"/>
              </w:rPr>
            </w:pPr>
            <w:r w:rsidRPr="00360B15">
              <w:rPr>
                <w:rFonts w:eastAsiaTheme="minorEastAsia"/>
                <w:color w:val="000000" w:themeColor="text1"/>
                <w:sz w:val="24"/>
              </w:rPr>
              <w:t>2</w:t>
            </w:r>
            <w:r>
              <w:rPr>
                <w:rFonts w:eastAsiaTheme="minorEastAsia"/>
                <w:color w:val="000000" w:themeColor="text1"/>
                <w:sz w:val="24"/>
              </w:rPr>
              <w:t>,</w:t>
            </w:r>
            <w:r w:rsidRPr="00360B15">
              <w:rPr>
                <w:rFonts w:eastAsiaTheme="minorEastAsia"/>
                <w:color w:val="000000" w:themeColor="text1"/>
                <w:sz w:val="24"/>
              </w:rPr>
              <w:t>158.21</w:t>
            </w:r>
          </w:p>
        </w:tc>
      </w:tr>
      <w:tr w:rsidR="004E27AE">
        <w:tc>
          <w:tcPr>
            <w:tcW w:w="3012" w:type="dxa"/>
            <w:vAlign w:val="center"/>
          </w:tcPr>
          <w:p w:rsidR="004E27AE" w:rsidRDefault="00360B15">
            <w:pPr>
              <w:jc w:val="left"/>
            </w:pPr>
            <w:r>
              <w:rPr>
                <w:rFonts w:eastAsiaTheme="minorEastAsia"/>
                <w:color w:val="000000" w:themeColor="text1"/>
                <w:sz w:val="24"/>
              </w:rPr>
              <w:t>当期交易基金产生的交易费（元）</w:t>
            </w:r>
          </w:p>
        </w:tc>
        <w:tc>
          <w:tcPr>
            <w:tcW w:w="3012" w:type="dxa"/>
            <w:vAlign w:val="center"/>
          </w:tcPr>
          <w:p w:rsidR="004E27AE" w:rsidRDefault="00360B15">
            <w:pPr>
              <w:jc w:val="right"/>
            </w:pPr>
            <w:r>
              <w:rPr>
                <w:rFonts w:eastAsiaTheme="minorEastAsia"/>
                <w:color w:val="000000" w:themeColor="text1"/>
                <w:sz w:val="24"/>
              </w:rPr>
              <w:t>3,641.88</w:t>
            </w:r>
          </w:p>
        </w:tc>
        <w:tc>
          <w:tcPr>
            <w:tcW w:w="3012" w:type="dxa"/>
            <w:vAlign w:val="center"/>
          </w:tcPr>
          <w:p w:rsidR="004E27AE" w:rsidRDefault="00360B15">
            <w:pPr>
              <w:jc w:val="right"/>
            </w:pPr>
            <w:r>
              <w:rPr>
                <w:rFonts w:eastAsiaTheme="minorEastAsia"/>
                <w:color w:val="000000" w:themeColor="text1"/>
                <w:sz w:val="24"/>
              </w:rPr>
              <w:t>-</w:t>
            </w:r>
          </w:p>
        </w:tc>
      </w:tr>
      <w:tr w:rsidR="004E27AE">
        <w:tc>
          <w:tcPr>
            <w:tcW w:w="3012" w:type="dxa"/>
            <w:vAlign w:val="center"/>
          </w:tcPr>
          <w:p w:rsidR="004E27AE" w:rsidRDefault="00360B15">
            <w:pPr>
              <w:jc w:val="left"/>
            </w:pPr>
            <w:r>
              <w:rPr>
                <w:rFonts w:eastAsiaTheme="minorEastAsia"/>
                <w:color w:val="000000" w:themeColor="text1"/>
                <w:sz w:val="24"/>
              </w:rPr>
              <w:t>当期交易基金产生的转换费（元）</w:t>
            </w:r>
          </w:p>
        </w:tc>
        <w:tc>
          <w:tcPr>
            <w:tcW w:w="3012" w:type="dxa"/>
            <w:vAlign w:val="center"/>
          </w:tcPr>
          <w:p w:rsidR="004E27AE" w:rsidRDefault="00360B15">
            <w:pPr>
              <w:jc w:val="right"/>
            </w:pPr>
            <w:r>
              <w:rPr>
                <w:rFonts w:eastAsiaTheme="minorEastAsia"/>
                <w:color w:val="000000" w:themeColor="text1"/>
                <w:sz w:val="24"/>
              </w:rPr>
              <w:t>8,576.39</w:t>
            </w:r>
          </w:p>
        </w:tc>
        <w:tc>
          <w:tcPr>
            <w:tcW w:w="3012" w:type="dxa"/>
            <w:vAlign w:val="center"/>
          </w:tcPr>
          <w:p w:rsidR="004E27AE" w:rsidRDefault="00360B15">
            <w:pPr>
              <w:jc w:val="right"/>
            </w:pPr>
            <w:r>
              <w:rPr>
                <w:rFonts w:eastAsiaTheme="minorEastAsia"/>
                <w:color w:val="000000" w:themeColor="text1"/>
                <w:sz w:val="24"/>
              </w:rPr>
              <w:t>-</w:t>
            </w:r>
          </w:p>
        </w:tc>
      </w:tr>
    </w:tbl>
    <w:p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6.3</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本报告期持有的基金发生的重大影响事件</w:t>
      </w:r>
    </w:p>
    <w:p w:rsidR="00C45886" w:rsidRPr="00575270" w:rsidRDefault="00C45886" w:rsidP="00C45886">
      <w:pPr>
        <w:autoSpaceDE w:val="0"/>
        <w:autoSpaceDN w:val="0"/>
        <w:adjustRightInd w:val="0"/>
        <w:spacing w:line="360" w:lineRule="auto"/>
        <w:ind w:firstLineChars="200" w:firstLine="480"/>
        <w:jc w:val="left"/>
        <w:rPr>
          <w:rFonts w:eastAsiaTheme="minorEastAsia"/>
          <w:color w:val="000000" w:themeColor="text1"/>
          <w:sz w:val="24"/>
        </w:rPr>
      </w:pPr>
      <w:r w:rsidRPr="00575270">
        <w:rPr>
          <w:rFonts w:eastAsiaTheme="minorEastAsia" w:hint="eastAsia"/>
          <w:color w:val="000000" w:themeColor="text1"/>
          <w:sz w:val="24"/>
        </w:rPr>
        <w:t>无。</w:t>
      </w:r>
    </w:p>
    <w:p w:rsidR="005E6DF3" w:rsidRPr="00C45886" w:rsidRDefault="005E6DF3">
      <w:pPr>
        <w:spacing w:line="360" w:lineRule="auto"/>
        <w:ind w:firstLineChars="200" w:firstLine="420"/>
        <w:rPr>
          <w:rFonts w:eastAsiaTheme="minorEastAsia"/>
          <w:color w:val="000000" w:themeColor="text1"/>
          <w:szCs w:val="21"/>
        </w:rPr>
      </w:pPr>
    </w:p>
    <w:p w:rsidR="005E6DF3" w:rsidRPr="00B27A29" w:rsidRDefault="00C45886">
      <w:pPr>
        <w:pStyle w:val="1"/>
        <w:spacing w:beforeLines="100" w:before="312" w:afterLines="100" w:after="312" w:line="360" w:lineRule="auto"/>
        <w:jc w:val="center"/>
        <w:rPr>
          <w:rFonts w:eastAsiaTheme="minorEastAsia"/>
          <w:color w:val="000000" w:themeColor="text1"/>
          <w:kern w:val="0"/>
          <w:sz w:val="21"/>
          <w:szCs w:val="21"/>
        </w:rPr>
      </w:pPr>
      <w:r w:rsidRPr="005A3D62">
        <w:rPr>
          <w:rFonts w:eastAsiaTheme="minorEastAsia"/>
          <w:color w:val="000000" w:themeColor="text1"/>
          <w:kern w:val="0"/>
          <w:sz w:val="24"/>
          <w:szCs w:val="24"/>
        </w:rPr>
        <w:t>§7</w:t>
      </w:r>
      <w:r w:rsidR="005C671B" w:rsidRPr="00B27A29">
        <w:rPr>
          <w:rFonts w:eastAsiaTheme="minorEastAsia"/>
          <w:color w:val="000000" w:themeColor="text1"/>
          <w:kern w:val="0"/>
          <w:sz w:val="21"/>
          <w:szCs w:val="21"/>
        </w:rPr>
        <w:t xml:space="preserve">  </w:t>
      </w:r>
      <w:r w:rsidR="005C671B"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摩根锦程均衡养老三年持有混合</w:t>
            </w:r>
            <w:r w:rsidRPr="00B27A29">
              <w:rPr>
                <w:rFonts w:eastAsiaTheme="minorEastAsia"/>
                <w:color w:val="000000" w:themeColor="text1"/>
                <w:szCs w:val="21"/>
              </w:rPr>
              <w:t>(FOF)A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摩根锦程均衡养老三年持有混合</w:t>
            </w:r>
            <w:r w:rsidRPr="00B27A29">
              <w:rPr>
                <w:rFonts w:eastAsiaTheme="minorEastAsia"/>
                <w:color w:val="000000" w:themeColor="text1"/>
                <w:szCs w:val="21"/>
              </w:rPr>
              <w:t>(FOF)Y</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69,700,840.78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37,017,587.53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357,408.06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4,429,451.55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3,080,953.07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66,977,295.77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41,447,039.08</w:t>
            </w:r>
          </w:p>
        </w:tc>
      </w:tr>
    </w:tbl>
    <w:p w:rsidR="005E6DF3" w:rsidRPr="00B27A29" w:rsidRDefault="00C45886">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w:t>
      </w:r>
      <w:r w:rsidR="005C671B" w:rsidRPr="00B27A29">
        <w:rPr>
          <w:rFonts w:eastAsiaTheme="minorEastAsia"/>
          <w:color w:val="000000" w:themeColor="text1"/>
          <w:kern w:val="0"/>
          <w:sz w:val="21"/>
          <w:szCs w:val="21"/>
        </w:rPr>
        <w:t>8</w:t>
      </w:r>
      <w:r w:rsidR="00916691">
        <w:rPr>
          <w:rFonts w:eastAsiaTheme="minorEastAsia"/>
          <w:color w:val="000000" w:themeColor="text1"/>
          <w:kern w:val="0"/>
          <w:sz w:val="21"/>
          <w:szCs w:val="21"/>
        </w:rPr>
        <w:t xml:space="preserve">  </w:t>
      </w:r>
      <w:r w:rsidR="005C671B"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8.1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8.2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00916691">
        <w:rPr>
          <w:rFonts w:eastAsiaTheme="minorEastAsia"/>
          <w:color w:val="000000" w:themeColor="text1"/>
          <w:kern w:val="0"/>
          <w:sz w:val="21"/>
          <w:szCs w:val="21"/>
        </w:rPr>
        <w:t xml:space="preserve">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4E27AE" w:rsidRDefault="00360B15">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（一）中国证监会准予本基金募集注册的文件</w:t>
      </w:r>
    </w:p>
    <w:p w:rsidR="004E27AE" w:rsidRDefault="00360B15">
      <w:pPr>
        <w:spacing w:line="360" w:lineRule="auto"/>
        <w:ind w:firstLineChars="200" w:firstLine="420"/>
        <w:rPr>
          <w:rFonts w:eastAsiaTheme="minorEastAsia"/>
          <w:color w:val="000000" w:themeColor="text1"/>
          <w:szCs w:val="21"/>
        </w:rPr>
      </w:pPr>
      <w:r>
        <w:rPr>
          <w:rFonts w:eastAsiaTheme="minorEastAsia"/>
          <w:color w:val="000000" w:themeColor="text1"/>
          <w:szCs w:val="21"/>
        </w:rPr>
        <w:t>（二）摩根锦程均衡养老目标三年持有期混合型基金中基金</w:t>
      </w:r>
      <w:r>
        <w:rPr>
          <w:rFonts w:eastAsiaTheme="minorEastAsia"/>
          <w:color w:val="000000" w:themeColor="text1"/>
          <w:szCs w:val="21"/>
        </w:rPr>
        <w:t>(FOF)</w:t>
      </w:r>
      <w:r>
        <w:rPr>
          <w:rFonts w:eastAsiaTheme="minorEastAsia"/>
          <w:color w:val="000000" w:themeColor="text1"/>
          <w:szCs w:val="21"/>
        </w:rPr>
        <w:t>基金合同</w:t>
      </w:r>
    </w:p>
    <w:p w:rsidR="004E27AE" w:rsidRDefault="00360B15">
      <w:pPr>
        <w:spacing w:line="360" w:lineRule="auto"/>
        <w:ind w:firstLineChars="200" w:firstLine="420"/>
        <w:rPr>
          <w:rFonts w:eastAsiaTheme="minorEastAsia"/>
          <w:color w:val="000000" w:themeColor="text1"/>
          <w:szCs w:val="21"/>
        </w:rPr>
      </w:pPr>
      <w:r>
        <w:rPr>
          <w:rFonts w:eastAsiaTheme="minorEastAsia"/>
          <w:color w:val="000000" w:themeColor="text1"/>
          <w:szCs w:val="21"/>
        </w:rPr>
        <w:t>（三）摩根锦程均衡养老目标三年持有期混合型基金中基金</w:t>
      </w:r>
      <w:r>
        <w:rPr>
          <w:rFonts w:eastAsiaTheme="minorEastAsia"/>
          <w:color w:val="000000" w:themeColor="text1"/>
          <w:szCs w:val="21"/>
        </w:rPr>
        <w:t>(FOF)</w:t>
      </w:r>
      <w:r>
        <w:rPr>
          <w:rFonts w:eastAsiaTheme="minorEastAsia"/>
          <w:color w:val="000000" w:themeColor="text1"/>
          <w:szCs w:val="21"/>
        </w:rPr>
        <w:t>托管协议</w:t>
      </w:r>
    </w:p>
    <w:p w:rsidR="004E27AE" w:rsidRDefault="00360B15">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rsidR="004E27AE" w:rsidRDefault="00360B15">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rsidR="004E27AE" w:rsidRDefault="00360B15">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rsidR="004E27AE" w:rsidRDefault="00360B15">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（八）中国证监会要求的其他文件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D1A" w:rsidRDefault="00045D1A">
      <w:r>
        <w:separator/>
      </w:r>
    </w:p>
  </w:endnote>
  <w:endnote w:type="continuationSeparator" w:id="0">
    <w:p w:rsidR="00045D1A" w:rsidRDefault="0004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8410A">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8410A">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D8410A">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D1A" w:rsidRDefault="00045D1A">
      <w:r>
        <w:separator/>
      </w:r>
    </w:p>
  </w:footnote>
  <w:footnote w:type="continuationSeparator" w:id="0">
    <w:p w:rsidR="00045D1A" w:rsidRDefault="00045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摩根锦程均衡养老目标三年持有期混合型基金中基金</w:t>
    </w:r>
    <w:r>
      <w:t>(FOF)2024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PostScriptOverText/>
  <w:bordersDoNotSurroundHeader/>
  <w:bordersDoNotSurroundFooter/>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5D1A"/>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0AC2"/>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2C84"/>
    <w:rsid w:val="003570C8"/>
    <w:rsid w:val="00360B15"/>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27AE"/>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36AE"/>
    <w:rsid w:val="006341E6"/>
    <w:rsid w:val="00634439"/>
    <w:rsid w:val="00634B21"/>
    <w:rsid w:val="006366C6"/>
    <w:rsid w:val="00636809"/>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4F4B"/>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691"/>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1100"/>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623C"/>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45886"/>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448"/>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49A"/>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10A"/>
    <w:rsid w:val="00D84A4B"/>
    <w:rsid w:val="00D84B45"/>
    <w:rsid w:val="00D857AE"/>
    <w:rsid w:val="00D8623D"/>
    <w:rsid w:val="00D867FB"/>
    <w:rsid w:val="00D870CF"/>
    <w:rsid w:val="00D872EB"/>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B3E7EE-5335-4ADD-8D2B-5AB39DD5B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38</TotalTime>
  <Pages>15</Pages>
  <Words>1291</Words>
  <Characters>7361</Characters>
  <Application>Microsoft Office Word</Application>
  <DocSecurity>0</DocSecurity>
  <Lines>61</Lines>
  <Paragraphs>17</Paragraphs>
  <ScaleCrop>false</ScaleCrop>
  <Company>TRT. Ltd. Co.</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Cynthia.Yu@FA</cp:lastModifiedBy>
  <cp:revision>228</cp:revision>
  <cp:lastPrinted>2007-07-19T00:46:00Z</cp:lastPrinted>
  <dcterms:created xsi:type="dcterms:W3CDTF">2013-06-21T06:56:00Z</dcterms:created>
  <dcterms:modified xsi:type="dcterms:W3CDTF">2024-04-19T06:48:00Z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