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60D7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14:paraId="0F6E9BD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15C6CC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1C4FB0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CE04B3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3B22BA9"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摩根锦程均衡养老目标三年持有期混合型基金中基金</w:t>
      </w:r>
      <w:r w:rsidRPr="00B27A29">
        <w:rPr>
          <w:rFonts w:eastAsiaTheme="minorEastAsia"/>
          <w:b/>
          <w:color w:val="000000" w:themeColor="text1"/>
          <w:sz w:val="36"/>
          <w:szCs w:val="36"/>
        </w:rPr>
        <w:t>(FOF)</w:t>
      </w:r>
    </w:p>
    <w:p w14:paraId="5541D27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593380BC"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7DE88E9" w14:textId="77777777" w:rsidR="005E6DF3" w:rsidRPr="00B27A29" w:rsidRDefault="005E6DF3">
      <w:pPr>
        <w:spacing w:line="360" w:lineRule="auto"/>
        <w:jc w:val="center"/>
        <w:rPr>
          <w:rFonts w:eastAsiaTheme="minorEastAsia"/>
          <w:b/>
          <w:color w:val="000000" w:themeColor="text1"/>
          <w:szCs w:val="21"/>
        </w:rPr>
      </w:pPr>
    </w:p>
    <w:p w14:paraId="1F37199B" w14:textId="77777777" w:rsidR="005E6DF3" w:rsidRPr="00B27A29" w:rsidRDefault="005E6DF3">
      <w:pPr>
        <w:spacing w:line="360" w:lineRule="auto"/>
        <w:jc w:val="center"/>
        <w:rPr>
          <w:rFonts w:eastAsiaTheme="minorEastAsia"/>
          <w:b/>
          <w:color w:val="000000" w:themeColor="text1"/>
          <w:szCs w:val="21"/>
        </w:rPr>
      </w:pPr>
    </w:p>
    <w:p w14:paraId="1FDE0350" w14:textId="77777777" w:rsidR="005E6DF3" w:rsidRPr="00B27A29" w:rsidRDefault="005E6DF3">
      <w:pPr>
        <w:spacing w:line="360" w:lineRule="auto"/>
        <w:jc w:val="center"/>
        <w:rPr>
          <w:rFonts w:eastAsiaTheme="minorEastAsia"/>
          <w:b/>
          <w:color w:val="000000" w:themeColor="text1"/>
          <w:szCs w:val="21"/>
        </w:rPr>
      </w:pPr>
    </w:p>
    <w:p w14:paraId="2331C9CA" w14:textId="77777777" w:rsidR="005E6DF3" w:rsidRPr="00B27A29" w:rsidRDefault="005E6DF3">
      <w:pPr>
        <w:spacing w:line="360" w:lineRule="auto"/>
        <w:jc w:val="center"/>
        <w:rPr>
          <w:rFonts w:eastAsiaTheme="minorEastAsia"/>
          <w:b/>
          <w:color w:val="000000" w:themeColor="text1"/>
          <w:szCs w:val="21"/>
        </w:rPr>
      </w:pPr>
    </w:p>
    <w:p w14:paraId="481706ED" w14:textId="77777777" w:rsidR="005E6DF3" w:rsidRPr="00B27A29" w:rsidRDefault="005E6DF3">
      <w:pPr>
        <w:spacing w:line="360" w:lineRule="auto"/>
        <w:jc w:val="center"/>
        <w:rPr>
          <w:rFonts w:eastAsiaTheme="minorEastAsia"/>
          <w:b/>
          <w:color w:val="000000" w:themeColor="text1"/>
          <w:szCs w:val="21"/>
        </w:rPr>
      </w:pPr>
    </w:p>
    <w:p w14:paraId="367182F2" w14:textId="77777777" w:rsidR="005E6DF3" w:rsidRPr="00B27A29" w:rsidRDefault="005E6DF3">
      <w:pPr>
        <w:spacing w:line="360" w:lineRule="auto"/>
        <w:jc w:val="center"/>
        <w:rPr>
          <w:rFonts w:eastAsiaTheme="minorEastAsia"/>
          <w:b/>
          <w:color w:val="000000" w:themeColor="text1"/>
          <w:szCs w:val="21"/>
        </w:rPr>
      </w:pPr>
    </w:p>
    <w:p w14:paraId="3BB95761" w14:textId="77777777" w:rsidR="005E6DF3" w:rsidRPr="00B27A29" w:rsidRDefault="005E6DF3">
      <w:pPr>
        <w:spacing w:line="360" w:lineRule="auto"/>
        <w:jc w:val="center"/>
        <w:rPr>
          <w:rFonts w:eastAsiaTheme="minorEastAsia"/>
          <w:b/>
          <w:color w:val="000000" w:themeColor="text1"/>
          <w:szCs w:val="21"/>
        </w:rPr>
      </w:pPr>
    </w:p>
    <w:p w14:paraId="5059F96E" w14:textId="77777777" w:rsidR="005E6DF3" w:rsidRPr="00B27A29" w:rsidRDefault="005E6DF3">
      <w:pPr>
        <w:spacing w:line="360" w:lineRule="auto"/>
        <w:jc w:val="center"/>
        <w:rPr>
          <w:rFonts w:eastAsiaTheme="minorEastAsia"/>
          <w:b/>
          <w:color w:val="000000" w:themeColor="text1"/>
          <w:szCs w:val="21"/>
        </w:rPr>
      </w:pPr>
    </w:p>
    <w:p w14:paraId="26C2DEF5" w14:textId="77777777" w:rsidR="005E6DF3" w:rsidRPr="00B27A29" w:rsidRDefault="005E6DF3">
      <w:pPr>
        <w:spacing w:line="360" w:lineRule="auto"/>
        <w:jc w:val="center"/>
        <w:rPr>
          <w:rFonts w:eastAsiaTheme="minorEastAsia"/>
          <w:b/>
          <w:color w:val="000000" w:themeColor="text1"/>
          <w:szCs w:val="21"/>
        </w:rPr>
      </w:pPr>
    </w:p>
    <w:p w14:paraId="1CF0295C" w14:textId="77777777" w:rsidR="005E6DF3" w:rsidRPr="00B27A29" w:rsidRDefault="005E6DF3">
      <w:pPr>
        <w:spacing w:line="360" w:lineRule="auto"/>
        <w:jc w:val="center"/>
        <w:rPr>
          <w:rFonts w:eastAsiaTheme="minorEastAsia"/>
          <w:b/>
          <w:color w:val="000000" w:themeColor="text1"/>
          <w:szCs w:val="21"/>
        </w:rPr>
      </w:pPr>
    </w:p>
    <w:p w14:paraId="446F656B" w14:textId="77777777" w:rsidR="005E6DF3" w:rsidRPr="00B27A29" w:rsidRDefault="005E6DF3">
      <w:pPr>
        <w:spacing w:line="360" w:lineRule="auto"/>
        <w:jc w:val="center"/>
        <w:rPr>
          <w:rFonts w:eastAsiaTheme="minorEastAsia"/>
          <w:b/>
          <w:color w:val="000000" w:themeColor="text1"/>
          <w:szCs w:val="21"/>
        </w:rPr>
      </w:pPr>
    </w:p>
    <w:p w14:paraId="0092A027" w14:textId="77777777" w:rsidR="005E6DF3" w:rsidRPr="00B27A29" w:rsidRDefault="005E6DF3">
      <w:pPr>
        <w:spacing w:line="360" w:lineRule="auto"/>
        <w:jc w:val="center"/>
        <w:rPr>
          <w:rFonts w:eastAsiaTheme="minorEastAsia"/>
          <w:b/>
          <w:color w:val="000000" w:themeColor="text1"/>
          <w:szCs w:val="21"/>
        </w:rPr>
      </w:pPr>
    </w:p>
    <w:p w14:paraId="1416A953" w14:textId="77777777" w:rsidR="005E6DF3" w:rsidRPr="00B27A29" w:rsidRDefault="005E6DF3">
      <w:pPr>
        <w:spacing w:line="360" w:lineRule="auto"/>
        <w:jc w:val="center"/>
        <w:rPr>
          <w:rFonts w:eastAsiaTheme="minorEastAsia"/>
          <w:b/>
          <w:color w:val="000000" w:themeColor="text1"/>
          <w:szCs w:val="21"/>
        </w:rPr>
      </w:pPr>
    </w:p>
    <w:p w14:paraId="446A8EA0" w14:textId="77777777" w:rsidR="005E6DF3" w:rsidRPr="00B27A29" w:rsidRDefault="005E6DF3">
      <w:pPr>
        <w:spacing w:line="360" w:lineRule="auto"/>
        <w:rPr>
          <w:rFonts w:eastAsiaTheme="minorEastAsia"/>
          <w:b/>
          <w:color w:val="000000" w:themeColor="text1"/>
          <w:szCs w:val="21"/>
        </w:rPr>
      </w:pPr>
    </w:p>
    <w:p w14:paraId="46EE5B5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13203A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36C2CD40"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6A48D0D6"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680919D"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D5EEEC8"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DFB31B8"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8AF291F"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2C97CD3"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6C6A08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7D08B72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8BC1FC7" w14:textId="77777777">
        <w:tc>
          <w:tcPr>
            <w:tcW w:w="2835" w:type="dxa"/>
            <w:vAlign w:val="center"/>
          </w:tcPr>
          <w:p w14:paraId="52672CC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B2DD7C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摩根锦程均衡养老三年持有混合</w:t>
            </w:r>
            <w:r w:rsidRPr="00B27A29">
              <w:rPr>
                <w:rFonts w:eastAsiaTheme="minorEastAsia"/>
                <w:color w:val="000000" w:themeColor="text1"/>
                <w:kern w:val="0"/>
                <w:szCs w:val="21"/>
              </w:rPr>
              <w:t>(FOF)</w:t>
            </w:r>
          </w:p>
        </w:tc>
      </w:tr>
      <w:tr w:rsidR="005E6DF3" w:rsidRPr="00B27A29" w14:paraId="2C174F23" w14:textId="77777777">
        <w:tc>
          <w:tcPr>
            <w:tcW w:w="2835" w:type="dxa"/>
            <w:vAlign w:val="center"/>
          </w:tcPr>
          <w:p w14:paraId="341BBC0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709553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007221</w:t>
            </w:r>
          </w:p>
        </w:tc>
      </w:tr>
      <w:tr w:rsidR="005E6DF3" w:rsidRPr="00B27A29" w14:paraId="69831149" w14:textId="77777777">
        <w:tc>
          <w:tcPr>
            <w:tcW w:w="2835" w:type="dxa"/>
            <w:vAlign w:val="center"/>
          </w:tcPr>
          <w:p w14:paraId="1543CC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51B75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EB6A6B1" w14:textId="77777777">
        <w:tc>
          <w:tcPr>
            <w:tcW w:w="2835" w:type="dxa"/>
            <w:vAlign w:val="center"/>
          </w:tcPr>
          <w:p w14:paraId="643B193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A439BA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14:paraId="46B0A6E3" w14:textId="77777777">
        <w:tc>
          <w:tcPr>
            <w:tcW w:w="2835" w:type="dxa"/>
            <w:vAlign w:val="center"/>
          </w:tcPr>
          <w:p w14:paraId="60258C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B7A879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104,903,500.63</w:t>
            </w:r>
            <w:r w:rsidRPr="00B27A29">
              <w:rPr>
                <w:rFonts w:eastAsiaTheme="minorEastAsia"/>
                <w:color w:val="000000" w:themeColor="text1"/>
                <w:kern w:val="0"/>
                <w:szCs w:val="21"/>
              </w:rPr>
              <w:t>份</w:t>
            </w:r>
          </w:p>
        </w:tc>
      </w:tr>
      <w:tr w:rsidR="005E6DF3" w:rsidRPr="00B27A29" w14:paraId="5ED7B1E7" w14:textId="77777777">
        <w:tc>
          <w:tcPr>
            <w:tcW w:w="2835" w:type="dxa"/>
            <w:vAlign w:val="center"/>
          </w:tcPr>
          <w:p w14:paraId="01FF36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6C92D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14:paraId="26BAF904" w14:textId="77777777">
        <w:tc>
          <w:tcPr>
            <w:tcW w:w="2835" w:type="dxa"/>
            <w:vAlign w:val="center"/>
          </w:tcPr>
          <w:p w14:paraId="13D0DA7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E5AB2A5"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14:paraId="0884377D"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14:paraId="53517E31"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50%:50%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14:paraId="7862F816"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14:paraId="07D45F7A"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14:paraId="795F8BFB"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14:paraId="618A1305"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投资策略：本基金将综合考量宏观经济运行情况、基金资产配置策略、底层资产运营情况、流动性及估值水平等因素，精选公募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14:paraId="090883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、其他投资策略：包括股票投资策略、债券投资策略、中小企业私募债投资策略、证券公司短期公司债投资策略、资产支持证券投资策略、存托凭证投资策略。</w:t>
            </w:r>
          </w:p>
        </w:tc>
      </w:tr>
      <w:tr w:rsidR="005E6DF3" w:rsidRPr="00B27A29" w14:paraId="38ADF417" w14:textId="77777777">
        <w:tc>
          <w:tcPr>
            <w:tcW w:w="2835" w:type="dxa"/>
            <w:vAlign w:val="center"/>
          </w:tcPr>
          <w:p w14:paraId="6DEFCBF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370C7C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14:paraId="3AA80BA0" w14:textId="77777777">
        <w:tc>
          <w:tcPr>
            <w:tcW w:w="2835" w:type="dxa"/>
            <w:vAlign w:val="center"/>
          </w:tcPr>
          <w:p w14:paraId="0479F0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5091F72"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w:t>
            </w:r>
            <w:r>
              <w:rPr>
                <w:rFonts w:eastAsiaTheme="minorEastAsia"/>
                <w:color w:val="000000" w:themeColor="text1"/>
                <w:kern w:val="0"/>
                <w:szCs w:val="21"/>
              </w:rPr>
              <w:lastRenderedPageBreak/>
              <w:t>划分。本基金的高风险类资产和其他资产的基准配置比例为</w:t>
            </w:r>
            <w:r>
              <w:rPr>
                <w:rFonts w:eastAsiaTheme="minorEastAsia"/>
                <w:color w:val="000000" w:themeColor="text1"/>
                <w:kern w:val="0"/>
                <w:szCs w:val="21"/>
              </w:rPr>
              <w:t>50%</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，属于基金管理人管理的养老目标风险基金中高风险和其他资产配置比例较为平衡的。</w:t>
            </w:r>
          </w:p>
          <w:p w14:paraId="5A084BCD" w14:textId="77777777" w:rsidR="00710FB2" w:rsidRDefault="00D56B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w:t>
            </w:r>
          </w:p>
          <w:p w14:paraId="0B50ED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53F5647" w14:textId="77777777">
        <w:tc>
          <w:tcPr>
            <w:tcW w:w="2835" w:type="dxa"/>
            <w:vAlign w:val="center"/>
          </w:tcPr>
          <w:p w14:paraId="5BD2D4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421C5D9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2F05070" w14:textId="77777777">
        <w:tc>
          <w:tcPr>
            <w:tcW w:w="2835" w:type="dxa"/>
            <w:vAlign w:val="center"/>
          </w:tcPr>
          <w:p w14:paraId="79DDB54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97FB28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76D5054E" w14:textId="77777777">
        <w:tc>
          <w:tcPr>
            <w:tcW w:w="2835" w:type="dxa"/>
            <w:vAlign w:val="center"/>
          </w:tcPr>
          <w:p w14:paraId="184AB46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04F7937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740" w:type="dxa"/>
            <w:vAlign w:val="center"/>
          </w:tcPr>
          <w:p w14:paraId="28E1BB2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14:paraId="1C305E8F" w14:textId="77777777">
        <w:tc>
          <w:tcPr>
            <w:tcW w:w="2835" w:type="dxa"/>
            <w:vAlign w:val="center"/>
          </w:tcPr>
          <w:p w14:paraId="6539682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65CE8A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007221</w:t>
            </w:r>
          </w:p>
        </w:tc>
        <w:tc>
          <w:tcPr>
            <w:tcW w:w="2740" w:type="dxa"/>
            <w:vAlign w:val="center"/>
          </w:tcPr>
          <w:p w14:paraId="1555EB4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017342</w:t>
            </w:r>
          </w:p>
        </w:tc>
      </w:tr>
      <w:tr w:rsidR="005E6DF3" w:rsidRPr="00B27A29" w14:paraId="5FDF66CB" w14:textId="77777777">
        <w:tc>
          <w:tcPr>
            <w:tcW w:w="2835" w:type="dxa"/>
            <w:vAlign w:val="center"/>
          </w:tcPr>
          <w:p w14:paraId="06A8644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51BA07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61,864,113.56</w:t>
            </w:r>
            <w:r w:rsidRPr="00B27A29">
              <w:rPr>
                <w:rFonts w:eastAsiaTheme="minorEastAsia"/>
                <w:color w:val="000000" w:themeColor="text1"/>
                <w:kern w:val="0"/>
                <w:szCs w:val="21"/>
              </w:rPr>
              <w:t>份</w:t>
            </w:r>
          </w:p>
        </w:tc>
        <w:tc>
          <w:tcPr>
            <w:tcW w:w="2740" w:type="dxa"/>
            <w:vAlign w:val="center"/>
          </w:tcPr>
          <w:p w14:paraId="0FE85A5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43,039,387.07</w:t>
            </w:r>
            <w:r w:rsidRPr="00B27A29">
              <w:rPr>
                <w:rFonts w:eastAsiaTheme="minorEastAsia"/>
                <w:color w:val="000000" w:themeColor="text1"/>
                <w:kern w:val="0"/>
                <w:szCs w:val="21"/>
              </w:rPr>
              <w:t>份</w:t>
            </w:r>
          </w:p>
        </w:tc>
      </w:tr>
    </w:tbl>
    <w:p w14:paraId="18775EC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67ABFE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E208D5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B65E8E9" w14:textId="77777777">
        <w:tc>
          <w:tcPr>
            <w:tcW w:w="3402" w:type="dxa"/>
            <w:vMerge w:val="restart"/>
            <w:vAlign w:val="center"/>
          </w:tcPr>
          <w:p w14:paraId="61DBBBB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5BE402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EAF6FE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5DEC346" w14:textId="77777777">
        <w:tc>
          <w:tcPr>
            <w:tcW w:w="3402" w:type="dxa"/>
            <w:vMerge/>
            <w:vAlign w:val="center"/>
          </w:tcPr>
          <w:p w14:paraId="2FA4F841"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6D4A5A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481" w:type="dxa"/>
            <w:vAlign w:val="center"/>
          </w:tcPr>
          <w:p w14:paraId="06E337C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14:paraId="20CC1658" w14:textId="77777777">
        <w:tc>
          <w:tcPr>
            <w:tcW w:w="3402" w:type="dxa"/>
            <w:vAlign w:val="center"/>
          </w:tcPr>
          <w:p w14:paraId="5DF63E4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AC1031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-76,887.33</w:t>
            </w:r>
          </w:p>
        </w:tc>
        <w:tc>
          <w:tcPr>
            <w:tcW w:w="2481" w:type="dxa"/>
            <w:vAlign w:val="center"/>
          </w:tcPr>
          <w:p w14:paraId="699F56A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-10,692.09</w:t>
            </w:r>
          </w:p>
        </w:tc>
      </w:tr>
      <w:tr w:rsidR="005E6DF3" w:rsidRPr="00B27A29" w14:paraId="7603D19B" w14:textId="77777777">
        <w:tc>
          <w:tcPr>
            <w:tcW w:w="3402" w:type="dxa"/>
            <w:vAlign w:val="center"/>
          </w:tcPr>
          <w:p w14:paraId="5081E0F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21A164D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5,440,611.30</w:t>
            </w:r>
          </w:p>
        </w:tc>
        <w:tc>
          <w:tcPr>
            <w:tcW w:w="2481" w:type="dxa"/>
            <w:vAlign w:val="center"/>
          </w:tcPr>
          <w:p w14:paraId="47A73E0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3,945,922.52</w:t>
            </w:r>
          </w:p>
        </w:tc>
      </w:tr>
      <w:tr w:rsidR="005E6DF3" w:rsidRPr="00B27A29" w14:paraId="3012361C" w14:textId="77777777">
        <w:tc>
          <w:tcPr>
            <w:tcW w:w="3402" w:type="dxa"/>
            <w:vAlign w:val="center"/>
          </w:tcPr>
          <w:p w14:paraId="0B8D2E8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14:paraId="423FD22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0.0846</w:t>
            </w:r>
          </w:p>
        </w:tc>
        <w:tc>
          <w:tcPr>
            <w:tcW w:w="2481" w:type="dxa"/>
            <w:vAlign w:val="center"/>
          </w:tcPr>
          <w:p w14:paraId="256F0B5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0.0925</w:t>
            </w:r>
          </w:p>
        </w:tc>
      </w:tr>
      <w:tr w:rsidR="005E6DF3" w:rsidRPr="00B27A29" w14:paraId="230C1715" w14:textId="77777777">
        <w:tc>
          <w:tcPr>
            <w:tcW w:w="3402" w:type="dxa"/>
            <w:vAlign w:val="center"/>
          </w:tcPr>
          <w:p w14:paraId="45B2AA8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24525D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72,441,512.06</w:t>
            </w:r>
          </w:p>
        </w:tc>
        <w:tc>
          <w:tcPr>
            <w:tcW w:w="2481" w:type="dxa"/>
            <w:vAlign w:val="center"/>
          </w:tcPr>
          <w:p w14:paraId="61CA257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50,743,124.40</w:t>
            </w:r>
          </w:p>
        </w:tc>
      </w:tr>
      <w:tr w:rsidR="005E6DF3" w:rsidRPr="00B27A29" w14:paraId="3DFCC71D" w14:textId="77777777">
        <w:trPr>
          <w:trHeight w:val="158"/>
        </w:trPr>
        <w:tc>
          <w:tcPr>
            <w:tcW w:w="3402" w:type="dxa"/>
            <w:vAlign w:val="center"/>
          </w:tcPr>
          <w:p w14:paraId="21DE33B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6473622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1.1710</w:t>
            </w:r>
          </w:p>
        </w:tc>
        <w:tc>
          <w:tcPr>
            <w:tcW w:w="2481" w:type="dxa"/>
            <w:vAlign w:val="center"/>
          </w:tcPr>
          <w:p w14:paraId="3988539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1.1790</w:t>
            </w:r>
          </w:p>
        </w:tc>
      </w:tr>
    </w:tbl>
    <w:p w14:paraId="256F80E6" w14:textId="77777777" w:rsidR="00710FB2" w:rsidRDefault="00D56B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1B0B77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37B4E1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C70680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1F52D46B"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340DE2C" w14:textId="77777777">
        <w:tc>
          <w:tcPr>
            <w:tcW w:w="1290" w:type="dxa"/>
            <w:vAlign w:val="center"/>
          </w:tcPr>
          <w:p w14:paraId="47ABCF7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5438DE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BA6D5A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A5FCE4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87A16E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ECD2E8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07DC02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10FB2" w14:paraId="2F201891" w14:textId="77777777">
        <w:tc>
          <w:tcPr>
            <w:tcW w:w="1290" w:type="dxa"/>
            <w:vAlign w:val="center"/>
          </w:tcPr>
          <w:p w14:paraId="4A98278F" w14:textId="77777777" w:rsidR="00710FB2" w:rsidRDefault="00D56B83">
            <w:pPr>
              <w:jc w:val="left"/>
            </w:pPr>
            <w:r>
              <w:rPr>
                <w:rFonts w:eastAsiaTheme="minorEastAsia"/>
                <w:color w:val="000000" w:themeColor="text1"/>
                <w:szCs w:val="21"/>
              </w:rPr>
              <w:t>过去三个月</w:t>
            </w:r>
          </w:p>
        </w:tc>
        <w:tc>
          <w:tcPr>
            <w:tcW w:w="1291" w:type="dxa"/>
            <w:vAlign w:val="center"/>
          </w:tcPr>
          <w:p w14:paraId="4A32702A" w14:textId="77777777" w:rsidR="00710FB2" w:rsidRDefault="00D56B83">
            <w:pPr>
              <w:jc w:val="right"/>
            </w:pPr>
            <w:r>
              <w:rPr>
                <w:rFonts w:eastAsiaTheme="minorEastAsia"/>
                <w:color w:val="000000" w:themeColor="text1"/>
                <w:szCs w:val="21"/>
              </w:rPr>
              <w:t>8.30%</w:t>
            </w:r>
          </w:p>
        </w:tc>
        <w:tc>
          <w:tcPr>
            <w:tcW w:w="1291" w:type="dxa"/>
            <w:vAlign w:val="center"/>
          </w:tcPr>
          <w:p w14:paraId="0C05E596" w14:textId="77777777" w:rsidR="00710FB2" w:rsidRDefault="00D56B83">
            <w:pPr>
              <w:jc w:val="right"/>
            </w:pPr>
            <w:r>
              <w:rPr>
                <w:rFonts w:eastAsiaTheme="minorEastAsia"/>
                <w:color w:val="000000" w:themeColor="text1"/>
                <w:szCs w:val="21"/>
              </w:rPr>
              <w:t>0.94%</w:t>
            </w:r>
          </w:p>
        </w:tc>
        <w:tc>
          <w:tcPr>
            <w:tcW w:w="1291" w:type="dxa"/>
            <w:vAlign w:val="center"/>
          </w:tcPr>
          <w:p w14:paraId="5945554D" w14:textId="77777777" w:rsidR="00710FB2" w:rsidRDefault="00D56B83">
            <w:pPr>
              <w:jc w:val="right"/>
            </w:pPr>
            <w:r>
              <w:rPr>
                <w:rFonts w:eastAsiaTheme="minorEastAsia"/>
                <w:color w:val="000000" w:themeColor="text1"/>
                <w:szCs w:val="21"/>
              </w:rPr>
              <w:t>8.84%</w:t>
            </w:r>
          </w:p>
        </w:tc>
        <w:tc>
          <w:tcPr>
            <w:tcW w:w="1291" w:type="dxa"/>
            <w:vAlign w:val="center"/>
          </w:tcPr>
          <w:p w14:paraId="53E65273" w14:textId="77777777" w:rsidR="00710FB2" w:rsidRDefault="00D56B83">
            <w:pPr>
              <w:jc w:val="right"/>
            </w:pPr>
            <w:r>
              <w:rPr>
                <w:rFonts w:eastAsiaTheme="minorEastAsia"/>
                <w:color w:val="000000" w:themeColor="text1"/>
                <w:szCs w:val="21"/>
              </w:rPr>
              <w:t>0.83%</w:t>
            </w:r>
          </w:p>
        </w:tc>
        <w:tc>
          <w:tcPr>
            <w:tcW w:w="1291" w:type="dxa"/>
            <w:vAlign w:val="center"/>
          </w:tcPr>
          <w:p w14:paraId="45F5D9B2" w14:textId="77777777" w:rsidR="00710FB2" w:rsidRDefault="00D56B83">
            <w:pPr>
              <w:jc w:val="right"/>
            </w:pPr>
            <w:r>
              <w:rPr>
                <w:rFonts w:eastAsiaTheme="minorEastAsia"/>
                <w:color w:val="000000" w:themeColor="text1"/>
                <w:szCs w:val="21"/>
              </w:rPr>
              <w:t>-0.54%</w:t>
            </w:r>
          </w:p>
        </w:tc>
        <w:tc>
          <w:tcPr>
            <w:tcW w:w="1291" w:type="dxa"/>
            <w:vAlign w:val="center"/>
          </w:tcPr>
          <w:p w14:paraId="03AD6C4B" w14:textId="77777777" w:rsidR="00710FB2" w:rsidRDefault="00D56B83">
            <w:pPr>
              <w:jc w:val="right"/>
            </w:pPr>
            <w:r>
              <w:rPr>
                <w:rFonts w:eastAsiaTheme="minorEastAsia"/>
                <w:color w:val="000000" w:themeColor="text1"/>
                <w:szCs w:val="21"/>
              </w:rPr>
              <w:t>0.11%</w:t>
            </w:r>
          </w:p>
        </w:tc>
      </w:tr>
      <w:tr w:rsidR="00710FB2" w14:paraId="174F2590" w14:textId="77777777">
        <w:tc>
          <w:tcPr>
            <w:tcW w:w="1290" w:type="dxa"/>
            <w:vAlign w:val="center"/>
          </w:tcPr>
          <w:p w14:paraId="7D5B49AA" w14:textId="77777777" w:rsidR="00710FB2" w:rsidRDefault="00D56B83">
            <w:pPr>
              <w:jc w:val="left"/>
            </w:pPr>
            <w:r>
              <w:rPr>
                <w:rFonts w:eastAsiaTheme="minorEastAsia"/>
                <w:color w:val="000000" w:themeColor="text1"/>
                <w:szCs w:val="21"/>
              </w:rPr>
              <w:t>过去六个月</w:t>
            </w:r>
          </w:p>
        </w:tc>
        <w:tc>
          <w:tcPr>
            <w:tcW w:w="1291" w:type="dxa"/>
            <w:vAlign w:val="center"/>
          </w:tcPr>
          <w:p w14:paraId="3225FA8A" w14:textId="77777777" w:rsidR="00710FB2" w:rsidRDefault="00D56B83">
            <w:pPr>
              <w:jc w:val="right"/>
            </w:pPr>
            <w:r>
              <w:rPr>
                <w:rFonts w:eastAsiaTheme="minorEastAsia"/>
                <w:color w:val="000000" w:themeColor="text1"/>
                <w:szCs w:val="21"/>
              </w:rPr>
              <w:t>8.22%</w:t>
            </w:r>
          </w:p>
        </w:tc>
        <w:tc>
          <w:tcPr>
            <w:tcW w:w="1291" w:type="dxa"/>
            <w:vAlign w:val="center"/>
          </w:tcPr>
          <w:p w14:paraId="76095CAB" w14:textId="77777777" w:rsidR="00710FB2" w:rsidRDefault="00D56B83">
            <w:pPr>
              <w:jc w:val="right"/>
            </w:pPr>
            <w:r>
              <w:rPr>
                <w:rFonts w:eastAsiaTheme="minorEastAsia"/>
                <w:color w:val="000000" w:themeColor="text1"/>
                <w:szCs w:val="21"/>
              </w:rPr>
              <w:t>0.75%</w:t>
            </w:r>
          </w:p>
        </w:tc>
        <w:tc>
          <w:tcPr>
            <w:tcW w:w="1291" w:type="dxa"/>
            <w:vAlign w:val="center"/>
          </w:tcPr>
          <w:p w14:paraId="6034F279" w14:textId="77777777" w:rsidR="00710FB2" w:rsidRDefault="00D56B83">
            <w:pPr>
              <w:jc w:val="right"/>
            </w:pPr>
            <w:r>
              <w:rPr>
                <w:rFonts w:eastAsiaTheme="minorEastAsia"/>
                <w:color w:val="000000" w:themeColor="text1"/>
                <w:szCs w:val="21"/>
              </w:rPr>
              <w:t>7.93%</w:t>
            </w:r>
          </w:p>
        </w:tc>
        <w:tc>
          <w:tcPr>
            <w:tcW w:w="1291" w:type="dxa"/>
            <w:vAlign w:val="center"/>
          </w:tcPr>
          <w:p w14:paraId="6A46EA97" w14:textId="77777777" w:rsidR="00710FB2" w:rsidRDefault="00D56B83">
            <w:pPr>
              <w:jc w:val="right"/>
            </w:pPr>
            <w:r>
              <w:rPr>
                <w:rFonts w:eastAsiaTheme="minorEastAsia"/>
                <w:color w:val="000000" w:themeColor="text1"/>
                <w:szCs w:val="21"/>
              </w:rPr>
              <w:t>0.66%</w:t>
            </w:r>
          </w:p>
        </w:tc>
        <w:tc>
          <w:tcPr>
            <w:tcW w:w="1291" w:type="dxa"/>
            <w:vAlign w:val="center"/>
          </w:tcPr>
          <w:p w14:paraId="3DA28C81" w14:textId="77777777" w:rsidR="00710FB2" w:rsidRDefault="00D56B83">
            <w:pPr>
              <w:jc w:val="right"/>
            </w:pPr>
            <w:r>
              <w:rPr>
                <w:rFonts w:eastAsiaTheme="minorEastAsia"/>
                <w:color w:val="000000" w:themeColor="text1"/>
                <w:szCs w:val="21"/>
              </w:rPr>
              <w:t>0.29%</w:t>
            </w:r>
          </w:p>
        </w:tc>
        <w:tc>
          <w:tcPr>
            <w:tcW w:w="1291" w:type="dxa"/>
            <w:vAlign w:val="center"/>
          </w:tcPr>
          <w:p w14:paraId="1FF50F0D" w14:textId="77777777" w:rsidR="00710FB2" w:rsidRDefault="00D56B83">
            <w:pPr>
              <w:jc w:val="right"/>
            </w:pPr>
            <w:r>
              <w:rPr>
                <w:rFonts w:eastAsiaTheme="minorEastAsia"/>
                <w:color w:val="000000" w:themeColor="text1"/>
                <w:szCs w:val="21"/>
              </w:rPr>
              <w:t>0.09%</w:t>
            </w:r>
          </w:p>
        </w:tc>
      </w:tr>
      <w:tr w:rsidR="00710FB2" w14:paraId="77A7C223" w14:textId="77777777">
        <w:tc>
          <w:tcPr>
            <w:tcW w:w="1290" w:type="dxa"/>
            <w:vAlign w:val="center"/>
          </w:tcPr>
          <w:p w14:paraId="5260D5DC" w14:textId="77777777" w:rsidR="00710FB2" w:rsidRDefault="00D56B83">
            <w:pPr>
              <w:jc w:val="left"/>
            </w:pPr>
            <w:r>
              <w:rPr>
                <w:rFonts w:eastAsiaTheme="minorEastAsia"/>
                <w:color w:val="000000" w:themeColor="text1"/>
                <w:szCs w:val="21"/>
              </w:rPr>
              <w:t>过去一年</w:t>
            </w:r>
          </w:p>
        </w:tc>
        <w:tc>
          <w:tcPr>
            <w:tcW w:w="1291" w:type="dxa"/>
            <w:vAlign w:val="center"/>
          </w:tcPr>
          <w:p w14:paraId="67F93CE0" w14:textId="77777777" w:rsidR="00710FB2" w:rsidRDefault="00D56B83">
            <w:pPr>
              <w:jc w:val="right"/>
            </w:pPr>
            <w:r>
              <w:rPr>
                <w:rFonts w:eastAsiaTheme="minorEastAsia"/>
                <w:color w:val="000000" w:themeColor="text1"/>
                <w:szCs w:val="21"/>
              </w:rPr>
              <w:t>3.85%</w:t>
            </w:r>
          </w:p>
        </w:tc>
        <w:tc>
          <w:tcPr>
            <w:tcW w:w="1291" w:type="dxa"/>
            <w:vAlign w:val="center"/>
          </w:tcPr>
          <w:p w14:paraId="5FA1430D" w14:textId="77777777" w:rsidR="00710FB2" w:rsidRDefault="00D56B83">
            <w:pPr>
              <w:jc w:val="right"/>
            </w:pPr>
            <w:r>
              <w:rPr>
                <w:rFonts w:eastAsiaTheme="minorEastAsia"/>
                <w:color w:val="000000" w:themeColor="text1"/>
                <w:szCs w:val="21"/>
              </w:rPr>
              <w:t>0.72%</w:t>
            </w:r>
          </w:p>
        </w:tc>
        <w:tc>
          <w:tcPr>
            <w:tcW w:w="1291" w:type="dxa"/>
            <w:vAlign w:val="center"/>
          </w:tcPr>
          <w:p w14:paraId="48963638" w14:textId="77777777" w:rsidR="00710FB2" w:rsidRDefault="00D56B83">
            <w:pPr>
              <w:jc w:val="right"/>
            </w:pPr>
            <w:r>
              <w:rPr>
                <w:rFonts w:eastAsiaTheme="minorEastAsia"/>
                <w:color w:val="000000" w:themeColor="text1"/>
                <w:szCs w:val="21"/>
              </w:rPr>
              <w:t>7.13%</w:t>
            </w:r>
          </w:p>
        </w:tc>
        <w:tc>
          <w:tcPr>
            <w:tcW w:w="1291" w:type="dxa"/>
            <w:vAlign w:val="center"/>
          </w:tcPr>
          <w:p w14:paraId="45AADCC8" w14:textId="77777777" w:rsidR="00710FB2" w:rsidRDefault="00D56B83">
            <w:pPr>
              <w:jc w:val="right"/>
            </w:pPr>
            <w:r>
              <w:rPr>
                <w:rFonts w:eastAsiaTheme="minorEastAsia"/>
                <w:color w:val="000000" w:themeColor="text1"/>
                <w:szCs w:val="21"/>
              </w:rPr>
              <w:t>0.59%</w:t>
            </w:r>
          </w:p>
        </w:tc>
        <w:tc>
          <w:tcPr>
            <w:tcW w:w="1291" w:type="dxa"/>
            <w:vAlign w:val="center"/>
          </w:tcPr>
          <w:p w14:paraId="46E4C7B6" w14:textId="77777777" w:rsidR="00710FB2" w:rsidRDefault="00D56B83">
            <w:pPr>
              <w:jc w:val="right"/>
            </w:pPr>
            <w:r>
              <w:rPr>
                <w:rFonts w:eastAsiaTheme="minorEastAsia"/>
                <w:color w:val="000000" w:themeColor="text1"/>
                <w:szCs w:val="21"/>
              </w:rPr>
              <w:t>-3.28%</w:t>
            </w:r>
          </w:p>
        </w:tc>
        <w:tc>
          <w:tcPr>
            <w:tcW w:w="1291" w:type="dxa"/>
            <w:vAlign w:val="center"/>
          </w:tcPr>
          <w:p w14:paraId="51CE6FE7" w14:textId="77777777" w:rsidR="00710FB2" w:rsidRDefault="00D56B83">
            <w:pPr>
              <w:jc w:val="right"/>
            </w:pPr>
            <w:r>
              <w:rPr>
                <w:rFonts w:eastAsiaTheme="minorEastAsia"/>
                <w:color w:val="000000" w:themeColor="text1"/>
                <w:szCs w:val="21"/>
              </w:rPr>
              <w:t>0.13%</w:t>
            </w:r>
          </w:p>
        </w:tc>
      </w:tr>
      <w:tr w:rsidR="00710FB2" w14:paraId="156F6127" w14:textId="77777777">
        <w:tc>
          <w:tcPr>
            <w:tcW w:w="1290" w:type="dxa"/>
            <w:vAlign w:val="center"/>
          </w:tcPr>
          <w:p w14:paraId="79CFB505" w14:textId="77777777" w:rsidR="00710FB2" w:rsidRDefault="00D56B83">
            <w:pPr>
              <w:jc w:val="left"/>
            </w:pPr>
            <w:r>
              <w:rPr>
                <w:rFonts w:eastAsiaTheme="minorEastAsia"/>
                <w:color w:val="000000" w:themeColor="text1"/>
                <w:szCs w:val="21"/>
              </w:rPr>
              <w:t>过去三年</w:t>
            </w:r>
          </w:p>
        </w:tc>
        <w:tc>
          <w:tcPr>
            <w:tcW w:w="1291" w:type="dxa"/>
            <w:vAlign w:val="center"/>
          </w:tcPr>
          <w:p w14:paraId="306067D8" w14:textId="77777777" w:rsidR="00710FB2" w:rsidRDefault="00D56B83">
            <w:pPr>
              <w:jc w:val="right"/>
            </w:pPr>
            <w:r>
              <w:rPr>
                <w:rFonts w:eastAsiaTheme="minorEastAsia"/>
                <w:color w:val="000000" w:themeColor="text1"/>
                <w:szCs w:val="21"/>
              </w:rPr>
              <w:t>-13.55%</w:t>
            </w:r>
          </w:p>
        </w:tc>
        <w:tc>
          <w:tcPr>
            <w:tcW w:w="1291" w:type="dxa"/>
            <w:vAlign w:val="center"/>
          </w:tcPr>
          <w:p w14:paraId="7D7C9A03" w14:textId="77777777" w:rsidR="00710FB2" w:rsidRDefault="00D56B83">
            <w:pPr>
              <w:jc w:val="right"/>
            </w:pPr>
            <w:r>
              <w:rPr>
                <w:rFonts w:eastAsiaTheme="minorEastAsia"/>
                <w:color w:val="000000" w:themeColor="text1"/>
                <w:szCs w:val="21"/>
              </w:rPr>
              <w:t>0.59%</w:t>
            </w:r>
          </w:p>
        </w:tc>
        <w:tc>
          <w:tcPr>
            <w:tcW w:w="1291" w:type="dxa"/>
            <w:vAlign w:val="center"/>
          </w:tcPr>
          <w:p w14:paraId="302D6F69" w14:textId="77777777" w:rsidR="00710FB2" w:rsidRDefault="00D56B83">
            <w:pPr>
              <w:jc w:val="right"/>
            </w:pPr>
            <w:r>
              <w:rPr>
                <w:rFonts w:eastAsiaTheme="minorEastAsia"/>
                <w:color w:val="000000" w:themeColor="text1"/>
                <w:szCs w:val="21"/>
              </w:rPr>
              <w:t>-1.85%</w:t>
            </w:r>
          </w:p>
        </w:tc>
        <w:tc>
          <w:tcPr>
            <w:tcW w:w="1291" w:type="dxa"/>
            <w:vAlign w:val="center"/>
          </w:tcPr>
          <w:p w14:paraId="5A17CE9C" w14:textId="77777777" w:rsidR="00710FB2" w:rsidRDefault="00D56B83">
            <w:pPr>
              <w:jc w:val="right"/>
            </w:pPr>
            <w:r>
              <w:rPr>
                <w:rFonts w:eastAsiaTheme="minorEastAsia"/>
                <w:color w:val="000000" w:themeColor="text1"/>
                <w:szCs w:val="21"/>
              </w:rPr>
              <w:t>0.54%</w:t>
            </w:r>
          </w:p>
        </w:tc>
        <w:tc>
          <w:tcPr>
            <w:tcW w:w="1291" w:type="dxa"/>
            <w:vAlign w:val="center"/>
          </w:tcPr>
          <w:p w14:paraId="5E5E0ABD" w14:textId="77777777" w:rsidR="00710FB2" w:rsidRDefault="00D56B83">
            <w:pPr>
              <w:jc w:val="right"/>
            </w:pPr>
            <w:r>
              <w:rPr>
                <w:rFonts w:eastAsiaTheme="minorEastAsia"/>
                <w:color w:val="000000" w:themeColor="text1"/>
                <w:szCs w:val="21"/>
              </w:rPr>
              <w:t>-11.70%</w:t>
            </w:r>
          </w:p>
        </w:tc>
        <w:tc>
          <w:tcPr>
            <w:tcW w:w="1291" w:type="dxa"/>
            <w:vAlign w:val="center"/>
          </w:tcPr>
          <w:p w14:paraId="58CEED38" w14:textId="77777777" w:rsidR="00710FB2" w:rsidRDefault="00D56B83">
            <w:pPr>
              <w:jc w:val="right"/>
            </w:pPr>
            <w:r>
              <w:rPr>
                <w:rFonts w:eastAsiaTheme="minorEastAsia"/>
                <w:color w:val="000000" w:themeColor="text1"/>
                <w:szCs w:val="21"/>
              </w:rPr>
              <w:t>0.05%</w:t>
            </w:r>
          </w:p>
        </w:tc>
      </w:tr>
      <w:tr w:rsidR="00710FB2" w14:paraId="140729FC" w14:textId="77777777">
        <w:tc>
          <w:tcPr>
            <w:tcW w:w="1290" w:type="dxa"/>
            <w:vAlign w:val="center"/>
          </w:tcPr>
          <w:p w14:paraId="6CEEC68B" w14:textId="77777777" w:rsidR="00710FB2" w:rsidRDefault="00D56B83">
            <w:pPr>
              <w:jc w:val="left"/>
            </w:pPr>
            <w:r>
              <w:rPr>
                <w:rFonts w:eastAsiaTheme="minorEastAsia"/>
                <w:color w:val="000000" w:themeColor="text1"/>
                <w:szCs w:val="21"/>
              </w:rPr>
              <w:t>过去五年</w:t>
            </w:r>
          </w:p>
        </w:tc>
        <w:tc>
          <w:tcPr>
            <w:tcW w:w="1291" w:type="dxa"/>
            <w:vAlign w:val="center"/>
          </w:tcPr>
          <w:p w14:paraId="1F43B73D" w14:textId="77777777" w:rsidR="00710FB2" w:rsidRDefault="00D56B83">
            <w:pPr>
              <w:jc w:val="right"/>
            </w:pPr>
            <w:r>
              <w:rPr>
                <w:rFonts w:eastAsiaTheme="minorEastAsia"/>
                <w:color w:val="000000" w:themeColor="text1"/>
                <w:szCs w:val="21"/>
              </w:rPr>
              <w:t>18.92%</w:t>
            </w:r>
          </w:p>
        </w:tc>
        <w:tc>
          <w:tcPr>
            <w:tcW w:w="1291" w:type="dxa"/>
            <w:vAlign w:val="center"/>
          </w:tcPr>
          <w:p w14:paraId="03D952A4" w14:textId="77777777" w:rsidR="00710FB2" w:rsidRDefault="00D56B83">
            <w:pPr>
              <w:jc w:val="right"/>
            </w:pPr>
            <w:r>
              <w:rPr>
                <w:rFonts w:eastAsiaTheme="minorEastAsia"/>
                <w:color w:val="000000" w:themeColor="text1"/>
                <w:szCs w:val="21"/>
              </w:rPr>
              <w:t>0.63%</w:t>
            </w:r>
          </w:p>
        </w:tc>
        <w:tc>
          <w:tcPr>
            <w:tcW w:w="1291" w:type="dxa"/>
            <w:vAlign w:val="center"/>
          </w:tcPr>
          <w:p w14:paraId="434408E3" w14:textId="77777777" w:rsidR="00710FB2" w:rsidRDefault="00D56B83">
            <w:pPr>
              <w:jc w:val="right"/>
            </w:pPr>
            <w:r>
              <w:rPr>
                <w:rFonts w:eastAsiaTheme="minorEastAsia"/>
                <w:color w:val="000000" w:themeColor="text1"/>
                <w:szCs w:val="21"/>
              </w:rPr>
              <w:t>17.35%</w:t>
            </w:r>
          </w:p>
        </w:tc>
        <w:tc>
          <w:tcPr>
            <w:tcW w:w="1291" w:type="dxa"/>
            <w:vAlign w:val="center"/>
          </w:tcPr>
          <w:p w14:paraId="2415C5DB" w14:textId="77777777" w:rsidR="00710FB2" w:rsidRDefault="00D56B83">
            <w:pPr>
              <w:jc w:val="right"/>
            </w:pPr>
            <w:r>
              <w:rPr>
                <w:rFonts w:eastAsiaTheme="minorEastAsia"/>
                <w:color w:val="000000" w:themeColor="text1"/>
                <w:szCs w:val="21"/>
              </w:rPr>
              <w:t>0.58%</w:t>
            </w:r>
          </w:p>
        </w:tc>
        <w:tc>
          <w:tcPr>
            <w:tcW w:w="1291" w:type="dxa"/>
            <w:vAlign w:val="center"/>
          </w:tcPr>
          <w:p w14:paraId="725430C8" w14:textId="77777777" w:rsidR="00710FB2" w:rsidRDefault="00D56B83">
            <w:pPr>
              <w:jc w:val="right"/>
            </w:pPr>
            <w:r>
              <w:rPr>
                <w:rFonts w:eastAsiaTheme="minorEastAsia"/>
                <w:color w:val="000000" w:themeColor="text1"/>
                <w:szCs w:val="21"/>
              </w:rPr>
              <w:t>1.57%</w:t>
            </w:r>
          </w:p>
        </w:tc>
        <w:tc>
          <w:tcPr>
            <w:tcW w:w="1291" w:type="dxa"/>
            <w:vAlign w:val="center"/>
          </w:tcPr>
          <w:p w14:paraId="22E05AC6" w14:textId="77777777" w:rsidR="00710FB2" w:rsidRDefault="00D56B83">
            <w:pPr>
              <w:jc w:val="right"/>
            </w:pPr>
            <w:r>
              <w:rPr>
                <w:rFonts w:eastAsiaTheme="minorEastAsia"/>
                <w:color w:val="000000" w:themeColor="text1"/>
                <w:szCs w:val="21"/>
              </w:rPr>
              <w:t>0.05%</w:t>
            </w:r>
          </w:p>
        </w:tc>
      </w:tr>
      <w:tr w:rsidR="00710FB2" w14:paraId="10079178" w14:textId="77777777">
        <w:tc>
          <w:tcPr>
            <w:tcW w:w="1290" w:type="dxa"/>
            <w:vAlign w:val="center"/>
          </w:tcPr>
          <w:p w14:paraId="71E26A08" w14:textId="77777777" w:rsidR="00710FB2" w:rsidRDefault="00D56B83">
            <w:pPr>
              <w:jc w:val="left"/>
            </w:pPr>
            <w:r>
              <w:rPr>
                <w:rFonts w:eastAsiaTheme="minorEastAsia"/>
                <w:color w:val="000000" w:themeColor="text1"/>
                <w:szCs w:val="21"/>
              </w:rPr>
              <w:t>自基金合同生效起至今</w:t>
            </w:r>
          </w:p>
        </w:tc>
        <w:tc>
          <w:tcPr>
            <w:tcW w:w="1291" w:type="dxa"/>
            <w:vAlign w:val="center"/>
          </w:tcPr>
          <w:p w14:paraId="160AABAC" w14:textId="77777777" w:rsidR="00710FB2" w:rsidRDefault="00D56B83">
            <w:pPr>
              <w:jc w:val="right"/>
            </w:pPr>
            <w:r>
              <w:rPr>
                <w:rFonts w:eastAsiaTheme="minorEastAsia"/>
                <w:color w:val="000000" w:themeColor="text1"/>
                <w:szCs w:val="21"/>
              </w:rPr>
              <w:t>17.10%</w:t>
            </w:r>
          </w:p>
        </w:tc>
        <w:tc>
          <w:tcPr>
            <w:tcW w:w="1291" w:type="dxa"/>
            <w:vAlign w:val="center"/>
          </w:tcPr>
          <w:p w14:paraId="32689537" w14:textId="77777777" w:rsidR="00710FB2" w:rsidRDefault="00D56B83">
            <w:pPr>
              <w:jc w:val="right"/>
            </w:pPr>
            <w:r>
              <w:rPr>
                <w:rFonts w:eastAsiaTheme="minorEastAsia"/>
                <w:color w:val="000000" w:themeColor="text1"/>
                <w:szCs w:val="21"/>
              </w:rPr>
              <w:t>0.62%</w:t>
            </w:r>
          </w:p>
        </w:tc>
        <w:tc>
          <w:tcPr>
            <w:tcW w:w="1291" w:type="dxa"/>
            <w:vAlign w:val="center"/>
          </w:tcPr>
          <w:p w14:paraId="71312D81" w14:textId="77777777" w:rsidR="00710FB2" w:rsidRDefault="00D56B83">
            <w:pPr>
              <w:jc w:val="right"/>
            </w:pPr>
            <w:r>
              <w:rPr>
                <w:rFonts w:eastAsiaTheme="minorEastAsia"/>
                <w:color w:val="000000" w:themeColor="text1"/>
                <w:szCs w:val="21"/>
              </w:rPr>
              <w:t>17.75%</w:t>
            </w:r>
          </w:p>
        </w:tc>
        <w:tc>
          <w:tcPr>
            <w:tcW w:w="1291" w:type="dxa"/>
            <w:vAlign w:val="center"/>
          </w:tcPr>
          <w:p w14:paraId="06AB957E" w14:textId="77777777" w:rsidR="00710FB2" w:rsidRDefault="00D56B83">
            <w:pPr>
              <w:jc w:val="right"/>
            </w:pPr>
            <w:r>
              <w:rPr>
                <w:rFonts w:eastAsiaTheme="minorEastAsia"/>
                <w:color w:val="000000" w:themeColor="text1"/>
                <w:szCs w:val="21"/>
              </w:rPr>
              <w:t>0.58%</w:t>
            </w:r>
          </w:p>
        </w:tc>
        <w:tc>
          <w:tcPr>
            <w:tcW w:w="1291" w:type="dxa"/>
            <w:vAlign w:val="center"/>
          </w:tcPr>
          <w:p w14:paraId="7F92BE56" w14:textId="77777777" w:rsidR="00710FB2" w:rsidRDefault="00D56B83">
            <w:pPr>
              <w:jc w:val="right"/>
            </w:pPr>
            <w:r>
              <w:rPr>
                <w:rFonts w:eastAsiaTheme="minorEastAsia"/>
                <w:color w:val="000000" w:themeColor="text1"/>
                <w:szCs w:val="21"/>
              </w:rPr>
              <w:t>-0.65%</w:t>
            </w:r>
          </w:p>
        </w:tc>
        <w:tc>
          <w:tcPr>
            <w:tcW w:w="1291" w:type="dxa"/>
            <w:vAlign w:val="center"/>
          </w:tcPr>
          <w:p w14:paraId="3B9CF8F5" w14:textId="77777777" w:rsidR="00710FB2" w:rsidRDefault="00D56B83">
            <w:pPr>
              <w:jc w:val="right"/>
            </w:pPr>
            <w:r>
              <w:rPr>
                <w:rFonts w:eastAsiaTheme="minorEastAsia"/>
                <w:color w:val="000000" w:themeColor="text1"/>
                <w:szCs w:val="21"/>
              </w:rPr>
              <w:t>0.04%</w:t>
            </w:r>
          </w:p>
        </w:tc>
      </w:tr>
    </w:tbl>
    <w:p w14:paraId="0D64607E"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C1B7238" w14:textId="77777777">
        <w:tc>
          <w:tcPr>
            <w:tcW w:w="1290" w:type="dxa"/>
            <w:vAlign w:val="center"/>
          </w:tcPr>
          <w:p w14:paraId="5ED6889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742888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E7D93E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2A05A2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CAFD54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096AED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FBEF72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10FB2" w14:paraId="634CFF3D" w14:textId="77777777">
        <w:tc>
          <w:tcPr>
            <w:tcW w:w="1290" w:type="dxa"/>
            <w:vAlign w:val="center"/>
          </w:tcPr>
          <w:p w14:paraId="23F9C841" w14:textId="77777777" w:rsidR="00710FB2" w:rsidRDefault="00D56B83">
            <w:pPr>
              <w:jc w:val="left"/>
            </w:pPr>
            <w:r>
              <w:rPr>
                <w:rFonts w:eastAsiaTheme="minorEastAsia"/>
                <w:color w:val="000000" w:themeColor="text1"/>
                <w:szCs w:val="21"/>
              </w:rPr>
              <w:t>过去三个月</w:t>
            </w:r>
          </w:p>
        </w:tc>
        <w:tc>
          <w:tcPr>
            <w:tcW w:w="1291" w:type="dxa"/>
            <w:vAlign w:val="center"/>
          </w:tcPr>
          <w:p w14:paraId="40842D65" w14:textId="77777777" w:rsidR="00710FB2" w:rsidRDefault="00D56B83">
            <w:pPr>
              <w:jc w:val="right"/>
            </w:pPr>
            <w:r>
              <w:rPr>
                <w:rFonts w:eastAsiaTheme="minorEastAsia"/>
                <w:color w:val="000000" w:themeColor="text1"/>
                <w:szCs w:val="21"/>
              </w:rPr>
              <w:t>8.39%</w:t>
            </w:r>
          </w:p>
        </w:tc>
        <w:tc>
          <w:tcPr>
            <w:tcW w:w="1291" w:type="dxa"/>
            <w:vAlign w:val="center"/>
          </w:tcPr>
          <w:p w14:paraId="29CE55FB" w14:textId="77777777" w:rsidR="00710FB2" w:rsidRDefault="00D56B83">
            <w:pPr>
              <w:jc w:val="right"/>
            </w:pPr>
            <w:r>
              <w:rPr>
                <w:rFonts w:eastAsiaTheme="minorEastAsia"/>
                <w:color w:val="000000" w:themeColor="text1"/>
                <w:szCs w:val="21"/>
              </w:rPr>
              <w:t>0.94%</w:t>
            </w:r>
          </w:p>
        </w:tc>
        <w:tc>
          <w:tcPr>
            <w:tcW w:w="1291" w:type="dxa"/>
            <w:vAlign w:val="center"/>
          </w:tcPr>
          <w:p w14:paraId="6BC5534D" w14:textId="77777777" w:rsidR="00710FB2" w:rsidRDefault="00D56B83">
            <w:pPr>
              <w:jc w:val="right"/>
            </w:pPr>
            <w:r>
              <w:rPr>
                <w:rFonts w:eastAsiaTheme="minorEastAsia"/>
                <w:color w:val="000000" w:themeColor="text1"/>
                <w:szCs w:val="21"/>
              </w:rPr>
              <w:t>8.84%</w:t>
            </w:r>
          </w:p>
        </w:tc>
        <w:tc>
          <w:tcPr>
            <w:tcW w:w="1291" w:type="dxa"/>
            <w:vAlign w:val="center"/>
          </w:tcPr>
          <w:p w14:paraId="0C199801" w14:textId="77777777" w:rsidR="00710FB2" w:rsidRDefault="00D56B83">
            <w:pPr>
              <w:jc w:val="right"/>
            </w:pPr>
            <w:r>
              <w:rPr>
                <w:rFonts w:eastAsiaTheme="minorEastAsia"/>
                <w:color w:val="000000" w:themeColor="text1"/>
                <w:szCs w:val="21"/>
              </w:rPr>
              <w:t>0.83%</w:t>
            </w:r>
          </w:p>
        </w:tc>
        <w:tc>
          <w:tcPr>
            <w:tcW w:w="1291" w:type="dxa"/>
            <w:vAlign w:val="center"/>
          </w:tcPr>
          <w:p w14:paraId="4CE9088C" w14:textId="77777777" w:rsidR="00710FB2" w:rsidRDefault="00D56B83">
            <w:pPr>
              <w:jc w:val="right"/>
            </w:pPr>
            <w:r>
              <w:rPr>
                <w:rFonts w:eastAsiaTheme="minorEastAsia"/>
                <w:color w:val="000000" w:themeColor="text1"/>
                <w:szCs w:val="21"/>
              </w:rPr>
              <w:t>-0.45%</w:t>
            </w:r>
          </w:p>
        </w:tc>
        <w:tc>
          <w:tcPr>
            <w:tcW w:w="1291" w:type="dxa"/>
            <w:vAlign w:val="center"/>
          </w:tcPr>
          <w:p w14:paraId="22F9C6D1" w14:textId="77777777" w:rsidR="00710FB2" w:rsidRDefault="00D56B83">
            <w:pPr>
              <w:jc w:val="right"/>
            </w:pPr>
            <w:r>
              <w:rPr>
                <w:rFonts w:eastAsiaTheme="minorEastAsia"/>
                <w:color w:val="000000" w:themeColor="text1"/>
                <w:szCs w:val="21"/>
              </w:rPr>
              <w:t>0.11%</w:t>
            </w:r>
          </w:p>
        </w:tc>
      </w:tr>
      <w:tr w:rsidR="00710FB2" w14:paraId="6FF39442" w14:textId="77777777">
        <w:tc>
          <w:tcPr>
            <w:tcW w:w="1290" w:type="dxa"/>
            <w:vAlign w:val="center"/>
          </w:tcPr>
          <w:p w14:paraId="1BE8B3A9" w14:textId="77777777" w:rsidR="00710FB2" w:rsidRDefault="00D56B83">
            <w:pPr>
              <w:jc w:val="left"/>
            </w:pPr>
            <w:r>
              <w:rPr>
                <w:rFonts w:eastAsiaTheme="minorEastAsia"/>
                <w:color w:val="000000" w:themeColor="text1"/>
                <w:szCs w:val="21"/>
              </w:rPr>
              <w:t>过去六个月</w:t>
            </w:r>
          </w:p>
        </w:tc>
        <w:tc>
          <w:tcPr>
            <w:tcW w:w="1291" w:type="dxa"/>
            <w:vAlign w:val="center"/>
          </w:tcPr>
          <w:p w14:paraId="49410E78" w14:textId="77777777" w:rsidR="00710FB2" w:rsidRDefault="00D56B83">
            <w:pPr>
              <w:jc w:val="right"/>
            </w:pPr>
            <w:r>
              <w:rPr>
                <w:rFonts w:eastAsiaTheme="minorEastAsia"/>
                <w:color w:val="000000" w:themeColor="text1"/>
                <w:szCs w:val="21"/>
              </w:rPr>
              <w:t>8.41%</w:t>
            </w:r>
          </w:p>
        </w:tc>
        <w:tc>
          <w:tcPr>
            <w:tcW w:w="1291" w:type="dxa"/>
            <w:vAlign w:val="center"/>
          </w:tcPr>
          <w:p w14:paraId="5FD4F4A6" w14:textId="77777777" w:rsidR="00710FB2" w:rsidRDefault="00D56B83">
            <w:pPr>
              <w:jc w:val="right"/>
            </w:pPr>
            <w:r>
              <w:rPr>
                <w:rFonts w:eastAsiaTheme="minorEastAsia"/>
                <w:color w:val="000000" w:themeColor="text1"/>
                <w:szCs w:val="21"/>
              </w:rPr>
              <w:t>0.75%</w:t>
            </w:r>
          </w:p>
        </w:tc>
        <w:tc>
          <w:tcPr>
            <w:tcW w:w="1291" w:type="dxa"/>
            <w:vAlign w:val="center"/>
          </w:tcPr>
          <w:p w14:paraId="07BA6318" w14:textId="77777777" w:rsidR="00710FB2" w:rsidRDefault="00D56B83">
            <w:pPr>
              <w:jc w:val="right"/>
            </w:pPr>
            <w:r>
              <w:rPr>
                <w:rFonts w:eastAsiaTheme="minorEastAsia"/>
                <w:color w:val="000000" w:themeColor="text1"/>
                <w:szCs w:val="21"/>
              </w:rPr>
              <w:t>7.93%</w:t>
            </w:r>
          </w:p>
        </w:tc>
        <w:tc>
          <w:tcPr>
            <w:tcW w:w="1291" w:type="dxa"/>
            <w:vAlign w:val="center"/>
          </w:tcPr>
          <w:p w14:paraId="14783A95" w14:textId="77777777" w:rsidR="00710FB2" w:rsidRDefault="00D56B83">
            <w:pPr>
              <w:jc w:val="right"/>
            </w:pPr>
            <w:r>
              <w:rPr>
                <w:rFonts w:eastAsiaTheme="minorEastAsia"/>
                <w:color w:val="000000" w:themeColor="text1"/>
                <w:szCs w:val="21"/>
              </w:rPr>
              <w:t>0.66%</w:t>
            </w:r>
          </w:p>
        </w:tc>
        <w:tc>
          <w:tcPr>
            <w:tcW w:w="1291" w:type="dxa"/>
            <w:vAlign w:val="center"/>
          </w:tcPr>
          <w:p w14:paraId="636C15B5" w14:textId="77777777" w:rsidR="00710FB2" w:rsidRDefault="00D56B83">
            <w:pPr>
              <w:jc w:val="right"/>
            </w:pPr>
            <w:r>
              <w:rPr>
                <w:rFonts w:eastAsiaTheme="minorEastAsia"/>
                <w:color w:val="000000" w:themeColor="text1"/>
                <w:szCs w:val="21"/>
              </w:rPr>
              <w:t>0.48%</w:t>
            </w:r>
          </w:p>
        </w:tc>
        <w:tc>
          <w:tcPr>
            <w:tcW w:w="1291" w:type="dxa"/>
            <w:vAlign w:val="center"/>
          </w:tcPr>
          <w:p w14:paraId="4489A7B5" w14:textId="77777777" w:rsidR="00710FB2" w:rsidRDefault="00D56B83">
            <w:pPr>
              <w:jc w:val="right"/>
            </w:pPr>
            <w:r>
              <w:rPr>
                <w:rFonts w:eastAsiaTheme="minorEastAsia"/>
                <w:color w:val="000000" w:themeColor="text1"/>
                <w:szCs w:val="21"/>
              </w:rPr>
              <w:t>0.09%</w:t>
            </w:r>
          </w:p>
        </w:tc>
      </w:tr>
      <w:tr w:rsidR="00710FB2" w14:paraId="19E8F25F" w14:textId="77777777">
        <w:tc>
          <w:tcPr>
            <w:tcW w:w="1290" w:type="dxa"/>
            <w:vAlign w:val="center"/>
          </w:tcPr>
          <w:p w14:paraId="6E8B8915" w14:textId="77777777" w:rsidR="00710FB2" w:rsidRDefault="00D56B83">
            <w:pPr>
              <w:jc w:val="left"/>
            </w:pPr>
            <w:r>
              <w:rPr>
                <w:rFonts w:eastAsiaTheme="minorEastAsia"/>
                <w:color w:val="000000" w:themeColor="text1"/>
                <w:szCs w:val="21"/>
              </w:rPr>
              <w:t>过去一年</w:t>
            </w:r>
          </w:p>
        </w:tc>
        <w:tc>
          <w:tcPr>
            <w:tcW w:w="1291" w:type="dxa"/>
            <w:vAlign w:val="center"/>
          </w:tcPr>
          <w:p w14:paraId="7A16D40D" w14:textId="77777777" w:rsidR="00710FB2" w:rsidRDefault="00D56B83">
            <w:pPr>
              <w:jc w:val="right"/>
            </w:pPr>
            <w:r>
              <w:rPr>
                <w:rFonts w:eastAsiaTheme="minorEastAsia"/>
                <w:color w:val="000000" w:themeColor="text1"/>
                <w:szCs w:val="21"/>
              </w:rPr>
              <w:t>4.23%</w:t>
            </w:r>
          </w:p>
        </w:tc>
        <w:tc>
          <w:tcPr>
            <w:tcW w:w="1291" w:type="dxa"/>
            <w:vAlign w:val="center"/>
          </w:tcPr>
          <w:p w14:paraId="58D1E671" w14:textId="77777777" w:rsidR="00710FB2" w:rsidRDefault="00D56B83">
            <w:pPr>
              <w:jc w:val="right"/>
            </w:pPr>
            <w:r>
              <w:rPr>
                <w:rFonts w:eastAsiaTheme="minorEastAsia"/>
                <w:color w:val="000000" w:themeColor="text1"/>
                <w:szCs w:val="21"/>
              </w:rPr>
              <w:t>0.72%</w:t>
            </w:r>
          </w:p>
        </w:tc>
        <w:tc>
          <w:tcPr>
            <w:tcW w:w="1291" w:type="dxa"/>
            <w:vAlign w:val="center"/>
          </w:tcPr>
          <w:p w14:paraId="0782504D" w14:textId="77777777" w:rsidR="00710FB2" w:rsidRDefault="00D56B83">
            <w:pPr>
              <w:jc w:val="right"/>
            </w:pPr>
            <w:r>
              <w:rPr>
                <w:rFonts w:eastAsiaTheme="minorEastAsia"/>
                <w:color w:val="000000" w:themeColor="text1"/>
                <w:szCs w:val="21"/>
              </w:rPr>
              <w:t>7.13%</w:t>
            </w:r>
          </w:p>
        </w:tc>
        <w:tc>
          <w:tcPr>
            <w:tcW w:w="1291" w:type="dxa"/>
            <w:vAlign w:val="center"/>
          </w:tcPr>
          <w:p w14:paraId="2D4F45E2" w14:textId="77777777" w:rsidR="00710FB2" w:rsidRDefault="00D56B83">
            <w:pPr>
              <w:jc w:val="right"/>
            </w:pPr>
            <w:r>
              <w:rPr>
                <w:rFonts w:eastAsiaTheme="minorEastAsia"/>
                <w:color w:val="000000" w:themeColor="text1"/>
                <w:szCs w:val="21"/>
              </w:rPr>
              <w:t>0.59%</w:t>
            </w:r>
          </w:p>
        </w:tc>
        <w:tc>
          <w:tcPr>
            <w:tcW w:w="1291" w:type="dxa"/>
            <w:vAlign w:val="center"/>
          </w:tcPr>
          <w:p w14:paraId="5538B383" w14:textId="77777777" w:rsidR="00710FB2" w:rsidRDefault="00D56B83">
            <w:pPr>
              <w:jc w:val="right"/>
            </w:pPr>
            <w:r>
              <w:rPr>
                <w:rFonts w:eastAsiaTheme="minorEastAsia"/>
                <w:color w:val="000000" w:themeColor="text1"/>
                <w:szCs w:val="21"/>
              </w:rPr>
              <w:t>-2.90%</w:t>
            </w:r>
          </w:p>
        </w:tc>
        <w:tc>
          <w:tcPr>
            <w:tcW w:w="1291" w:type="dxa"/>
            <w:vAlign w:val="center"/>
          </w:tcPr>
          <w:p w14:paraId="7B4B7C35" w14:textId="77777777" w:rsidR="00710FB2" w:rsidRDefault="00D56B83">
            <w:pPr>
              <w:jc w:val="right"/>
            </w:pPr>
            <w:r>
              <w:rPr>
                <w:rFonts w:eastAsiaTheme="minorEastAsia"/>
                <w:color w:val="000000" w:themeColor="text1"/>
                <w:szCs w:val="21"/>
              </w:rPr>
              <w:t>0.13%</w:t>
            </w:r>
          </w:p>
        </w:tc>
      </w:tr>
      <w:tr w:rsidR="00710FB2" w14:paraId="4D74B5DA" w14:textId="77777777">
        <w:tc>
          <w:tcPr>
            <w:tcW w:w="1290" w:type="dxa"/>
            <w:vAlign w:val="center"/>
          </w:tcPr>
          <w:p w14:paraId="18A6D665" w14:textId="77777777" w:rsidR="00710FB2" w:rsidRDefault="00D56B83">
            <w:pPr>
              <w:jc w:val="left"/>
            </w:pPr>
            <w:r>
              <w:rPr>
                <w:rFonts w:eastAsiaTheme="minorEastAsia"/>
                <w:color w:val="000000" w:themeColor="text1"/>
                <w:szCs w:val="21"/>
              </w:rPr>
              <w:t>过去三年</w:t>
            </w:r>
          </w:p>
        </w:tc>
        <w:tc>
          <w:tcPr>
            <w:tcW w:w="1291" w:type="dxa"/>
            <w:vAlign w:val="center"/>
          </w:tcPr>
          <w:p w14:paraId="537B96CA" w14:textId="77777777" w:rsidR="00710FB2" w:rsidRDefault="00D56B83">
            <w:pPr>
              <w:jc w:val="right"/>
            </w:pPr>
            <w:r>
              <w:rPr>
                <w:rFonts w:eastAsiaTheme="minorEastAsia"/>
                <w:color w:val="000000" w:themeColor="text1"/>
                <w:szCs w:val="21"/>
              </w:rPr>
              <w:t>-</w:t>
            </w:r>
          </w:p>
        </w:tc>
        <w:tc>
          <w:tcPr>
            <w:tcW w:w="1291" w:type="dxa"/>
            <w:vAlign w:val="center"/>
          </w:tcPr>
          <w:p w14:paraId="4754A2C4" w14:textId="77777777" w:rsidR="00710FB2" w:rsidRDefault="00D56B83">
            <w:pPr>
              <w:jc w:val="right"/>
            </w:pPr>
            <w:r>
              <w:rPr>
                <w:rFonts w:eastAsiaTheme="minorEastAsia"/>
                <w:color w:val="000000" w:themeColor="text1"/>
                <w:szCs w:val="21"/>
              </w:rPr>
              <w:t>-</w:t>
            </w:r>
          </w:p>
        </w:tc>
        <w:tc>
          <w:tcPr>
            <w:tcW w:w="1291" w:type="dxa"/>
            <w:vAlign w:val="center"/>
          </w:tcPr>
          <w:p w14:paraId="14F51BD0" w14:textId="77777777" w:rsidR="00710FB2" w:rsidRDefault="00D56B83">
            <w:pPr>
              <w:jc w:val="right"/>
            </w:pPr>
            <w:r>
              <w:rPr>
                <w:rFonts w:eastAsiaTheme="minorEastAsia"/>
                <w:color w:val="000000" w:themeColor="text1"/>
                <w:szCs w:val="21"/>
              </w:rPr>
              <w:t>-</w:t>
            </w:r>
          </w:p>
        </w:tc>
        <w:tc>
          <w:tcPr>
            <w:tcW w:w="1291" w:type="dxa"/>
            <w:vAlign w:val="center"/>
          </w:tcPr>
          <w:p w14:paraId="1A38AF8A" w14:textId="77777777" w:rsidR="00710FB2" w:rsidRDefault="00D56B83">
            <w:pPr>
              <w:jc w:val="right"/>
            </w:pPr>
            <w:r>
              <w:rPr>
                <w:rFonts w:eastAsiaTheme="minorEastAsia"/>
                <w:color w:val="000000" w:themeColor="text1"/>
                <w:szCs w:val="21"/>
              </w:rPr>
              <w:t>-</w:t>
            </w:r>
          </w:p>
        </w:tc>
        <w:tc>
          <w:tcPr>
            <w:tcW w:w="1291" w:type="dxa"/>
            <w:vAlign w:val="center"/>
          </w:tcPr>
          <w:p w14:paraId="0BB304B9" w14:textId="77777777" w:rsidR="00710FB2" w:rsidRDefault="00D56B83">
            <w:pPr>
              <w:jc w:val="right"/>
            </w:pPr>
            <w:r>
              <w:rPr>
                <w:rFonts w:eastAsiaTheme="minorEastAsia"/>
                <w:color w:val="000000" w:themeColor="text1"/>
                <w:szCs w:val="21"/>
              </w:rPr>
              <w:t>-</w:t>
            </w:r>
          </w:p>
        </w:tc>
        <w:tc>
          <w:tcPr>
            <w:tcW w:w="1291" w:type="dxa"/>
            <w:vAlign w:val="center"/>
          </w:tcPr>
          <w:p w14:paraId="6DC8DA89" w14:textId="77777777" w:rsidR="00710FB2" w:rsidRDefault="00D56B83">
            <w:pPr>
              <w:jc w:val="right"/>
            </w:pPr>
            <w:r>
              <w:rPr>
                <w:rFonts w:eastAsiaTheme="minorEastAsia"/>
                <w:color w:val="000000" w:themeColor="text1"/>
                <w:szCs w:val="21"/>
              </w:rPr>
              <w:t>-</w:t>
            </w:r>
          </w:p>
        </w:tc>
      </w:tr>
      <w:tr w:rsidR="00710FB2" w14:paraId="223FDD09" w14:textId="77777777">
        <w:tc>
          <w:tcPr>
            <w:tcW w:w="1290" w:type="dxa"/>
            <w:vAlign w:val="center"/>
          </w:tcPr>
          <w:p w14:paraId="11713E3F" w14:textId="77777777" w:rsidR="00710FB2" w:rsidRDefault="00D56B83">
            <w:pPr>
              <w:jc w:val="left"/>
            </w:pPr>
            <w:r>
              <w:rPr>
                <w:rFonts w:eastAsiaTheme="minorEastAsia"/>
                <w:color w:val="000000" w:themeColor="text1"/>
                <w:szCs w:val="21"/>
              </w:rPr>
              <w:t>过去五年</w:t>
            </w:r>
          </w:p>
        </w:tc>
        <w:tc>
          <w:tcPr>
            <w:tcW w:w="1291" w:type="dxa"/>
            <w:vAlign w:val="center"/>
          </w:tcPr>
          <w:p w14:paraId="406DA664" w14:textId="77777777" w:rsidR="00710FB2" w:rsidRDefault="00D56B83">
            <w:pPr>
              <w:jc w:val="right"/>
            </w:pPr>
            <w:r>
              <w:rPr>
                <w:rFonts w:eastAsiaTheme="minorEastAsia"/>
                <w:color w:val="000000" w:themeColor="text1"/>
                <w:szCs w:val="21"/>
              </w:rPr>
              <w:t>-</w:t>
            </w:r>
          </w:p>
        </w:tc>
        <w:tc>
          <w:tcPr>
            <w:tcW w:w="1291" w:type="dxa"/>
            <w:vAlign w:val="center"/>
          </w:tcPr>
          <w:p w14:paraId="49952A50" w14:textId="77777777" w:rsidR="00710FB2" w:rsidRDefault="00D56B83">
            <w:pPr>
              <w:jc w:val="right"/>
            </w:pPr>
            <w:r>
              <w:rPr>
                <w:rFonts w:eastAsiaTheme="minorEastAsia"/>
                <w:color w:val="000000" w:themeColor="text1"/>
                <w:szCs w:val="21"/>
              </w:rPr>
              <w:t>-</w:t>
            </w:r>
          </w:p>
        </w:tc>
        <w:tc>
          <w:tcPr>
            <w:tcW w:w="1291" w:type="dxa"/>
            <w:vAlign w:val="center"/>
          </w:tcPr>
          <w:p w14:paraId="7A850CAF" w14:textId="77777777" w:rsidR="00710FB2" w:rsidRDefault="00D56B83">
            <w:pPr>
              <w:jc w:val="right"/>
            </w:pPr>
            <w:r>
              <w:rPr>
                <w:rFonts w:eastAsiaTheme="minorEastAsia"/>
                <w:color w:val="000000" w:themeColor="text1"/>
                <w:szCs w:val="21"/>
              </w:rPr>
              <w:t>-</w:t>
            </w:r>
          </w:p>
        </w:tc>
        <w:tc>
          <w:tcPr>
            <w:tcW w:w="1291" w:type="dxa"/>
            <w:vAlign w:val="center"/>
          </w:tcPr>
          <w:p w14:paraId="5D449CAB" w14:textId="77777777" w:rsidR="00710FB2" w:rsidRDefault="00D56B83">
            <w:pPr>
              <w:jc w:val="right"/>
            </w:pPr>
            <w:r>
              <w:rPr>
                <w:rFonts w:eastAsiaTheme="minorEastAsia"/>
                <w:color w:val="000000" w:themeColor="text1"/>
                <w:szCs w:val="21"/>
              </w:rPr>
              <w:t>-</w:t>
            </w:r>
          </w:p>
        </w:tc>
        <w:tc>
          <w:tcPr>
            <w:tcW w:w="1291" w:type="dxa"/>
            <w:vAlign w:val="center"/>
          </w:tcPr>
          <w:p w14:paraId="2C3B3925" w14:textId="77777777" w:rsidR="00710FB2" w:rsidRDefault="00D56B83">
            <w:pPr>
              <w:jc w:val="right"/>
            </w:pPr>
            <w:r>
              <w:rPr>
                <w:rFonts w:eastAsiaTheme="minorEastAsia"/>
                <w:color w:val="000000" w:themeColor="text1"/>
                <w:szCs w:val="21"/>
              </w:rPr>
              <w:t>-</w:t>
            </w:r>
          </w:p>
        </w:tc>
        <w:tc>
          <w:tcPr>
            <w:tcW w:w="1291" w:type="dxa"/>
            <w:vAlign w:val="center"/>
          </w:tcPr>
          <w:p w14:paraId="770BFEEE" w14:textId="77777777" w:rsidR="00710FB2" w:rsidRDefault="00D56B83">
            <w:pPr>
              <w:jc w:val="right"/>
            </w:pPr>
            <w:r>
              <w:rPr>
                <w:rFonts w:eastAsiaTheme="minorEastAsia"/>
                <w:color w:val="000000" w:themeColor="text1"/>
                <w:szCs w:val="21"/>
              </w:rPr>
              <w:t>-</w:t>
            </w:r>
          </w:p>
        </w:tc>
      </w:tr>
      <w:tr w:rsidR="00710FB2" w14:paraId="0F07E49A" w14:textId="77777777">
        <w:tc>
          <w:tcPr>
            <w:tcW w:w="1290" w:type="dxa"/>
            <w:vAlign w:val="center"/>
          </w:tcPr>
          <w:p w14:paraId="070F5D64" w14:textId="77777777" w:rsidR="00710FB2" w:rsidRDefault="00D56B83">
            <w:pPr>
              <w:jc w:val="left"/>
            </w:pPr>
            <w:r>
              <w:rPr>
                <w:rFonts w:eastAsiaTheme="minorEastAsia"/>
                <w:color w:val="000000" w:themeColor="text1"/>
                <w:szCs w:val="21"/>
              </w:rPr>
              <w:t>自基金合同生效起至今</w:t>
            </w:r>
          </w:p>
        </w:tc>
        <w:tc>
          <w:tcPr>
            <w:tcW w:w="1291" w:type="dxa"/>
            <w:vAlign w:val="center"/>
          </w:tcPr>
          <w:p w14:paraId="737E84DD" w14:textId="77777777" w:rsidR="00710FB2" w:rsidRDefault="00D56B83">
            <w:pPr>
              <w:jc w:val="right"/>
            </w:pPr>
            <w:r>
              <w:rPr>
                <w:rFonts w:eastAsiaTheme="minorEastAsia"/>
                <w:color w:val="000000" w:themeColor="text1"/>
                <w:szCs w:val="21"/>
              </w:rPr>
              <w:t>1.80%</w:t>
            </w:r>
          </w:p>
        </w:tc>
        <w:tc>
          <w:tcPr>
            <w:tcW w:w="1291" w:type="dxa"/>
            <w:vAlign w:val="center"/>
          </w:tcPr>
          <w:p w14:paraId="57BC13AF" w14:textId="77777777" w:rsidR="00710FB2" w:rsidRDefault="00D56B83">
            <w:pPr>
              <w:jc w:val="right"/>
            </w:pPr>
            <w:r>
              <w:rPr>
                <w:rFonts w:eastAsiaTheme="minorEastAsia"/>
                <w:color w:val="000000" w:themeColor="text1"/>
                <w:szCs w:val="21"/>
              </w:rPr>
              <w:t>0.62%</w:t>
            </w:r>
          </w:p>
        </w:tc>
        <w:tc>
          <w:tcPr>
            <w:tcW w:w="1291" w:type="dxa"/>
            <w:vAlign w:val="center"/>
          </w:tcPr>
          <w:p w14:paraId="654C1516" w14:textId="77777777" w:rsidR="00710FB2" w:rsidRDefault="00D56B83">
            <w:pPr>
              <w:jc w:val="right"/>
            </w:pPr>
            <w:r>
              <w:rPr>
                <w:rFonts w:eastAsiaTheme="minorEastAsia"/>
                <w:color w:val="000000" w:themeColor="text1"/>
                <w:szCs w:val="21"/>
              </w:rPr>
              <w:t>7.68%</w:t>
            </w:r>
          </w:p>
        </w:tc>
        <w:tc>
          <w:tcPr>
            <w:tcW w:w="1291" w:type="dxa"/>
            <w:vAlign w:val="center"/>
          </w:tcPr>
          <w:p w14:paraId="32D1D824" w14:textId="77777777" w:rsidR="00710FB2" w:rsidRDefault="00D56B83">
            <w:pPr>
              <w:jc w:val="right"/>
            </w:pPr>
            <w:r>
              <w:rPr>
                <w:rFonts w:eastAsiaTheme="minorEastAsia"/>
                <w:color w:val="000000" w:themeColor="text1"/>
                <w:szCs w:val="21"/>
              </w:rPr>
              <w:t>0.51%</w:t>
            </w:r>
          </w:p>
        </w:tc>
        <w:tc>
          <w:tcPr>
            <w:tcW w:w="1291" w:type="dxa"/>
            <w:vAlign w:val="center"/>
          </w:tcPr>
          <w:p w14:paraId="375DAD2D" w14:textId="77777777" w:rsidR="00710FB2" w:rsidRDefault="00D56B83">
            <w:pPr>
              <w:jc w:val="right"/>
            </w:pPr>
            <w:r>
              <w:rPr>
                <w:rFonts w:eastAsiaTheme="minorEastAsia"/>
                <w:color w:val="000000" w:themeColor="text1"/>
                <w:szCs w:val="21"/>
              </w:rPr>
              <w:t>-5.88%</w:t>
            </w:r>
          </w:p>
        </w:tc>
        <w:tc>
          <w:tcPr>
            <w:tcW w:w="1291" w:type="dxa"/>
            <w:vAlign w:val="center"/>
          </w:tcPr>
          <w:p w14:paraId="1FC977DC" w14:textId="77777777" w:rsidR="00710FB2" w:rsidRDefault="00D56B83">
            <w:pPr>
              <w:jc w:val="right"/>
            </w:pPr>
            <w:r>
              <w:rPr>
                <w:rFonts w:eastAsiaTheme="minorEastAsia"/>
                <w:color w:val="000000" w:themeColor="text1"/>
                <w:szCs w:val="21"/>
              </w:rPr>
              <w:t>0.11%</w:t>
            </w:r>
          </w:p>
        </w:tc>
      </w:tr>
    </w:tbl>
    <w:p w14:paraId="3CD9ABD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5A1D396"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摩根锦程均衡养老目标三年持有期混合型基金中基金</w:t>
      </w:r>
      <w:r w:rsidRPr="00B27A29">
        <w:rPr>
          <w:rFonts w:eastAsiaTheme="minorEastAsia"/>
          <w:color w:val="000000" w:themeColor="text1"/>
          <w:szCs w:val="21"/>
        </w:rPr>
        <w:t>(FOF)</w:t>
      </w:r>
    </w:p>
    <w:p w14:paraId="2C3EE6BA"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426411F"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A9CE3AE"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r w:rsidRPr="00B27A29">
        <w:rPr>
          <w:rFonts w:eastAsiaTheme="minorEastAsia"/>
          <w:color w:val="000000" w:themeColor="text1"/>
          <w:szCs w:val="21"/>
        </w:rPr>
        <w:t>：</w:t>
      </w:r>
    </w:p>
    <w:p w14:paraId="7FD7647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C851E11" wp14:editId="79DF67C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537579F"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r w:rsidRPr="00B27A29">
        <w:rPr>
          <w:rFonts w:eastAsiaTheme="minorEastAsia"/>
          <w:color w:val="000000" w:themeColor="text1"/>
          <w:szCs w:val="21"/>
        </w:rPr>
        <w:t>：</w:t>
      </w:r>
    </w:p>
    <w:p w14:paraId="37292F6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A9E7726" wp14:editId="7C4DA58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20D3912"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14:paraId="10534487"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14:paraId="6578B27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6263DE71" w14:textId="77777777" w:rsidR="005E6DF3" w:rsidRPr="00B27A29" w:rsidRDefault="005E6DF3">
      <w:pPr>
        <w:tabs>
          <w:tab w:val="left" w:pos="1800"/>
        </w:tabs>
        <w:spacing w:line="288" w:lineRule="auto"/>
        <w:rPr>
          <w:rFonts w:eastAsiaTheme="minorEastAsia"/>
          <w:color w:val="000000" w:themeColor="text1"/>
          <w:szCs w:val="21"/>
        </w:rPr>
      </w:pPr>
    </w:p>
    <w:p w14:paraId="2C59730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E9E0B6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CDFA8C0" w14:textId="77777777">
        <w:tc>
          <w:tcPr>
            <w:tcW w:w="952" w:type="dxa"/>
            <w:vMerge w:val="restart"/>
            <w:vAlign w:val="center"/>
          </w:tcPr>
          <w:p w14:paraId="1027B1E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DDFC13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C03D82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6A876DE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891651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0701C52" w14:textId="77777777">
        <w:tc>
          <w:tcPr>
            <w:tcW w:w="952" w:type="dxa"/>
            <w:vMerge/>
            <w:vAlign w:val="center"/>
          </w:tcPr>
          <w:p w14:paraId="1B59AA9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9F2185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79D290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33D01A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67588B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60B740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10FB2" w14:paraId="1C0AFBE3" w14:textId="77777777">
        <w:tc>
          <w:tcPr>
            <w:tcW w:w="952" w:type="dxa"/>
            <w:vAlign w:val="center"/>
          </w:tcPr>
          <w:p w14:paraId="77FB4A74" w14:textId="77777777" w:rsidR="00710FB2" w:rsidRDefault="00D56B83">
            <w:pPr>
              <w:jc w:val="center"/>
            </w:pPr>
            <w:r>
              <w:rPr>
                <w:rFonts w:eastAsiaTheme="minorEastAsia"/>
                <w:color w:val="000000" w:themeColor="text1"/>
                <w:szCs w:val="21"/>
              </w:rPr>
              <w:t>杜习杰</w:t>
            </w:r>
          </w:p>
        </w:tc>
        <w:tc>
          <w:tcPr>
            <w:tcW w:w="930" w:type="dxa"/>
            <w:vAlign w:val="center"/>
          </w:tcPr>
          <w:p w14:paraId="7E644E15" w14:textId="77777777" w:rsidR="00710FB2" w:rsidRDefault="00D56B83">
            <w:pPr>
              <w:jc w:val="center"/>
            </w:pPr>
            <w:r>
              <w:rPr>
                <w:rFonts w:eastAsiaTheme="minorEastAsia"/>
                <w:color w:val="000000" w:themeColor="text1"/>
                <w:szCs w:val="21"/>
              </w:rPr>
              <w:t>本基金基金经理</w:t>
            </w:r>
          </w:p>
        </w:tc>
        <w:tc>
          <w:tcPr>
            <w:tcW w:w="1210" w:type="dxa"/>
            <w:vAlign w:val="center"/>
          </w:tcPr>
          <w:p w14:paraId="691464E7" w14:textId="77777777" w:rsidR="00710FB2" w:rsidRDefault="00D56B83">
            <w:pPr>
              <w:jc w:val="center"/>
            </w:pPr>
            <w:r>
              <w:rPr>
                <w:rFonts w:eastAsiaTheme="minorEastAsia"/>
                <w:color w:val="000000" w:themeColor="text1"/>
                <w:szCs w:val="21"/>
              </w:rPr>
              <w:t>2019-09-02</w:t>
            </w:r>
          </w:p>
        </w:tc>
        <w:tc>
          <w:tcPr>
            <w:tcW w:w="1309" w:type="dxa"/>
            <w:vAlign w:val="center"/>
          </w:tcPr>
          <w:p w14:paraId="4E6FD3B3" w14:textId="77777777" w:rsidR="00710FB2" w:rsidRDefault="00D56B83">
            <w:pPr>
              <w:jc w:val="center"/>
            </w:pPr>
            <w:r>
              <w:rPr>
                <w:rFonts w:eastAsiaTheme="minorEastAsia"/>
                <w:color w:val="000000" w:themeColor="text1"/>
                <w:szCs w:val="21"/>
              </w:rPr>
              <w:t>2024-08-31</w:t>
            </w:r>
          </w:p>
        </w:tc>
        <w:tc>
          <w:tcPr>
            <w:tcW w:w="1254" w:type="dxa"/>
            <w:vAlign w:val="center"/>
          </w:tcPr>
          <w:p w14:paraId="33195571" w14:textId="77777777" w:rsidR="00710FB2" w:rsidRDefault="00D56B83">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6DEF9A9A" w14:textId="77777777" w:rsidR="00710FB2" w:rsidRDefault="00D56B83">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710FB2" w14:paraId="6B51E109" w14:textId="77777777">
        <w:tc>
          <w:tcPr>
            <w:tcW w:w="952" w:type="dxa"/>
            <w:vAlign w:val="center"/>
          </w:tcPr>
          <w:p w14:paraId="6C6DE357" w14:textId="77777777" w:rsidR="00710FB2" w:rsidRDefault="00D56B83">
            <w:pPr>
              <w:jc w:val="center"/>
            </w:pPr>
            <w:r>
              <w:rPr>
                <w:rFonts w:eastAsiaTheme="minorEastAsia"/>
                <w:color w:val="000000" w:themeColor="text1"/>
                <w:szCs w:val="21"/>
              </w:rPr>
              <w:t>吴春杰</w:t>
            </w:r>
          </w:p>
        </w:tc>
        <w:tc>
          <w:tcPr>
            <w:tcW w:w="930" w:type="dxa"/>
            <w:vAlign w:val="center"/>
          </w:tcPr>
          <w:p w14:paraId="4EB7836E" w14:textId="77777777" w:rsidR="00710FB2" w:rsidRDefault="00D56B83">
            <w:pPr>
              <w:jc w:val="center"/>
            </w:pPr>
            <w:r>
              <w:rPr>
                <w:rFonts w:eastAsiaTheme="minorEastAsia"/>
                <w:color w:val="000000" w:themeColor="text1"/>
                <w:szCs w:val="21"/>
              </w:rPr>
              <w:t>本基金基金经理</w:t>
            </w:r>
          </w:p>
        </w:tc>
        <w:tc>
          <w:tcPr>
            <w:tcW w:w="1210" w:type="dxa"/>
            <w:vAlign w:val="center"/>
          </w:tcPr>
          <w:p w14:paraId="7139F27E" w14:textId="77777777" w:rsidR="00710FB2" w:rsidRDefault="00D56B83">
            <w:pPr>
              <w:jc w:val="center"/>
            </w:pPr>
            <w:r>
              <w:rPr>
                <w:rFonts w:eastAsiaTheme="minorEastAsia"/>
                <w:color w:val="000000" w:themeColor="text1"/>
                <w:szCs w:val="21"/>
              </w:rPr>
              <w:t>2022-11-18</w:t>
            </w:r>
          </w:p>
        </w:tc>
        <w:tc>
          <w:tcPr>
            <w:tcW w:w="1309" w:type="dxa"/>
            <w:vAlign w:val="center"/>
          </w:tcPr>
          <w:p w14:paraId="5718BC51" w14:textId="77777777" w:rsidR="00710FB2" w:rsidRDefault="00D56B83">
            <w:pPr>
              <w:jc w:val="center"/>
            </w:pPr>
            <w:r>
              <w:rPr>
                <w:rFonts w:eastAsiaTheme="minorEastAsia"/>
                <w:color w:val="000000" w:themeColor="text1"/>
                <w:szCs w:val="21"/>
              </w:rPr>
              <w:t>-</w:t>
            </w:r>
          </w:p>
        </w:tc>
        <w:tc>
          <w:tcPr>
            <w:tcW w:w="1254" w:type="dxa"/>
            <w:vAlign w:val="center"/>
          </w:tcPr>
          <w:p w14:paraId="6AFD42AB" w14:textId="77777777" w:rsidR="00710FB2" w:rsidRDefault="00D56B83">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10F392C2" w14:textId="77777777" w:rsidR="00710FB2" w:rsidRDefault="00D56B83">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14:paraId="3F32F7D4" w14:textId="77777777" w:rsidR="00710FB2" w:rsidRDefault="00D56B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15A46AD" w14:textId="77777777" w:rsidR="00710FB2" w:rsidRDefault="00D56B8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杜习杰先生为本基金首任基金经理，其任职日期指本基金基金合同生效之日。</w:t>
      </w:r>
      <w:r>
        <w:rPr>
          <w:rFonts w:eastAsiaTheme="minorEastAsia"/>
          <w:color w:val="000000" w:themeColor="text1"/>
          <w:szCs w:val="21"/>
        </w:rPr>
        <w:t xml:space="preserve"> </w:t>
      </w:r>
    </w:p>
    <w:p w14:paraId="1F56195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4516E4D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A54E0F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547690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F9510B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4AE9717"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8E7350E"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8EB42E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472C2E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1AC0518"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F4C0FC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4064FF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1376FB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26C54195"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年三季度，国内权益市场先震荡下行、后大幅反弹，区间中证</w:t>
      </w:r>
      <w:r>
        <w:rPr>
          <w:rFonts w:eastAsiaTheme="minorEastAsia"/>
          <w:color w:val="000000" w:themeColor="text1"/>
          <w:szCs w:val="21"/>
        </w:rPr>
        <w:t>800</w:t>
      </w:r>
      <w:r>
        <w:rPr>
          <w:rFonts w:eastAsiaTheme="minorEastAsia"/>
          <w:color w:val="000000" w:themeColor="text1"/>
          <w:szCs w:val="21"/>
        </w:rPr>
        <w:t>上涨</w:t>
      </w:r>
      <w:r>
        <w:rPr>
          <w:rFonts w:eastAsiaTheme="minorEastAsia"/>
          <w:color w:val="000000" w:themeColor="text1"/>
          <w:szCs w:val="21"/>
        </w:rPr>
        <w:t>16.1%</w:t>
      </w:r>
      <w:r>
        <w:rPr>
          <w:rFonts w:eastAsiaTheme="minorEastAsia"/>
          <w:color w:val="000000" w:themeColor="text1"/>
          <w:szCs w:val="21"/>
        </w:rPr>
        <w:t>。三季度前期，国内多项经济指标有所走弱，在担忧经济下行趋势延续、企业盈利恢复乏力的谨慎情绪中，</w:t>
      </w:r>
      <w:r>
        <w:rPr>
          <w:rFonts w:eastAsiaTheme="minorEastAsia"/>
          <w:color w:val="000000" w:themeColor="text1"/>
          <w:szCs w:val="21"/>
        </w:rPr>
        <w:t>A</w:t>
      </w:r>
      <w:r>
        <w:rPr>
          <w:rFonts w:eastAsiaTheme="minorEastAsia"/>
          <w:color w:val="000000" w:themeColor="text1"/>
          <w:szCs w:val="21"/>
        </w:rPr>
        <w:t>股仅红利风格微涨。至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日的政治局会议，政策面逐步释放了稳股市、稳房市、稳经济的信号，</w:t>
      </w:r>
      <w:r>
        <w:rPr>
          <w:rFonts w:eastAsiaTheme="minorEastAsia"/>
          <w:color w:val="000000" w:themeColor="text1"/>
          <w:szCs w:val="21"/>
        </w:rPr>
        <w:t>A</w:t>
      </w:r>
      <w:r>
        <w:rPr>
          <w:rFonts w:eastAsiaTheme="minorEastAsia"/>
          <w:color w:val="000000" w:themeColor="text1"/>
          <w:szCs w:val="21"/>
        </w:rPr>
        <w:t>股开启快速上涨，中证</w:t>
      </w:r>
      <w:r>
        <w:rPr>
          <w:rFonts w:eastAsiaTheme="minorEastAsia"/>
          <w:color w:val="000000" w:themeColor="text1"/>
          <w:szCs w:val="21"/>
        </w:rPr>
        <w:t>800</w:t>
      </w:r>
      <w:r>
        <w:rPr>
          <w:rFonts w:eastAsiaTheme="minorEastAsia"/>
          <w:color w:val="000000" w:themeColor="text1"/>
          <w:szCs w:val="21"/>
        </w:rPr>
        <w:t>修复年初以来全部跌幅。国内债券方面，</w:t>
      </w:r>
      <w:r>
        <w:rPr>
          <w:rFonts w:eastAsiaTheme="minorEastAsia"/>
          <w:color w:val="000000" w:themeColor="text1"/>
          <w:szCs w:val="21"/>
        </w:rPr>
        <w:t>10</w:t>
      </w:r>
      <w:r>
        <w:rPr>
          <w:rFonts w:eastAsiaTheme="minorEastAsia"/>
          <w:color w:val="000000" w:themeColor="text1"/>
          <w:szCs w:val="21"/>
        </w:rPr>
        <w:t>年期国债收益率一度大幅下行至</w:t>
      </w:r>
      <w:r>
        <w:rPr>
          <w:rFonts w:eastAsiaTheme="minorEastAsia"/>
          <w:color w:val="000000" w:themeColor="text1"/>
          <w:szCs w:val="21"/>
        </w:rPr>
        <w:t>2.0%</w:t>
      </w:r>
      <w:r>
        <w:rPr>
          <w:rFonts w:eastAsiaTheme="minorEastAsia"/>
          <w:color w:val="000000" w:themeColor="text1"/>
          <w:szCs w:val="21"/>
        </w:rPr>
        <w:t>，随</w:t>
      </w:r>
      <w:r>
        <w:rPr>
          <w:rFonts w:eastAsiaTheme="minorEastAsia"/>
          <w:color w:val="000000" w:themeColor="text1"/>
          <w:szCs w:val="21"/>
        </w:rPr>
        <w:t>9</w:t>
      </w:r>
      <w:r>
        <w:rPr>
          <w:rFonts w:eastAsiaTheme="minorEastAsia"/>
          <w:color w:val="000000" w:themeColor="text1"/>
          <w:szCs w:val="21"/>
        </w:rPr>
        <w:t>月底政策面稳经济预期升温而快速反弹，全季度下行</w:t>
      </w:r>
      <w:r>
        <w:rPr>
          <w:rFonts w:eastAsiaTheme="minorEastAsia"/>
          <w:color w:val="000000" w:themeColor="text1"/>
          <w:szCs w:val="21"/>
        </w:rPr>
        <w:t>6BP</w:t>
      </w:r>
      <w:r>
        <w:rPr>
          <w:rFonts w:eastAsiaTheme="minorEastAsia"/>
          <w:color w:val="000000" w:themeColor="text1"/>
          <w:szCs w:val="21"/>
        </w:rPr>
        <w:t>至</w:t>
      </w:r>
      <w:r>
        <w:rPr>
          <w:rFonts w:eastAsiaTheme="minorEastAsia"/>
          <w:color w:val="000000" w:themeColor="text1"/>
          <w:szCs w:val="21"/>
        </w:rPr>
        <w:t>2.15%</w:t>
      </w:r>
      <w:r>
        <w:rPr>
          <w:rFonts w:eastAsiaTheme="minorEastAsia"/>
          <w:color w:val="000000" w:themeColor="text1"/>
          <w:szCs w:val="21"/>
        </w:rPr>
        <w:t>。</w:t>
      </w:r>
    </w:p>
    <w:p w14:paraId="7871A7E6"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w:t>
      </w:r>
      <w:r>
        <w:rPr>
          <w:rFonts w:eastAsiaTheme="minorEastAsia"/>
          <w:color w:val="000000" w:themeColor="text1"/>
          <w:szCs w:val="21"/>
        </w:rPr>
        <w:t>8</w:t>
      </w:r>
      <w:r>
        <w:rPr>
          <w:rFonts w:eastAsiaTheme="minorEastAsia"/>
          <w:color w:val="000000" w:themeColor="text1"/>
          <w:szCs w:val="21"/>
        </w:rPr>
        <w:t>月初，日央行加息且表述超预期鹰派叠加美国劳动力市场数据有走弱迹象，海外权益市场一度大幅波动。在随后的</w:t>
      </w:r>
      <w:r>
        <w:rPr>
          <w:rFonts w:eastAsiaTheme="minorEastAsia"/>
          <w:color w:val="000000" w:themeColor="text1"/>
          <w:szCs w:val="21"/>
        </w:rPr>
        <w:t>9</w:t>
      </w:r>
      <w:r>
        <w:rPr>
          <w:rFonts w:eastAsiaTheme="minorEastAsia"/>
          <w:color w:val="000000" w:themeColor="text1"/>
          <w:szCs w:val="21"/>
        </w:rPr>
        <w:t>月议息会议上，美联储以给足市场期待的</w:t>
      </w:r>
      <w:r>
        <w:rPr>
          <w:rFonts w:eastAsiaTheme="minorEastAsia"/>
          <w:color w:val="000000" w:themeColor="text1"/>
          <w:szCs w:val="21"/>
        </w:rPr>
        <w:t>50BP</w:t>
      </w:r>
      <w:r>
        <w:rPr>
          <w:rFonts w:eastAsiaTheme="minorEastAsia"/>
          <w:color w:val="000000" w:themeColor="text1"/>
          <w:szCs w:val="21"/>
        </w:rPr>
        <w:t>开启本轮降息周期，</w:t>
      </w:r>
      <w:r>
        <w:rPr>
          <w:rFonts w:eastAsiaTheme="minorEastAsia"/>
          <w:color w:val="000000" w:themeColor="text1"/>
          <w:szCs w:val="21"/>
        </w:rPr>
        <w:t>10</w:t>
      </w:r>
      <w:r>
        <w:rPr>
          <w:rFonts w:eastAsiaTheme="minorEastAsia"/>
          <w:color w:val="000000" w:themeColor="text1"/>
          <w:szCs w:val="21"/>
        </w:rPr>
        <w:t>年期美债收益率降</w:t>
      </w:r>
      <w:r>
        <w:rPr>
          <w:rFonts w:eastAsiaTheme="minorEastAsia"/>
          <w:color w:val="000000" w:themeColor="text1"/>
          <w:szCs w:val="21"/>
        </w:rPr>
        <w:t>58BP</w:t>
      </w:r>
      <w:r>
        <w:rPr>
          <w:rFonts w:eastAsiaTheme="minorEastAsia"/>
          <w:color w:val="000000" w:themeColor="text1"/>
          <w:szCs w:val="21"/>
        </w:rPr>
        <w:t>至</w:t>
      </w:r>
      <w:r>
        <w:rPr>
          <w:rFonts w:eastAsiaTheme="minorEastAsia"/>
          <w:color w:val="000000" w:themeColor="text1"/>
          <w:szCs w:val="21"/>
        </w:rPr>
        <w:t>3.79%</w:t>
      </w:r>
      <w:r>
        <w:rPr>
          <w:rFonts w:eastAsiaTheme="minorEastAsia"/>
          <w:color w:val="000000" w:themeColor="text1"/>
          <w:szCs w:val="21"/>
        </w:rPr>
        <w:t>。</w:t>
      </w:r>
      <w:r>
        <w:rPr>
          <w:rFonts w:eastAsiaTheme="minorEastAsia"/>
          <w:color w:val="000000" w:themeColor="text1"/>
          <w:szCs w:val="21"/>
        </w:rPr>
        <w:t xml:space="preserve">  </w:t>
      </w:r>
    </w:p>
    <w:p w14:paraId="3B431A4A"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从全球宏观变化来讲，</w:t>
      </w:r>
      <w:r>
        <w:rPr>
          <w:rFonts w:eastAsiaTheme="minorEastAsia"/>
          <w:color w:val="000000" w:themeColor="text1"/>
          <w:szCs w:val="21"/>
        </w:rPr>
        <w:t>9</w:t>
      </w:r>
      <w:r>
        <w:rPr>
          <w:rFonts w:eastAsiaTheme="minorEastAsia"/>
          <w:color w:val="000000" w:themeColor="text1"/>
          <w:szCs w:val="21"/>
        </w:rPr>
        <w:t>月份美联储开启本轮首次降息，且幅度为超出部分市场参与者预期</w:t>
      </w:r>
      <w:r>
        <w:rPr>
          <w:rFonts w:eastAsiaTheme="minorEastAsia"/>
          <w:color w:val="000000" w:themeColor="text1"/>
          <w:szCs w:val="21"/>
        </w:rPr>
        <w:lastRenderedPageBreak/>
        <w:t>的</w:t>
      </w:r>
      <w:r>
        <w:rPr>
          <w:rFonts w:eastAsiaTheme="minorEastAsia"/>
          <w:color w:val="000000" w:themeColor="text1"/>
          <w:szCs w:val="21"/>
        </w:rPr>
        <w:t>50BP</w:t>
      </w:r>
      <w:r>
        <w:rPr>
          <w:rFonts w:eastAsiaTheme="minorEastAsia"/>
          <w:color w:val="000000" w:themeColor="text1"/>
          <w:szCs w:val="21"/>
        </w:rPr>
        <w:t>。美联储的货币宽松操作开启，美元指数走弱，有利于新兴市场流动性环境的改善。三季度以来，离岸人民币兑美元升值幅度在</w:t>
      </w:r>
      <w:r>
        <w:rPr>
          <w:rFonts w:eastAsiaTheme="minorEastAsia"/>
          <w:color w:val="000000" w:themeColor="text1"/>
          <w:szCs w:val="21"/>
        </w:rPr>
        <w:t>4%</w:t>
      </w:r>
      <w:r>
        <w:rPr>
          <w:rFonts w:eastAsiaTheme="minorEastAsia"/>
          <w:color w:val="000000" w:themeColor="text1"/>
          <w:szCs w:val="21"/>
        </w:rPr>
        <w:t>左右，国内资产对全球投资者的吸引力也有所上升；港股市场更为受益于美联储降息周期的启动。国内宏观方面，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日金融部门的国新办记者发布会与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政治局会议讨论经济议题共同释放出稳股市，稳房市，稳经济的信号。结合内外因素的有利变化，我们在组合资产配置层面适当提升风险偏好。后续我们会关注政策兑现程度，进一步评估政策对经济的影响，进而调整投资组合的结构。我们现在已经看到降准降息的兑现，十一之后我们会关注机构互换便利工具落地，地方债以及国债加速发行，已确认经济基本面是否会出现实质改善，这也将决定内需消费和传统投资相关行业的改善力度。同时，与中长期经济结构调整方向相匹配的科技成长方向，也有望受益于相关产业的支持性政策。</w:t>
      </w:r>
    </w:p>
    <w:p w14:paraId="18546CEA"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对于国内债券来讲，托底经济增长的政策在发力中，内外利差仍为负值，国内债相对</w:t>
      </w:r>
      <w:r>
        <w:rPr>
          <w:rFonts w:eastAsiaTheme="minorEastAsia"/>
          <w:color w:val="000000" w:themeColor="text1"/>
          <w:szCs w:val="21"/>
        </w:rPr>
        <w:t>A</w:t>
      </w:r>
      <w:r>
        <w:rPr>
          <w:rFonts w:eastAsiaTheme="minorEastAsia"/>
          <w:color w:val="000000" w:themeColor="text1"/>
          <w:szCs w:val="21"/>
        </w:rPr>
        <w:t>股股息率所反映的估值亦较贵。但考虑到当前处在地方政府化债进程中、实际利率高位下，货币政策为支持性的基调，国内债券的下行风险相对可控。考虑当前进入新一轮稳增长政策验证期，长久期利率的波动或有上升，后续关注中短债策略为主。</w:t>
      </w:r>
    </w:p>
    <w:p w14:paraId="79E3134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海外方面，市场预期美国经济软着陆，美股盈利增长或支撑当前的估值水平。随美联储降息落地，美债在货币政策宽松周期中将受益，收益率下行也有利于美股估值的维持，尤其是大盘风格。</w:t>
      </w:r>
    </w:p>
    <w:p w14:paraId="1767E64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7F94CDE"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本报告期摩根锦程均衡养老三年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:8.30%</w:t>
      </w:r>
      <w:r>
        <w:rPr>
          <w:rFonts w:eastAsiaTheme="minorEastAsia"/>
          <w:color w:val="000000" w:themeColor="text1"/>
          <w:szCs w:val="21"/>
        </w:rPr>
        <w:t>，同期业绩比较基准收益率为</w:t>
      </w:r>
      <w:r>
        <w:rPr>
          <w:rFonts w:eastAsiaTheme="minorEastAsia"/>
          <w:color w:val="000000" w:themeColor="text1"/>
          <w:szCs w:val="21"/>
        </w:rPr>
        <w:t>:8.84%</w:t>
      </w:r>
    </w:p>
    <w:p w14:paraId="0206A0C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摩根锦程均衡养老三年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:8.39%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:8.84%</w:t>
      </w:r>
      <w:r w:rsidRPr="00B27A29">
        <w:rPr>
          <w:rFonts w:eastAsiaTheme="minorEastAsia"/>
          <w:color w:val="000000" w:themeColor="text1"/>
          <w:szCs w:val="21"/>
        </w:rPr>
        <w:t>。</w:t>
      </w:r>
    </w:p>
    <w:p w14:paraId="53532B71" w14:textId="77777777" w:rsidR="005E6DF3" w:rsidRPr="00B27A29" w:rsidRDefault="005E6DF3">
      <w:pPr>
        <w:spacing w:line="360" w:lineRule="auto"/>
        <w:ind w:firstLineChars="200" w:firstLine="420"/>
        <w:rPr>
          <w:rFonts w:eastAsiaTheme="minorEastAsia"/>
          <w:color w:val="000000" w:themeColor="text1"/>
          <w:szCs w:val="21"/>
        </w:rPr>
      </w:pPr>
    </w:p>
    <w:p w14:paraId="38B6618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7C8297F"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4ECC27A" w14:textId="77777777" w:rsidR="005E6DF3" w:rsidRPr="00B27A29" w:rsidRDefault="005E6DF3">
      <w:pPr>
        <w:spacing w:line="360" w:lineRule="auto"/>
        <w:ind w:firstLineChars="200" w:firstLine="420"/>
        <w:rPr>
          <w:rFonts w:eastAsiaTheme="minorEastAsia"/>
          <w:color w:val="000000" w:themeColor="text1"/>
          <w:szCs w:val="21"/>
        </w:rPr>
      </w:pPr>
    </w:p>
    <w:p w14:paraId="69EDBE4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0A887B9"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22171E9B" w14:textId="77777777" w:rsidTr="00342FE7">
        <w:tc>
          <w:tcPr>
            <w:tcW w:w="720" w:type="dxa"/>
            <w:vAlign w:val="center"/>
          </w:tcPr>
          <w:p w14:paraId="3C6BA25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083EDCA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6EA4141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27A28D6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46A2D46E" w14:textId="77777777" w:rsidTr="00342FE7">
        <w:tc>
          <w:tcPr>
            <w:tcW w:w="720" w:type="dxa"/>
            <w:vAlign w:val="center"/>
          </w:tcPr>
          <w:p w14:paraId="6BFDDBA6"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04E06A1E"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3053A94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4922BB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EAE0A8D" w14:textId="77777777" w:rsidTr="00342FE7">
        <w:tc>
          <w:tcPr>
            <w:tcW w:w="720" w:type="dxa"/>
            <w:vAlign w:val="center"/>
          </w:tcPr>
          <w:p w14:paraId="6FBC6377"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2940AE77"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3171C3CD"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4716EA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0697365" w14:textId="77777777" w:rsidTr="00342FE7">
        <w:tc>
          <w:tcPr>
            <w:tcW w:w="720" w:type="dxa"/>
            <w:vAlign w:val="center"/>
          </w:tcPr>
          <w:p w14:paraId="35D7AB0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2DC7E86E"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692C9E1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116,480,808.21</w:t>
            </w:r>
          </w:p>
        </w:tc>
        <w:tc>
          <w:tcPr>
            <w:tcW w:w="2801" w:type="dxa"/>
            <w:vAlign w:val="center"/>
          </w:tcPr>
          <w:p w14:paraId="6FBA12A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94.26</w:t>
            </w:r>
          </w:p>
        </w:tc>
      </w:tr>
      <w:tr w:rsidR="006336AE" w:rsidRPr="007B5F21" w14:paraId="2DAAED49" w14:textId="77777777" w:rsidTr="00342FE7">
        <w:tc>
          <w:tcPr>
            <w:tcW w:w="720" w:type="dxa"/>
            <w:vAlign w:val="center"/>
          </w:tcPr>
          <w:p w14:paraId="787CB97D"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63E4DB68"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5DC20D4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5,008,229.59</w:t>
            </w:r>
          </w:p>
        </w:tc>
        <w:tc>
          <w:tcPr>
            <w:tcW w:w="2801" w:type="dxa"/>
            <w:vAlign w:val="center"/>
          </w:tcPr>
          <w:p w14:paraId="7885521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4.05</w:t>
            </w:r>
          </w:p>
        </w:tc>
      </w:tr>
      <w:tr w:rsidR="006336AE" w:rsidRPr="007B5F21" w14:paraId="2D8E5DE6" w14:textId="77777777" w:rsidTr="00342FE7">
        <w:tc>
          <w:tcPr>
            <w:tcW w:w="720" w:type="dxa"/>
            <w:vAlign w:val="center"/>
          </w:tcPr>
          <w:p w14:paraId="115DD487"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57AEEBB3"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6C9515C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5,008,229.59</w:t>
            </w:r>
          </w:p>
        </w:tc>
        <w:tc>
          <w:tcPr>
            <w:tcW w:w="2801" w:type="dxa"/>
            <w:vAlign w:val="center"/>
          </w:tcPr>
          <w:p w14:paraId="2E70844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4.05</w:t>
            </w:r>
          </w:p>
        </w:tc>
      </w:tr>
      <w:tr w:rsidR="006336AE" w:rsidRPr="007B5F21" w14:paraId="02B55849" w14:textId="77777777" w:rsidTr="00342FE7">
        <w:tc>
          <w:tcPr>
            <w:tcW w:w="720" w:type="dxa"/>
            <w:vAlign w:val="center"/>
          </w:tcPr>
          <w:p w14:paraId="49B50171"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4005316E"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2246199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650540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E33F042" w14:textId="77777777" w:rsidTr="00342FE7">
        <w:tc>
          <w:tcPr>
            <w:tcW w:w="720" w:type="dxa"/>
            <w:vAlign w:val="center"/>
          </w:tcPr>
          <w:p w14:paraId="020888D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1C75786C"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61997E1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88695F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761EF0A" w14:textId="77777777" w:rsidTr="00342FE7">
        <w:tc>
          <w:tcPr>
            <w:tcW w:w="720" w:type="dxa"/>
            <w:vAlign w:val="center"/>
          </w:tcPr>
          <w:p w14:paraId="6994F169"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1FE3665"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60796DB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D73326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FFBE29E" w14:textId="77777777" w:rsidTr="00342FE7">
        <w:tc>
          <w:tcPr>
            <w:tcW w:w="720" w:type="dxa"/>
            <w:vAlign w:val="center"/>
          </w:tcPr>
          <w:p w14:paraId="431C270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2A111912"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6CFB9AD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B70C32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65D5C220" w14:textId="77777777" w:rsidTr="00342FE7">
        <w:tc>
          <w:tcPr>
            <w:tcW w:w="720" w:type="dxa"/>
            <w:vAlign w:val="center"/>
          </w:tcPr>
          <w:p w14:paraId="7D31C8B9"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79EE4ED3"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4652EAF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60CD86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D0F1D6B" w14:textId="77777777" w:rsidTr="00342FE7">
        <w:tc>
          <w:tcPr>
            <w:tcW w:w="720" w:type="dxa"/>
            <w:vAlign w:val="center"/>
          </w:tcPr>
          <w:p w14:paraId="54852B27"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13D555BB"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7A46A33F"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1,421,050.43</w:t>
            </w:r>
          </w:p>
        </w:tc>
        <w:tc>
          <w:tcPr>
            <w:tcW w:w="2801" w:type="dxa"/>
            <w:vAlign w:val="center"/>
          </w:tcPr>
          <w:p w14:paraId="02F1B08F"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1.15</w:t>
            </w:r>
          </w:p>
        </w:tc>
      </w:tr>
      <w:tr w:rsidR="006336AE" w:rsidRPr="007B5F21" w14:paraId="7BFCF578" w14:textId="77777777" w:rsidTr="00342FE7">
        <w:tc>
          <w:tcPr>
            <w:tcW w:w="720" w:type="dxa"/>
            <w:vAlign w:val="center"/>
          </w:tcPr>
          <w:p w14:paraId="17E83F9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43DBF9F5"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6910F77E"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657,640.70</w:t>
            </w:r>
          </w:p>
        </w:tc>
        <w:tc>
          <w:tcPr>
            <w:tcW w:w="2801" w:type="dxa"/>
            <w:vAlign w:val="center"/>
          </w:tcPr>
          <w:p w14:paraId="4AF389DE"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0.53</w:t>
            </w:r>
          </w:p>
        </w:tc>
      </w:tr>
      <w:tr w:rsidR="006336AE" w:rsidRPr="007B5F21" w14:paraId="1FFD756C" w14:textId="77777777" w:rsidTr="00342FE7">
        <w:tc>
          <w:tcPr>
            <w:tcW w:w="720" w:type="dxa"/>
            <w:vAlign w:val="center"/>
          </w:tcPr>
          <w:p w14:paraId="3261E50C"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709CB8ED"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476F4572"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123,567,728.93</w:t>
            </w:r>
          </w:p>
        </w:tc>
        <w:tc>
          <w:tcPr>
            <w:tcW w:w="2801" w:type="dxa"/>
            <w:vAlign w:val="center"/>
          </w:tcPr>
          <w:p w14:paraId="12C80F3E"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598E770A"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4979AD6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BFEEC90"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5DC6327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178AFD7D"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4A2B5A5C"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14:paraId="7C364CD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2AB72EB" w14:textId="77777777">
        <w:tc>
          <w:tcPr>
            <w:tcW w:w="817" w:type="dxa"/>
            <w:vAlign w:val="center"/>
          </w:tcPr>
          <w:p w14:paraId="4A2FCB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69EA1E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2EB4E6F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6D0C79D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70E5B739" w14:textId="77777777">
        <w:tc>
          <w:tcPr>
            <w:tcW w:w="817" w:type="dxa"/>
            <w:vAlign w:val="center"/>
          </w:tcPr>
          <w:p w14:paraId="5664693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6525B7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72F6E2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5,008,229.59</w:t>
            </w:r>
          </w:p>
        </w:tc>
        <w:tc>
          <w:tcPr>
            <w:tcW w:w="1616" w:type="dxa"/>
            <w:vAlign w:val="center"/>
          </w:tcPr>
          <w:p w14:paraId="045CA2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w:t>
            </w:r>
          </w:p>
        </w:tc>
      </w:tr>
      <w:tr w:rsidR="005E6DF3" w:rsidRPr="00B27A29" w14:paraId="28B17C5A" w14:textId="77777777">
        <w:tc>
          <w:tcPr>
            <w:tcW w:w="817" w:type="dxa"/>
            <w:vAlign w:val="center"/>
          </w:tcPr>
          <w:p w14:paraId="37B2F47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6758CB9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548795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06D35A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7A4045" w14:textId="77777777">
        <w:tc>
          <w:tcPr>
            <w:tcW w:w="817" w:type="dxa"/>
            <w:vAlign w:val="center"/>
          </w:tcPr>
          <w:p w14:paraId="3BFC534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5A128DD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14D7ADB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13146E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57D896" w14:textId="77777777">
        <w:tc>
          <w:tcPr>
            <w:tcW w:w="817" w:type="dxa"/>
            <w:vAlign w:val="center"/>
          </w:tcPr>
          <w:p w14:paraId="4F0078EC"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602BD81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0D0EBD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98235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35ACFA" w14:textId="77777777">
        <w:tc>
          <w:tcPr>
            <w:tcW w:w="817" w:type="dxa"/>
            <w:vAlign w:val="center"/>
          </w:tcPr>
          <w:p w14:paraId="3C1CD2C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14:paraId="38CEDF6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35E4F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41192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D132C5" w14:textId="77777777">
        <w:tc>
          <w:tcPr>
            <w:tcW w:w="817" w:type="dxa"/>
            <w:vAlign w:val="center"/>
          </w:tcPr>
          <w:p w14:paraId="7339C56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0A566D9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30B7E3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995BF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A5CE00" w14:textId="77777777">
        <w:tc>
          <w:tcPr>
            <w:tcW w:w="817" w:type="dxa"/>
            <w:vAlign w:val="center"/>
          </w:tcPr>
          <w:p w14:paraId="14957FB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46525D2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60CBDBA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7B5C0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710301" w14:textId="77777777">
        <w:tc>
          <w:tcPr>
            <w:tcW w:w="817" w:type="dxa"/>
            <w:vAlign w:val="center"/>
          </w:tcPr>
          <w:p w14:paraId="0DDCD35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6BA51F7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38B567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25E22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D5121A" w14:textId="77777777">
        <w:tc>
          <w:tcPr>
            <w:tcW w:w="817" w:type="dxa"/>
            <w:vAlign w:val="center"/>
          </w:tcPr>
          <w:p w14:paraId="5A8CEE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6BA9FDA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7374F7F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95981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6C1ABB" w14:textId="77777777">
        <w:tc>
          <w:tcPr>
            <w:tcW w:w="817" w:type="dxa"/>
            <w:vAlign w:val="center"/>
          </w:tcPr>
          <w:p w14:paraId="6E2442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001C72B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5E692B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3C9AF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2CDA61" w14:textId="77777777">
        <w:tc>
          <w:tcPr>
            <w:tcW w:w="817" w:type="dxa"/>
            <w:vAlign w:val="center"/>
          </w:tcPr>
          <w:p w14:paraId="2D4A5E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190FF52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143CC2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5,008,229.59</w:t>
            </w:r>
          </w:p>
        </w:tc>
        <w:tc>
          <w:tcPr>
            <w:tcW w:w="1616" w:type="dxa"/>
            <w:vAlign w:val="center"/>
          </w:tcPr>
          <w:p w14:paraId="7A0AAA1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w:t>
            </w:r>
          </w:p>
        </w:tc>
      </w:tr>
    </w:tbl>
    <w:p w14:paraId="01C2656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295CB30" w14:textId="77777777">
        <w:tc>
          <w:tcPr>
            <w:tcW w:w="1504" w:type="dxa"/>
            <w:vAlign w:val="center"/>
          </w:tcPr>
          <w:p w14:paraId="19B9C43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06A84B1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01569B0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728679A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2BF56C7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14EAED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710FB2" w14:paraId="7FA211F9" w14:textId="77777777">
        <w:tc>
          <w:tcPr>
            <w:tcW w:w="1504" w:type="dxa"/>
            <w:vAlign w:val="center"/>
          </w:tcPr>
          <w:p w14:paraId="07A0D7EB" w14:textId="77777777" w:rsidR="00710FB2" w:rsidRDefault="00D56B83">
            <w:pPr>
              <w:jc w:val="center"/>
            </w:pPr>
            <w:r>
              <w:rPr>
                <w:rFonts w:eastAsiaTheme="minorEastAsia"/>
                <w:color w:val="000000" w:themeColor="text1"/>
                <w:szCs w:val="21"/>
              </w:rPr>
              <w:t>1</w:t>
            </w:r>
          </w:p>
        </w:tc>
        <w:tc>
          <w:tcPr>
            <w:tcW w:w="1504" w:type="dxa"/>
            <w:vAlign w:val="center"/>
          </w:tcPr>
          <w:p w14:paraId="40880B64" w14:textId="77777777" w:rsidR="00710FB2" w:rsidRDefault="00D56B83">
            <w:pPr>
              <w:jc w:val="center"/>
            </w:pPr>
            <w:r>
              <w:rPr>
                <w:rFonts w:eastAsiaTheme="minorEastAsia"/>
                <w:color w:val="000000" w:themeColor="text1"/>
                <w:szCs w:val="21"/>
              </w:rPr>
              <w:t>019727</w:t>
            </w:r>
          </w:p>
        </w:tc>
        <w:tc>
          <w:tcPr>
            <w:tcW w:w="1504" w:type="dxa"/>
            <w:vAlign w:val="center"/>
          </w:tcPr>
          <w:p w14:paraId="3E29DDEF" w14:textId="77777777" w:rsidR="00710FB2" w:rsidRDefault="00D56B83">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14:paraId="6733F529" w14:textId="77777777" w:rsidR="00710FB2" w:rsidRDefault="00D56B83">
            <w:pPr>
              <w:jc w:val="right"/>
            </w:pPr>
            <w:r>
              <w:rPr>
                <w:rFonts w:eastAsiaTheme="minorEastAsia"/>
                <w:color w:val="000000" w:themeColor="text1"/>
                <w:szCs w:val="21"/>
              </w:rPr>
              <w:t>49,000</w:t>
            </w:r>
          </w:p>
        </w:tc>
        <w:tc>
          <w:tcPr>
            <w:tcW w:w="1503" w:type="dxa"/>
            <w:vAlign w:val="center"/>
          </w:tcPr>
          <w:p w14:paraId="4F510FD8" w14:textId="77777777" w:rsidR="00710FB2" w:rsidRDefault="00D56B83">
            <w:pPr>
              <w:jc w:val="right"/>
            </w:pPr>
            <w:r>
              <w:rPr>
                <w:rFonts w:eastAsiaTheme="minorEastAsia"/>
                <w:color w:val="000000" w:themeColor="text1"/>
                <w:szCs w:val="21"/>
              </w:rPr>
              <w:t>5,008,229.59</w:t>
            </w:r>
          </w:p>
        </w:tc>
        <w:tc>
          <w:tcPr>
            <w:tcW w:w="1503" w:type="dxa"/>
            <w:vAlign w:val="center"/>
          </w:tcPr>
          <w:p w14:paraId="73D9A529" w14:textId="77777777" w:rsidR="00710FB2" w:rsidRDefault="00D56B83">
            <w:pPr>
              <w:jc w:val="right"/>
            </w:pPr>
            <w:r>
              <w:rPr>
                <w:rFonts w:eastAsiaTheme="minorEastAsia"/>
                <w:color w:val="000000" w:themeColor="text1"/>
                <w:szCs w:val="21"/>
              </w:rPr>
              <w:t>4.07</w:t>
            </w:r>
          </w:p>
        </w:tc>
      </w:tr>
    </w:tbl>
    <w:p w14:paraId="079875D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EEE9B9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2D3D6C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3E48CD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1FC763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D50E35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32E710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7B1D2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BD83B7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16E5D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1F2FDA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1F9C70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655765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14:paraId="07A8D74C"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C9B16A8" w14:textId="77777777">
        <w:tc>
          <w:tcPr>
            <w:tcW w:w="1110" w:type="dxa"/>
            <w:vAlign w:val="center"/>
          </w:tcPr>
          <w:p w14:paraId="7358383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A71FD1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206092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3A676E8" w14:textId="77777777">
        <w:tc>
          <w:tcPr>
            <w:tcW w:w="1110" w:type="dxa"/>
            <w:vAlign w:val="center"/>
          </w:tcPr>
          <w:p w14:paraId="44C108E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C7FE9B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235591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4,763.74</w:t>
            </w:r>
          </w:p>
        </w:tc>
      </w:tr>
      <w:tr w:rsidR="005E6DF3" w:rsidRPr="00B27A29" w14:paraId="0A14DEA0" w14:textId="77777777">
        <w:tc>
          <w:tcPr>
            <w:tcW w:w="1110" w:type="dxa"/>
            <w:vAlign w:val="center"/>
          </w:tcPr>
          <w:p w14:paraId="442C6FA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77C5586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8DD3A5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579,768.51</w:t>
            </w:r>
          </w:p>
        </w:tc>
      </w:tr>
      <w:tr w:rsidR="005E6DF3" w:rsidRPr="00B27A29" w14:paraId="0CDAA316" w14:textId="77777777">
        <w:tc>
          <w:tcPr>
            <w:tcW w:w="1110" w:type="dxa"/>
            <w:vAlign w:val="center"/>
          </w:tcPr>
          <w:p w14:paraId="5DAD559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DBAA92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CF70DD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0.78</w:t>
            </w:r>
          </w:p>
        </w:tc>
      </w:tr>
      <w:tr w:rsidR="005E6DF3" w:rsidRPr="00B27A29" w14:paraId="679BCBF6" w14:textId="77777777">
        <w:tc>
          <w:tcPr>
            <w:tcW w:w="1110" w:type="dxa"/>
            <w:vAlign w:val="center"/>
          </w:tcPr>
          <w:p w14:paraId="3AAF3C6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FAC81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7DF967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9F50A2C" w14:textId="77777777">
        <w:tc>
          <w:tcPr>
            <w:tcW w:w="1110" w:type="dxa"/>
            <w:vAlign w:val="center"/>
          </w:tcPr>
          <w:p w14:paraId="5EEC84D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2B027B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2AF0262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73,096.63</w:t>
            </w:r>
          </w:p>
        </w:tc>
      </w:tr>
      <w:tr w:rsidR="005E6DF3" w:rsidRPr="00B27A29" w14:paraId="6040F2C2" w14:textId="77777777">
        <w:tc>
          <w:tcPr>
            <w:tcW w:w="1110" w:type="dxa"/>
            <w:vAlign w:val="center"/>
          </w:tcPr>
          <w:p w14:paraId="28942FE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57FF46D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74D018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11.04</w:t>
            </w:r>
          </w:p>
        </w:tc>
      </w:tr>
      <w:tr w:rsidR="005E6DF3" w:rsidRPr="00B27A29" w14:paraId="0BF68916" w14:textId="77777777">
        <w:tc>
          <w:tcPr>
            <w:tcW w:w="1110" w:type="dxa"/>
            <w:vAlign w:val="center"/>
          </w:tcPr>
          <w:p w14:paraId="36ADDE6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73A252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CAF4BA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72B4D2" w14:textId="77777777">
        <w:tc>
          <w:tcPr>
            <w:tcW w:w="1110" w:type="dxa"/>
            <w:vAlign w:val="center"/>
          </w:tcPr>
          <w:p w14:paraId="0BF5B9A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CE113E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1C4D6D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E89E5B0" w14:textId="77777777">
        <w:tc>
          <w:tcPr>
            <w:tcW w:w="1110" w:type="dxa"/>
            <w:vAlign w:val="center"/>
          </w:tcPr>
          <w:p w14:paraId="168FB76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27BBF7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06CF1E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657,640.70</w:t>
            </w:r>
          </w:p>
        </w:tc>
      </w:tr>
    </w:tbl>
    <w:p w14:paraId="3B3D93E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4604A8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D17102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38D47BF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4AA4A8F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9F2FDB3"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69FB7A11" w14:textId="77777777" w:rsidR="00C45886" w:rsidRDefault="00C45886" w:rsidP="00C45886">
      <w:pPr>
        <w:spacing w:before="29" w:line="288" w:lineRule="auto"/>
        <w:ind w:firstLineChars="200" w:firstLine="480"/>
        <w:rPr>
          <w:color w:val="000000"/>
          <w:sz w:val="24"/>
        </w:rPr>
      </w:pPr>
    </w:p>
    <w:p w14:paraId="6F86C74C" w14:textId="77777777" w:rsidR="00C45886" w:rsidRDefault="00C45886" w:rsidP="00C45886">
      <w:pPr>
        <w:spacing w:before="29" w:line="288" w:lineRule="auto"/>
        <w:ind w:firstLineChars="200" w:firstLine="480"/>
        <w:rPr>
          <w:color w:val="000000"/>
          <w:sz w:val="24"/>
        </w:rPr>
      </w:pPr>
    </w:p>
    <w:p w14:paraId="2098A8BF"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1B8E5DDD"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0BC37E03" w14:textId="77777777" w:rsidTr="00342FE7">
        <w:tc>
          <w:tcPr>
            <w:tcW w:w="452" w:type="pct"/>
            <w:vAlign w:val="center"/>
          </w:tcPr>
          <w:p w14:paraId="3FB39CC9"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68929905"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5B053207"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715D0EE1"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1A10D3DD"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129C7E29"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18A09934"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64221D1B"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w:t>
            </w:r>
            <w:r w:rsidRPr="00575270">
              <w:rPr>
                <w:rFonts w:ascii="Times New Roman" w:hAnsi="Times New Roman" w:cs="Times New Roman"/>
              </w:rPr>
              <w:lastRenderedPageBreak/>
              <w:t>基金</w:t>
            </w:r>
          </w:p>
        </w:tc>
      </w:tr>
      <w:tr w:rsidR="00710FB2" w14:paraId="2948EC19" w14:textId="77777777">
        <w:tc>
          <w:tcPr>
            <w:tcW w:w="817" w:type="dxa"/>
            <w:vAlign w:val="center"/>
          </w:tcPr>
          <w:p w14:paraId="65C5ED76" w14:textId="77777777" w:rsidR="00710FB2" w:rsidRDefault="00D56B83">
            <w:pPr>
              <w:jc w:val="center"/>
            </w:pPr>
            <w:r>
              <w:rPr>
                <w:sz w:val="24"/>
              </w:rPr>
              <w:lastRenderedPageBreak/>
              <w:t>1</w:t>
            </w:r>
          </w:p>
        </w:tc>
        <w:tc>
          <w:tcPr>
            <w:tcW w:w="1133" w:type="dxa"/>
            <w:vAlign w:val="center"/>
          </w:tcPr>
          <w:p w14:paraId="7533C6CB" w14:textId="77777777" w:rsidR="00710FB2" w:rsidRDefault="00D56B83">
            <w:pPr>
              <w:jc w:val="center"/>
            </w:pPr>
            <w:r>
              <w:rPr>
                <w:sz w:val="24"/>
              </w:rPr>
              <w:t>968050</w:t>
            </w:r>
          </w:p>
        </w:tc>
        <w:tc>
          <w:tcPr>
            <w:tcW w:w="1135" w:type="dxa"/>
            <w:vAlign w:val="center"/>
          </w:tcPr>
          <w:p w14:paraId="5E5E4E68" w14:textId="77777777" w:rsidR="00710FB2" w:rsidRDefault="00D56B83">
            <w:pPr>
              <w:jc w:val="center"/>
            </w:pPr>
            <w:r>
              <w:rPr>
                <w:sz w:val="24"/>
              </w:rPr>
              <w:t>摩根国际债券人民币对冲累计</w:t>
            </w:r>
          </w:p>
        </w:tc>
        <w:tc>
          <w:tcPr>
            <w:tcW w:w="1135" w:type="dxa"/>
            <w:vAlign w:val="center"/>
          </w:tcPr>
          <w:p w14:paraId="62F2E4F0" w14:textId="77777777" w:rsidR="00710FB2" w:rsidRDefault="00D56B83">
            <w:pPr>
              <w:jc w:val="center"/>
            </w:pPr>
            <w:r>
              <w:rPr>
                <w:sz w:val="24"/>
              </w:rPr>
              <w:t>契约型开放式</w:t>
            </w:r>
          </w:p>
        </w:tc>
        <w:tc>
          <w:tcPr>
            <w:tcW w:w="1133" w:type="dxa"/>
            <w:vAlign w:val="center"/>
          </w:tcPr>
          <w:p w14:paraId="1B45C061" w14:textId="77777777" w:rsidR="00710FB2" w:rsidRDefault="00D56B83">
            <w:pPr>
              <w:jc w:val="center"/>
            </w:pPr>
            <w:r>
              <w:rPr>
                <w:sz w:val="24"/>
              </w:rPr>
              <w:t>454,016.62</w:t>
            </w:r>
          </w:p>
        </w:tc>
        <w:tc>
          <w:tcPr>
            <w:tcW w:w="1276" w:type="dxa"/>
            <w:vAlign w:val="center"/>
          </w:tcPr>
          <w:p w14:paraId="5DF20002" w14:textId="77777777" w:rsidR="00710FB2" w:rsidRDefault="00D56B83">
            <w:pPr>
              <w:jc w:val="center"/>
            </w:pPr>
            <w:r>
              <w:rPr>
                <w:sz w:val="24"/>
              </w:rPr>
              <w:t>4,939,700.83</w:t>
            </w:r>
          </w:p>
        </w:tc>
        <w:tc>
          <w:tcPr>
            <w:tcW w:w="1135" w:type="dxa"/>
            <w:vAlign w:val="center"/>
          </w:tcPr>
          <w:p w14:paraId="27F74477" w14:textId="77777777" w:rsidR="00710FB2" w:rsidRDefault="00D56B83">
            <w:pPr>
              <w:jc w:val="center"/>
            </w:pPr>
            <w:r>
              <w:rPr>
                <w:sz w:val="24"/>
              </w:rPr>
              <w:t>4.01%</w:t>
            </w:r>
          </w:p>
        </w:tc>
        <w:tc>
          <w:tcPr>
            <w:tcW w:w="1272" w:type="dxa"/>
            <w:vAlign w:val="center"/>
          </w:tcPr>
          <w:p w14:paraId="540A46BF" w14:textId="77777777" w:rsidR="00710FB2" w:rsidRDefault="00D56B83">
            <w:pPr>
              <w:jc w:val="center"/>
            </w:pPr>
            <w:r>
              <w:rPr>
                <w:sz w:val="24"/>
              </w:rPr>
              <w:t>是</w:t>
            </w:r>
          </w:p>
        </w:tc>
      </w:tr>
      <w:tr w:rsidR="00710FB2" w14:paraId="75F81734" w14:textId="77777777">
        <w:tc>
          <w:tcPr>
            <w:tcW w:w="817" w:type="dxa"/>
            <w:vAlign w:val="center"/>
          </w:tcPr>
          <w:p w14:paraId="6D964555" w14:textId="77777777" w:rsidR="00710FB2" w:rsidRDefault="00D56B83">
            <w:pPr>
              <w:jc w:val="center"/>
            </w:pPr>
            <w:r>
              <w:rPr>
                <w:sz w:val="24"/>
              </w:rPr>
              <w:t>2</w:t>
            </w:r>
          </w:p>
        </w:tc>
        <w:tc>
          <w:tcPr>
            <w:tcW w:w="1133" w:type="dxa"/>
            <w:vAlign w:val="center"/>
          </w:tcPr>
          <w:p w14:paraId="38EECE4F" w14:textId="77777777" w:rsidR="00710FB2" w:rsidRDefault="00D56B83">
            <w:pPr>
              <w:jc w:val="center"/>
            </w:pPr>
            <w:r>
              <w:rPr>
                <w:sz w:val="24"/>
              </w:rPr>
              <w:t>003949</w:t>
            </w:r>
          </w:p>
        </w:tc>
        <w:tc>
          <w:tcPr>
            <w:tcW w:w="1135" w:type="dxa"/>
            <w:vAlign w:val="center"/>
          </w:tcPr>
          <w:p w14:paraId="3C6D6D10" w14:textId="77777777" w:rsidR="00710FB2" w:rsidRDefault="00D56B83">
            <w:pPr>
              <w:jc w:val="center"/>
            </w:pPr>
            <w:r>
              <w:rPr>
                <w:sz w:val="24"/>
              </w:rPr>
              <w:t>兴全稳泰债券</w:t>
            </w:r>
            <w:r>
              <w:rPr>
                <w:sz w:val="24"/>
              </w:rPr>
              <w:t>A</w:t>
            </w:r>
          </w:p>
        </w:tc>
        <w:tc>
          <w:tcPr>
            <w:tcW w:w="1135" w:type="dxa"/>
            <w:vAlign w:val="center"/>
          </w:tcPr>
          <w:p w14:paraId="4CFDD9C6" w14:textId="77777777" w:rsidR="00710FB2" w:rsidRDefault="00D56B83">
            <w:pPr>
              <w:jc w:val="center"/>
            </w:pPr>
            <w:r>
              <w:rPr>
                <w:sz w:val="24"/>
              </w:rPr>
              <w:t>契约型开放式</w:t>
            </w:r>
          </w:p>
        </w:tc>
        <w:tc>
          <w:tcPr>
            <w:tcW w:w="1133" w:type="dxa"/>
            <w:vAlign w:val="center"/>
          </w:tcPr>
          <w:p w14:paraId="41986E66" w14:textId="77777777" w:rsidR="00710FB2" w:rsidRDefault="00D56B83">
            <w:pPr>
              <w:jc w:val="center"/>
            </w:pPr>
            <w:r>
              <w:rPr>
                <w:sz w:val="24"/>
              </w:rPr>
              <w:t>3,940,881.07</w:t>
            </w:r>
          </w:p>
        </w:tc>
        <w:tc>
          <w:tcPr>
            <w:tcW w:w="1276" w:type="dxa"/>
            <w:vAlign w:val="center"/>
          </w:tcPr>
          <w:p w14:paraId="0FD0275C" w14:textId="77777777" w:rsidR="00710FB2" w:rsidRDefault="00D56B83">
            <w:pPr>
              <w:jc w:val="center"/>
            </w:pPr>
            <w:r>
              <w:rPr>
                <w:sz w:val="24"/>
              </w:rPr>
              <w:t>4,609,254.50</w:t>
            </w:r>
          </w:p>
        </w:tc>
        <w:tc>
          <w:tcPr>
            <w:tcW w:w="1135" w:type="dxa"/>
            <w:vAlign w:val="center"/>
          </w:tcPr>
          <w:p w14:paraId="3F82A1E7" w14:textId="77777777" w:rsidR="00710FB2" w:rsidRDefault="00D56B83">
            <w:pPr>
              <w:jc w:val="center"/>
            </w:pPr>
            <w:r>
              <w:rPr>
                <w:sz w:val="24"/>
              </w:rPr>
              <w:t>3.74%</w:t>
            </w:r>
          </w:p>
        </w:tc>
        <w:tc>
          <w:tcPr>
            <w:tcW w:w="1272" w:type="dxa"/>
            <w:vAlign w:val="center"/>
          </w:tcPr>
          <w:p w14:paraId="1189FE93" w14:textId="77777777" w:rsidR="00710FB2" w:rsidRDefault="00D56B83">
            <w:pPr>
              <w:jc w:val="center"/>
            </w:pPr>
            <w:r>
              <w:rPr>
                <w:sz w:val="24"/>
              </w:rPr>
              <w:t>否</w:t>
            </w:r>
          </w:p>
        </w:tc>
      </w:tr>
      <w:tr w:rsidR="00710FB2" w14:paraId="1435322C" w14:textId="77777777">
        <w:tc>
          <w:tcPr>
            <w:tcW w:w="817" w:type="dxa"/>
            <w:vAlign w:val="center"/>
          </w:tcPr>
          <w:p w14:paraId="499F22DF" w14:textId="77777777" w:rsidR="00710FB2" w:rsidRDefault="00D56B83">
            <w:pPr>
              <w:jc w:val="center"/>
            </w:pPr>
            <w:r>
              <w:rPr>
                <w:sz w:val="24"/>
              </w:rPr>
              <w:t>3</w:t>
            </w:r>
          </w:p>
        </w:tc>
        <w:tc>
          <w:tcPr>
            <w:tcW w:w="1133" w:type="dxa"/>
            <w:vAlign w:val="center"/>
          </w:tcPr>
          <w:p w14:paraId="79099DF3" w14:textId="77777777" w:rsidR="00710FB2" w:rsidRDefault="00D56B83">
            <w:pPr>
              <w:jc w:val="center"/>
            </w:pPr>
            <w:r>
              <w:rPr>
                <w:sz w:val="24"/>
              </w:rPr>
              <w:t>004200</w:t>
            </w:r>
          </w:p>
        </w:tc>
        <w:tc>
          <w:tcPr>
            <w:tcW w:w="1135" w:type="dxa"/>
            <w:vAlign w:val="center"/>
          </w:tcPr>
          <w:p w14:paraId="00FD646C" w14:textId="77777777" w:rsidR="00710FB2" w:rsidRDefault="00D56B83">
            <w:pPr>
              <w:jc w:val="center"/>
            </w:pPr>
            <w:r>
              <w:rPr>
                <w:sz w:val="24"/>
              </w:rPr>
              <w:t>博时富瑞纯债债券</w:t>
            </w:r>
            <w:r>
              <w:rPr>
                <w:sz w:val="24"/>
              </w:rPr>
              <w:t>A</w:t>
            </w:r>
          </w:p>
        </w:tc>
        <w:tc>
          <w:tcPr>
            <w:tcW w:w="1135" w:type="dxa"/>
            <w:vAlign w:val="center"/>
          </w:tcPr>
          <w:p w14:paraId="14024181" w14:textId="77777777" w:rsidR="00710FB2" w:rsidRDefault="00D56B83">
            <w:pPr>
              <w:jc w:val="center"/>
            </w:pPr>
            <w:r>
              <w:rPr>
                <w:sz w:val="24"/>
              </w:rPr>
              <w:t>契约型开放式</w:t>
            </w:r>
          </w:p>
        </w:tc>
        <w:tc>
          <w:tcPr>
            <w:tcW w:w="1133" w:type="dxa"/>
            <w:vAlign w:val="center"/>
          </w:tcPr>
          <w:p w14:paraId="3597A32B" w14:textId="77777777" w:rsidR="00710FB2" w:rsidRDefault="00D56B83">
            <w:pPr>
              <w:jc w:val="center"/>
            </w:pPr>
            <w:r>
              <w:rPr>
                <w:sz w:val="24"/>
              </w:rPr>
              <w:t>4,273,291.69</w:t>
            </w:r>
          </w:p>
        </w:tc>
        <w:tc>
          <w:tcPr>
            <w:tcW w:w="1276" w:type="dxa"/>
            <w:vAlign w:val="center"/>
          </w:tcPr>
          <w:p w14:paraId="155B7B88" w14:textId="77777777" w:rsidR="00710FB2" w:rsidRDefault="00D56B83">
            <w:pPr>
              <w:jc w:val="center"/>
            </w:pPr>
            <w:r>
              <w:rPr>
                <w:sz w:val="24"/>
              </w:rPr>
              <w:t>4,573,704.10</w:t>
            </w:r>
          </w:p>
        </w:tc>
        <w:tc>
          <w:tcPr>
            <w:tcW w:w="1135" w:type="dxa"/>
            <w:vAlign w:val="center"/>
          </w:tcPr>
          <w:p w14:paraId="719ED689" w14:textId="77777777" w:rsidR="00710FB2" w:rsidRDefault="00D56B83">
            <w:pPr>
              <w:jc w:val="center"/>
            </w:pPr>
            <w:r>
              <w:rPr>
                <w:sz w:val="24"/>
              </w:rPr>
              <w:t>3.71%</w:t>
            </w:r>
          </w:p>
        </w:tc>
        <w:tc>
          <w:tcPr>
            <w:tcW w:w="1272" w:type="dxa"/>
            <w:vAlign w:val="center"/>
          </w:tcPr>
          <w:p w14:paraId="75994691" w14:textId="77777777" w:rsidR="00710FB2" w:rsidRDefault="00D56B83">
            <w:pPr>
              <w:jc w:val="center"/>
            </w:pPr>
            <w:r>
              <w:rPr>
                <w:sz w:val="24"/>
              </w:rPr>
              <w:t>否</w:t>
            </w:r>
          </w:p>
        </w:tc>
      </w:tr>
      <w:tr w:rsidR="00710FB2" w14:paraId="1697D34A" w14:textId="77777777">
        <w:tc>
          <w:tcPr>
            <w:tcW w:w="817" w:type="dxa"/>
            <w:vAlign w:val="center"/>
          </w:tcPr>
          <w:p w14:paraId="57D28173" w14:textId="77777777" w:rsidR="00710FB2" w:rsidRDefault="00D56B83">
            <w:pPr>
              <w:jc w:val="center"/>
            </w:pPr>
            <w:r>
              <w:rPr>
                <w:sz w:val="24"/>
              </w:rPr>
              <w:t>4</w:t>
            </w:r>
          </w:p>
        </w:tc>
        <w:tc>
          <w:tcPr>
            <w:tcW w:w="1133" w:type="dxa"/>
            <w:vAlign w:val="center"/>
          </w:tcPr>
          <w:p w14:paraId="41BCECD9" w14:textId="77777777" w:rsidR="00710FB2" w:rsidRDefault="00D56B83">
            <w:pPr>
              <w:jc w:val="center"/>
            </w:pPr>
            <w:r>
              <w:rPr>
                <w:sz w:val="24"/>
              </w:rPr>
              <w:t>012709</w:t>
            </w:r>
          </w:p>
        </w:tc>
        <w:tc>
          <w:tcPr>
            <w:tcW w:w="1135" w:type="dxa"/>
            <w:vAlign w:val="center"/>
          </w:tcPr>
          <w:p w14:paraId="07D71308" w14:textId="77777777" w:rsidR="00710FB2" w:rsidRDefault="00D56B83">
            <w:pPr>
              <w:jc w:val="center"/>
            </w:pPr>
            <w:r>
              <w:rPr>
                <w:sz w:val="24"/>
              </w:rPr>
              <w:t>东方红中证东方红红利低波动指数</w:t>
            </w:r>
            <w:r>
              <w:rPr>
                <w:sz w:val="24"/>
              </w:rPr>
              <w:t>C</w:t>
            </w:r>
          </w:p>
        </w:tc>
        <w:tc>
          <w:tcPr>
            <w:tcW w:w="1135" w:type="dxa"/>
            <w:vAlign w:val="center"/>
          </w:tcPr>
          <w:p w14:paraId="6101D759" w14:textId="77777777" w:rsidR="00710FB2" w:rsidRDefault="00D56B83">
            <w:pPr>
              <w:jc w:val="center"/>
            </w:pPr>
            <w:r>
              <w:rPr>
                <w:sz w:val="24"/>
              </w:rPr>
              <w:t>契约型开放式</w:t>
            </w:r>
          </w:p>
        </w:tc>
        <w:tc>
          <w:tcPr>
            <w:tcW w:w="1133" w:type="dxa"/>
            <w:vAlign w:val="center"/>
          </w:tcPr>
          <w:p w14:paraId="1EAF4913" w14:textId="77777777" w:rsidR="00710FB2" w:rsidRDefault="00D56B83">
            <w:pPr>
              <w:jc w:val="center"/>
            </w:pPr>
            <w:r>
              <w:rPr>
                <w:sz w:val="24"/>
              </w:rPr>
              <w:t>3,518,351.21</w:t>
            </w:r>
          </w:p>
        </w:tc>
        <w:tc>
          <w:tcPr>
            <w:tcW w:w="1276" w:type="dxa"/>
            <w:vAlign w:val="center"/>
          </w:tcPr>
          <w:p w14:paraId="45932C47" w14:textId="77777777" w:rsidR="00710FB2" w:rsidRDefault="00D56B83">
            <w:pPr>
              <w:jc w:val="center"/>
            </w:pPr>
            <w:r>
              <w:rPr>
                <w:sz w:val="24"/>
              </w:rPr>
              <w:t>4,541,135.91</w:t>
            </w:r>
          </w:p>
        </w:tc>
        <w:tc>
          <w:tcPr>
            <w:tcW w:w="1135" w:type="dxa"/>
            <w:vAlign w:val="center"/>
          </w:tcPr>
          <w:p w14:paraId="3A16797C" w14:textId="77777777" w:rsidR="00710FB2" w:rsidRDefault="00D56B83">
            <w:pPr>
              <w:jc w:val="center"/>
            </w:pPr>
            <w:r>
              <w:rPr>
                <w:sz w:val="24"/>
              </w:rPr>
              <w:t>3.69%</w:t>
            </w:r>
          </w:p>
        </w:tc>
        <w:tc>
          <w:tcPr>
            <w:tcW w:w="1272" w:type="dxa"/>
            <w:vAlign w:val="center"/>
          </w:tcPr>
          <w:p w14:paraId="0B3F4DC9" w14:textId="77777777" w:rsidR="00710FB2" w:rsidRDefault="00D56B83">
            <w:pPr>
              <w:jc w:val="center"/>
            </w:pPr>
            <w:r>
              <w:rPr>
                <w:sz w:val="24"/>
              </w:rPr>
              <w:t>否</w:t>
            </w:r>
          </w:p>
        </w:tc>
      </w:tr>
      <w:tr w:rsidR="00710FB2" w14:paraId="13A8CB8A" w14:textId="77777777">
        <w:tc>
          <w:tcPr>
            <w:tcW w:w="817" w:type="dxa"/>
            <w:vAlign w:val="center"/>
          </w:tcPr>
          <w:p w14:paraId="59918B5C" w14:textId="77777777" w:rsidR="00710FB2" w:rsidRDefault="00D56B83">
            <w:pPr>
              <w:jc w:val="center"/>
            </w:pPr>
            <w:r>
              <w:rPr>
                <w:sz w:val="24"/>
              </w:rPr>
              <w:t>5</w:t>
            </w:r>
          </w:p>
        </w:tc>
        <w:tc>
          <w:tcPr>
            <w:tcW w:w="1133" w:type="dxa"/>
            <w:vAlign w:val="center"/>
          </w:tcPr>
          <w:p w14:paraId="3F9C1B38" w14:textId="77777777" w:rsidR="00710FB2" w:rsidRDefault="00D56B83">
            <w:pPr>
              <w:jc w:val="center"/>
            </w:pPr>
            <w:r>
              <w:rPr>
                <w:sz w:val="24"/>
              </w:rPr>
              <w:t>519782</w:t>
            </w:r>
          </w:p>
        </w:tc>
        <w:tc>
          <w:tcPr>
            <w:tcW w:w="1135" w:type="dxa"/>
            <w:vAlign w:val="center"/>
          </w:tcPr>
          <w:p w14:paraId="62CD022B" w14:textId="77777777" w:rsidR="00710FB2" w:rsidRDefault="00D56B83">
            <w:pPr>
              <w:jc w:val="center"/>
            </w:pPr>
            <w:r>
              <w:rPr>
                <w:sz w:val="24"/>
              </w:rPr>
              <w:t>交银裕隆纯债债券</w:t>
            </w:r>
            <w:r>
              <w:rPr>
                <w:sz w:val="24"/>
              </w:rPr>
              <w:t>A</w:t>
            </w:r>
          </w:p>
        </w:tc>
        <w:tc>
          <w:tcPr>
            <w:tcW w:w="1135" w:type="dxa"/>
            <w:vAlign w:val="center"/>
          </w:tcPr>
          <w:p w14:paraId="6DD908C1" w14:textId="77777777" w:rsidR="00710FB2" w:rsidRDefault="00D56B83">
            <w:pPr>
              <w:jc w:val="center"/>
            </w:pPr>
            <w:r>
              <w:rPr>
                <w:sz w:val="24"/>
              </w:rPr>
              <w:t>契约型开放式</w:t>
            </w:r>
          </w:p>
        </w:tc>
        <w:tc>
          <w:tcPr>
            <w:tcW w:w="1133" w:type="dxa"/>
            <w:vAlign w:val="center"/>
          </w:tcPr>
          <w:p w14:paraId="3A31CBD9" w14:textId="77777777" w:rsidR="00710FB2" w:rsidRDefault="00D56B83">
            <w:pPr>
              <w:jc w:val="center"/>
            </w:pPr>
            <w:r>
              <w:rPr>
                <w:sz w:val="24"/>
              </w:rPr>
              <w:t>2,662,222.33</w:t>
            </w:r>
          </w:p>
        </w:tc>
        <w:tc>
          <w:tcPr>
            <w:tcW w:w="1276" w:type="dxa"/>
            <w:vAlign w:val="center"/>
          </w:tcPr>
          <w:p w14:paraId="236627DD" w14:textId="77777777" w:rsidR="00710FB2" w:rsidRDefault="00D56B83">
            <w:pPr>
              <w:jc w:val="center"/>
            </w:pPr>
            <w:r>
              <w:rPr>
                <w:sz w:val="24"/>
              </w:rPr>
              <w:t>3,657,627.26</w:t>
            </w:r>
          </w:p>
        </w:tc>
        <w:tc>
          <w:tcPr>
            <w:tcW w:w="1135" w:type="dxa"/>
            <w:vAlign w:val="center"/>
          </w:tcPr>
          <w:p w14:paraId="21140F92" w14:textId="77777777" w:rsidR="00710FB2" w:rsidRDefault="00D56B83">
            <w:pPr>
              <w:jc w:val="center"/>
            </w:pPr>
            <w:r>
              <w:rPr>
                <w:sz w:val="24"/>
              </w:rPr>
              <w:t>2.97%</w:t>
            </w:r>
          </w:p>
        </w:tc>
        <w:tc>
          <w:tcPr>
            <w:tcW w:w="1272" w:type="dxa"/>
            <w:vAlign w:val="center"/>
          </w:tcPr>
          <w:p w14:paraId="19A6160E" w14:textId="77777777" w:rsidR="00710FB2" w:rsidRDefault="00D56B83">
            <w:pPr>
              <w:jc w:val="center"/>
            </w:pPr>
            <w:r>
              <w:rPr>
                <w:sz w:val="24"/>
              </w:rPr>
              <w:t>否</w:t>
            </w:r>
          </w:p>
        </w:tc>
      </w:tr>
      <w:tr w:rsidR="00710FB2" w14:paraId="512F3971" w14:textId="77777777">
        <w:tc>
          <w:tcPr>
            <w:tcW w:w="817" w:type="dxa"/>
            <w:vAlign w:val="center"/>
          </w:tcPr>
          <w:p w14:paraId="4D95264D" w14:textId="77777777" w:rsidR="00710FB2" w:rsidRDefault="00D56B83">
            <w:pPr>
              <w:jc w:val="center"/>
            </w:pPr>
            <w:r>
              <w:rPr>
                <w:sz w:val="24"/>
              </w:rPr>
              <w:t>6</w:t>
            </w:r>
          </w:p>
        </w:tc>
        <w:tc>
          <w:tcPr>
            <w:tcW w:w="1133" w:type="dxa"/>
            <w:vAlign w:val="center"/>
          </w:tcPr>
          <w:p w14:paraId="6DEB4883" w14:textId="77777777" w:rsidR="00710FB2" w:rsidRDefault="00D56B83">
            <w:pPr>
              <w:jc w:val="center"/>
            </w:pPr>
            <w:r>
              <w:rPr>
                <w:sz w:val="24"/>
              </w:rPr>
              <w:t>100018</w:t>
            </w:r>
          </w:p>
        </w:tc>
        <w:tc>
          <w:tcPr>
            <w:tcW w:w="1135" w:type="dxa"/>
            <w:vAlign w:val="center"/>
          </w:tcPr>
          <w:p w14:paraId="7649C30C" w14:textId="77777777" w:rsidR="00710FB2" w:rsidRDefault="00D56B83">
            <w:pPr>
              <w:jc w:val="center"/>
            </w:pPr>
            <w:r>
              <w:rPr>
                <w:sz w:val="24"/>
              </w:rPr>
              <w:t>富国天利增长债券</w:t>
            </w:r>
            <w:r>
              <w:rPr>
                <w:sz w:val="24"/>
              </w:rPr>
              <w:t>A/B</w:t>
            </w:r>
          </w:p>
        </w:tc>
        <w:tc>
          <w:tcPr>
            <w:tcW w:w="1135" w:type="dxa"/>
            <w:vAlign w:val="center"/>
          </w:tcPr>
          <w:p w14:paraId="06CC8E23" w14:textId="77777777" w:rsidR="00710FB2" w:rsidRDefault="00D56B83">
            <w:pPr>
              <w:jc w:val="center"/>
            </w:pPr>
            <w:r>
              <w:rPr>
                <w:sz w:val="24"/>
              </w:rPr>
              <w:t>契约型开放式</w:t>
            </w:r>
          </w:p>
        </w:tc>
        <w:tc>
          <w:tcPr>
            <w:tcW w:w="1133" w:type="dxa"/>
            <w:vAlign w:val="center"/>
          </w:tcPr>
          <w:p w14:paraId="7075820B" w14:textId="77777777" w:rsidR="00710FB2" w:rsidRDefault="00D56B83">
            <w:pPr>
              <w:jc w:val="center"/>
            </w:pPr>
            <w:r>
              <w:rPr>
                <w:sz w:val="24"/>
              </w:rPr>
              <w:t>2,636,385.85</w:t>
            </w:r>
          </w:p>
        </w:tc>
        <w:tc>
          <w:tcPr>
            <w:tcW w:w="1276" w:type="dxa"/>
            <w:vAlign w:val="center"/>
          </w:tcPr>
          <w:p w14:paraId="670ADC13" w14:textId="77777777" w:rsidR="00710FB2" w:rsidRDefault="00D56B83">
            <w:pPr>
              <w:jc w:val="center"/>
            </w:pPr>
            <w:r>
              <w:rPr>
                <w:sz w:val="24"/>
              </w:rPr>
              <w:t>3,548,311.72</w:t>
            </w:r>
          </w:p>
        </w:tc>
        <w:tc>
          <w:tcPr>
            <w:tcW w:w="1135" w:type="dxa"/>
            <w:vAlign w:val="center"/>
          </w:tcPr>
          <w:p w14:paraId="26A9BD50" w14:textId="77777777" w:rsidR="00710FB2" w:rsidRDefault="00D56B83">
            <w:pPr>
              <w:jc w:val="center"/>
            </w:pPr>
            <w:r>
              <w:rPr>
                <w:sz w:val="24"/>
              </w:rPr>
              <w:t>2.88%</w:t>
            </w:r>
          </w:p>
        </w:tc>
        <w:tc>
          <w:tcPr>
            <w:tcW w:w="1272" w:type="dxa"/>
            <w:vAlign w:val="center"/>
          </w:tcPr>
          <w:p w14:paraId="58D07BEE" w14:textId="77777777" w:rsidR="00710FB2" w:rsidRDefault="00D56B83">
            <w:pPr>
              <w:jc w:val="center"/>
            </w:pPr>
            <w:r>
              <w:rPr>
                <w:sz w:val="24"/>
              </w:rPr>
              <w:t>否</w:t>
            </w:r>
          </w:p>
        </w:tc>
      </w:tr>
      <w:tr w:rsidR="00710FB2" w14:paraId="28169842" w14:textId="77777777">
        <w:tc>
          <w:tcPr>
            <w:tcW w:w="817" w:type="dxa"/>
            <w:vAlign w:val="center"/>
          </w:tcPr>
          <w:p w14:paraId="1BBB980B" w14:textId="77777777" w:rsidR="00710FB2" w:rsidRDefault="00D56B83">
            <w:pPr>
              <w:jc w:val="center"/>
            </w:pPr>
            <w:r>
              <w:rPr>
                <w:sz w:val="24"/>
              </w:rPr>
              <w:t>7</w:t>
            </w:r>
          </w:p>
        </w:tc>
        <w:tc>
          <w:tcPr>
            <w:tcW w:w="1133" w:type="dxa"/>
            <w:vAlign w:val="center"/>
          </w:tcPr>
          <w:p w14:paraId="06C4985E" w14:textId="77777777" w:rsidR="00710FB2" w:rsidRDefault="00D56B83">
            <w:pPr>
              <w:jc w:val="center"/>
            </w:pPr>
            <w:r>
              <w:rPr>
                <w:sz w:val="24"/>
              </w:rPr>
              <w:t>561100</w:t>
            </w:r>
          </w:p>
        </w:tc>
        <w:tc>
          <w:tcPr>
            <w:tcW w:w="1135" w:type="dxa"/>
            <w:vAlign w:val="center"/>
          </w:tcPr>
          <w:p w14:paraId="3F1614BB" w14:textId="77777777" w:rsidR="00710FB2" w:rsidRDefault="00D56B83">
            <w:pPr>
              <w:jc w:val="center"/>
            </w:pPr>
            <w:r>
              <w:rPr>
                <w:sz w:val="24"/>
              </w:rPr>
              <w:t>富国中证消费电子主题</w:t>
            </w:r>
            <w:r>
              <w:rPr>
                <w:sz w:val="24"/>
              </w:rPr>
              <w:t>ETF</w:t>
            </w:r>
          </w:p>
        </w:tc>
        <w:tc>
          <w:tcPr>
            <w:tcW w:w="1135" w:type="dxa"/>
            <w:vAlign w:val="center"/>
          </w:tcPr>
          <w:p w14:paraId="4D2627D1" w14:textId="77777777" w:rsidR="00710FB2" w:rsidRDefault="00D56B83">
            <w:pPr>
              <w:jc w:val="center"/>
            </w:pPr>
            <w:r>
              <w:rPr>
                <w:sz w:val="24"/>
              </w:rPr>
              <w:t>交易型开放式</w:t>
            </w:r>
          </w:p>
        </w:tc>
        <w:tc>
          <w:tcPr>
            <w:tcW w:w="1133" w:type="dxa"/>
            <w:vAlign w:val="center"/>
          </w:tcPr>
          <w:p w14:paraId="4BD26D9E" w14:textId="77777777" w:rsidR="00710FB2" w:rsidRDefault="00D56B83">
            <w:pPr>
              <w:jc w:val="center"/>
            </w:pPr>
            <w:r>
              <w:rPr>
                <w:sz w:val="24"/>
              </w:rPr>
              <w:t>4,426,900.00</w:t>
            </w:r>
          </w:p>
        </w:tc>
        <w:tc>
          <w:tcPr>
            <w:tcW w:w="1276" w:type="dxa"/>
            <w:vAlign w:val="center"/>
          </w:tcPr>
          <w:p w14:paraId="62C4276E" w14:textId="77777777" w:rsidR="00710FB2" w:rsidRDefault="00D56B83">
            <w:pPr>
              <w:jc w:val="center"/>
            </w:pPr>
            <w:r>
              <w:rPr>
                <w:sz w:val="24"/>
              </w:rPr>
              <w:t>3,435,274.40</w:t>
            </w:r>
          </w:p>
        </w:tc>
        <w:tc>
          <w:tcPr>
            <w:tcW w:w="1135" w:type="dxa"/>
            <w:vAlign w:val="center"/>
          </w:tcPr>
          <w:p w14:paraId="1A29896B" w14:textId="77777777" w:rsidR="00710FB2" w:rsidRDefault="00D56B83">
            <w:pPr>
              <w:jc w:val="center"/>
            </w:pPr>
            <w:r>
              <w:rPr>
                <w:sz w:val="24"/>
              </w:rPr>
              <w:t>2.79%</w:t>
            </w:r>
          </w:p>
        </w:tc>
        <w:tc>
          <w:tcPr>
            <w:tcW w:w="1272" w:type="dxa"/>
            <w:vAlign w:val="center"/>
          </w:tcPr>
          <w:p w14:paraId="46899B46" w14:textId="77777777" w:rsidR="00710FB2" w:rsidRDefault="00D56B83">
            <w:pPr>
              <w:jc w:val="center"/>
            </w:pPr>
            <w:r>
              <w:rPr>
                <w:sz w:val="24"/>
              </w:rPr>
              <w:t>否</w:t>
            </w:r>
          </w:p>
        </w:tc>
      </w:tr>
      <w:tr w:rsidR="00710FB2" w14:paraId="3811FF69" w14:textId="77777777">
        <w:tc>
          <w:tcPr>
            <w:tcW w:w="817" w:type="dxa"/>
            <w:vAlign w:val="center"/>
          </w:tcPr>
          <w:p w14:paraId="05DBEEED" w14:textId="77777777" w:rsidR="00710FB2" w:rsidRDefault="00D56B83">
            <w:pPr>
              <w:jc w:val="center"/>
            </w:pPr>
            <w:r>
              <w:rPr>
                <w:sz w:val="24"/>
              </w:rPr>
              <w:t>8</w:t>
            </w:r>
          </w:p>
        </w:tc>
        <w:tc>
          <w:tcPr>
            <w:tcW w:w="1133" w:type="dxa"/>
            <w:vAlign w:val="center"/>
          </w:tcPr>
          <w:p w14:paraId="6169B07E" w14:textId="77777777" w:rsidR="00710FB2" w:rsidRDefault="00D56B83">
            <w:pPr>
              <w:jc w:val="center"/>
            </w:pPr>
            <w:r>
              <w:rPr>
                <w:sz w:val="24"/>
              </w:rPr>
              <w:t>009100</w:t>
            </w:r>
          </w:p>
        </w:tc>
        <w:tc>
          <w:tcPr>
            <w:tcW w:w="1135" w:type="dxa"/>
            <w:vAlign w:val="center"/>
          </w:tcPr>
          <w:p w14:paraId="2EA4CD08" w14:textId="77777777" w:rsidR="00710FB2" w:rsidRDefault="00D56B83">
            <w:pPr>
              <w:jc w:val="center"/>
            </w:pPr>
            <w:r>
              <w:rPr>
                <w:sz w:val="24"/>
              </w:rPr>
              <w:t>安信稳健增利混合</w:t>
            </w:r>
            <w:r>
              <w:rPr>
                <w:sz w:val="24"/>
              </w:rPr>
              <w:t>A</w:t>
            </w:r>
          </w:p>
        </w:tc>
        <w:tc>
          <w:tcPr>
            <w:tcW w:w="1135" w:type="dxa"/>
            <w:vAlign w:val="center"/>
          </w:tcPr>
          <w:p w14:paraId="035A7E08" w14:textId="77777777" w:rsidR="00710FB2" w:rsidRDefault="00D56B83">
            <w:pPr>
              <w:jc w:val="center"/>
            </w:pPr>
            <w:r>
              <w:rPr>
                <w:sz w:val="24"/>
              </w:rPr>
              <w:t>契约型开放式</w:t>
            </w:r>
          </w:p>
        </w:tc>
        <w:tc>
          <w:tcPr>
            <w:tcW w:w="1133" w:type="dxa"/>
            <w:vAlign w:val="center"/>
          </w:tcPr>
          <w:p w14:paraId="41A1AF61" w14:textId="77777777" w:rsidR="00710FB2" w:rsidRDefault="00D56B83">
            <w:pPr>
              <w:jc w:val="center"/>
            </w:pPr>
            <w:r>
              <w:rPr>
                <w:sz w:val="24"/>
              </w:rPr>
              <w:t>2,429,656.56</w:t>
            </w:r>
          </w:p>
        </w:tc>
        <w:tc>
          <w:tcPr>
            <w:tcW w:w="1276" w:type="dxa"/>
            <w:vAlign w:val="center"/>
          </w:tcPr>
          <w:p w14:paraId="72D1F819" w14:textId="77777777" w:rsidR="00710FB2" w:rsidRDefault="00D56B83">
            <w:pPr>
              <w:jc w:val="center"/>
            </w:pPr>
            <w:r>
              <w:rPr>
                <w:sz w:val="24"/>
              </w:rPr>
              <w:t>3,249,665.65</w:t>
            </w:r>
          </w:p>
        </w:tc>
        <w:tc>
          <w:tcPr>
            <w:tcW w:w="1135" w:type="dxa"/>
            <w:vAlign w:val="center"/>
          </w:tcPr>
          <w:p w14:paraId="7C27CB71" w14:textId="77777777" w:rsidR="00710FB2" w:rsidRDefault="00D56B83">
            <w:pPr>
              <w:jc w:val="center"/>
            </w:pPr>
            <w:r>
              <w:rPr>
                <w:sz w:val="24"/>
              </w:rPr>
              <w:t>2.64%</w:t>
            </w:r>
          </w:p>
        </w:tc>
        <w:tc>
          <w:tcPr>
            <w:tcW w:w="1272" w:type="dxa"/>
            <w:vAlign w:val="center"/>
          </w:tcPr>
          <w:p w14:paraId="1DB4B1B4" w14:textId="77777777" w:rsidR="00710FB2" w:rsidRDefault="00D56B83">
            <w:pPr>
              <w:jc w:val="center"/>
            </w:pPr>
            <w:r>
              <w:rPr>
                <w:sz w:val="24"/>
              </w:rPr>
              <w:t>否</w:t>
            </w:r>
          </w:p>
        </w:tc>
      </w:tr>
      <w:tr w:rsidR="00710FB2" w14:paraId="29D44142" w14:textId="77777777">
        <w:tc>
          <w:tcPr>
            <w:tcW w:w="817" w:type="dxa"/>
            <w:vAlign w:val="center"/>
          </w:tcPr>
          <w:p w14:paraId="258041C1" w14:textId="77777777" w:rsidR="00710FB2" w:rsidRDefault="00D56B83">
            <w:pPr>
              <w:jc w:val="center"/>
            </w:pPr>
            <w:r>
              <w:rPr>
                <w:sz w:val="24"/>
              </w:rPr>
              <w:t>9</w:t>
            </w:r>
          </w:p>
        </w:tc>
        <w:tc>
          <w:tcPr>
            <w:tcW w:w="1133" w:type="dxa"/>
            <w:vAlign w:val="center"/>
          </w:tcPr>
          <w:p w14:paraId="44673E16" w14:textId="77777777" w:rsidR="00710FB2" w:rsidRDefault="00D56B83">
            <w:pPr>
              <w:jc w:val="center"/>
            </w:pPr>
            <w:r>
              <w:rPr>
                <w:sz w:val="24"/>
              </w:rPr>
              <w:t>002207</w:t>
            </w:r>
          </w:p>
        </w:tc>
        <w:tc>
          <w:tcPr>
            <w:tcW w:w="1135" w:type="dxa"/>
            <w:vAlign w:val="center"/>
          </w:tcPr>
          <w:p w14:paraId="47C5BBF1" w14:textId="77777777" w:rsidR="00710FB2" w:rsidRDefault="00D56B83">
            <w:pPr>
              <w:jc w:val="center"/>
            </w:pPr>
            <w:r>
              <w:rPr>
                <w:sz w:val="24"/>
              </w:rPr>
              <w:t>前海开源金银珠宝混合</w:t>
            </w:r>
            <w:r>
              <w:rPr>
                <w:sz w:val="24"/>
              </w:rPr>
              <w:t>C</w:t>
            </w:r>
          </w:p>
        </w:tc>
        <w:tc>
          <w:tcPr>
            <w:tcW w:w="1135" w:type="dxa"/>
            <w:vAlign w:val="center"/>
          </w:tcPr>
          <w:p w14:paraId="07C7E040" w14:textId="77777777" w:rsidR="00710FB2" w:rsidRDefault="00D56B83">
            <w:pPr>
              <w:jc w:val="center"/>
            </w:pPr>
            <w:r>
              <w:rPr>
                <w:sz w:val="24"/>
              </w:rPr>
              <w:t>契约型开放式</w:t>
            </w:r>
          </w:p>
        </w:tc>
        <w:tc>
          <w:tcPr>
            <w:tcW w:w="1133" w:type="dxa"/>
            <w:vAlign w:val="center"/>
          </w:tcPr>
          <w:p w14:paraId="19F2A69B" w14:textId="77777777" w:rsidR="00710FB2" w:rsidRDefault="00D56B83">
            <w:pPr>
              <w:jc w:val="center"/>
            </w:pPr>
            <w:r>
              <w:rPr>
                <w:sz w:val="24"/>
              </w:rPr>
              <w:t>2,040,024.89</w:t>
            </w:r>
          </w:p>
        </w:tc>
        <w:tc>
          <w:tcPr>
            <w:tcW w:w="1276" w:type="dxa"/>
            <w:vAlign w:val="center"/>
          </w:tcPr>
          <w:p w14:paraId="0CEE5A5C" w14:textId="77777777" w:rsidR="00710FB2" w:rsidRDefault="00D56B83">
            <w:pPr>
              <w:jc w:val="center"/>
            </w:pPr>
            <w:r>
              <w:rPr>
                <w:sz w:val="24"/>
              </w:rPr>
              <w:t>3,229,359.40</w:t>
            </w:r>
          </w:p>
        </w:tc>
        <w:tc>
          <w:tcPr>
            <w:tcW w:w="1135" w:type="dxa"/>
            <w:vAlign w:val="center"/>
          </w:tcPr>
          <w:p w14:paraId="2F0D2AEE" w14:textId="77777777" w:rsidR="00710FB2" w:rsidRDefault="00D56B83">
            <w:pPr>
              <w:jc w:val="center"/>
            </w:pPr>
            <w:r>
              <w:rPr>
                <w:sz w:val="24"/>
              </w:rPr>
              <w:t>2.62%</w:t>
            </w:r>
          </w:p>
        </w:tc>
        <w:tc>
          <w:tcPr>
            <w:tcW w:w="1272" w:type="dxa"/>
            <w:vAlign w:val="center"/>
          </w:tcPr>
          <w:p w14:paraId="2734A615" w14:textId="77777777" w:rsidR="00710FB2" w:rsidRDefault="00D56B83">
            <w:pPr>
              <w:jc w:val="center"/>
            </w:pPr>
            <w:r>
              <w:rPr>
                <w:sz w:val="24"/>
              </w:rPr>
              <w:t>否</w:t>
            </w:r>
          </w:p>
        </w:tc>
      </w:tr>
      <w:tr w:rsidR="00710FB2" w14:paraId="79FC36C6" w14:textId="77777777">
        <w:tc>
          <w:tcPr>
            <w:tcW w:w="817" w:type="dxa"/>
            <w:vAlign w:val="center"/>
          </w:tcPr>
          <w:p w14:paraId="4ED83B58" w14:textId="77777777" w:rsidR="00710FB2" w:rsidRDefault="00D56B83">
            <w:pPr>
              <w:jc w:val="center"/>
            </w:pPr>
            <w:r>
              <w:rPr>
                <w:sz w:val="24"/>
              </w:rPr>
              <w:t>10</w:t>
            </w:r>
          </w:p>
        </w:tc>
        <w:tc>
          <w:tcPr>
            <w:tcW w:w="1133" w:type="dxa"/>
            <w:vAlign w:val="center"/>
          </w:tcPr>
          <w:p w14:paraId="58698BEA" w14:textId="77777777" w:rsidR="00710FB2" w:rsidRDefault="00D56B83">
            <w:pPr>
              <w:jc w:val="center"/>
            </w:pPr>
            <w:r>
              <w:rPr>
                <w:sz w:val="24"/>
              </w:rPr>
              <w:t>000107</w:t>
            </w:r>
          </w:p>
        </w:tc>
        <w:tc>
          <w:tcPr>
            <w:tcW w:w="1135" w:type="dxa"/>
            <w:vAlign w:val="center"/>
          </w:tcPr>
          <w:p w14:paraId="64296DE4" w14:textId="77777777" w:rsidR="00710FB2" w:rsidRDefault="00D56B83">
            <w:pPr>
              <w:jc w:val="center"/>
            </w:pPr>
            <w:r>
              <w:rPr>
                <w:sz w:val="24"/>
              </w:rPr>
              <w:t>富国稳健增强债券</w:t>
            </w:r>
            <w:r>
              <w:rPr>
                <w:sz w:val="24"/>
              </w:rPr>
              <w:t>A/B</w:t>
            </w:r>
          </w:p>
        </w:tc>
        <w:tc>
          <w:tcPr>
            <w:tcW w:w="1135" w:type="dxa"/>
            <w:vAlign w:val="center"/>
          </w:tcPr>
          <w:p w14:paraId="2469B486" w14:textId="77777777" w:rsidR="00710FB2" w:rsidRDefault="00D56B83">
            <w:pPr>
              <w:jc w:val="center"/>
            </w:pPr>
            <w:r>
              <w:rPr>
                <w:sz w:val="24"/>
              </w:rPr>
              <w:t>契约型开放式</w:t>
            </w:r>
          </w:p>
        </w:tc>
        <w:tc>
          <w:tcPr>
            <w:tcW w:w="1133" w:type="dxa"/>
            <w:vAlign w:val="center"/>
          </w:tcPr>
          <w:p w14:paraId="063F335A" w14:textId="77777777" w:rsidR="00710FB2" w:rsidRDefault="00D56B83">
            <w:pPr>
              <w:jc w:val="center"/>
            </w:pPr>
            <w:r>
              <w:rPr>
                <w:sz w:val="24"/>
              </w:rPr>
              <w:t>2,437,193.85</w:t>
            </w:r>
          </w:p>
        </w:tc>
        <w:tc>
          <w:tcPr>
            <w:tcW w:w="1276" w:type="dxa"/>
            <w:vAlign w:val="center"/>
          </w:tcPr>
          <w:p w14:paraId="41A1BFCA" w14:textId="77777777" w:rsidR="00710FB2" w:rsidRDefault="00D56B83">
            <w:pPr>
              <w:jc w:val="center"/>
            </w:pPr>
            <w:r>
              <w:rPr>
                <w:sz w:val="24"/>
              </w:rPr>
              <w:t>3,097,673.38</w:t>
            </w:r>
          </w:p>
        </w:tc>
        <w:tc>
          <w:tcPr>
            <w:tcW w:w="1135" w:type="dxa"/>
            <w:vAlign w:val="center"/>
          </w:tcPr>
          <w:p w14:paraId="754775C8" w14:textId="77777777" w:rsidR="00710FB2" w:rsidRDefault="00D56B83">
            <w:pPr>
              <w:jc w:val="center"/>
            </w:pPr>
            <w:r>
              <w:rPr>
                <w:sz w:val="24"/>
              </w:rPr>
              <w:t>2.51%</w:t>
            </w:r>
          </w:p>
        </w:tc>
        <w:tc>
          <w:tcPr>
            <w:tcW w:w="1272" w:type="dxa"/>
            <w:vAlign w:val="center"/>
          </w:tcPr>
          <w:p w14:paraId="517E6BD9" w14:textId="77777777" w:rsidR="00710FB2" w:rsidRDefault="00D56B83">
            <w:pPr>
              <w:jc w:val="center"/>
            </w:pPr>
            <w:r>
              <w:rPr>
                <w:sz w:val="24"/>
              </w:rPr>
              <w:t>否</w:t>
            </w:r>
          </w:p>
        </w:tc>
      </w:tr>
    </w:tbl>
    <w:p w14:paraId="5BCE4D0E"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21EBF254" w14:textId="77777777" w:rsidTr="00342FE7">
        <w:tc>
          <w:tcPr>
            <w:tcW w:w="3012" w:type="dxa"/>
            <w:vAlign w:val="center"/>
          </w:tcPr>
          <w:p w14:paraId="146EE722"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7DA5BD0B"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5A5249F4"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70102701" w14:textId="77777777" w:rsidTr="00342FE7">
        <w:tc>
          <w:tcPr>
            <w:tcW w:w="3012" w:type="dxa"/>
            <w:vAlign w:val="center"/>
          </w:tcPr>
          <w:p w14:paraId="73BC4E70"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w:t>
            </w:r>
            <w:r w:rsidRPr="00575270">
              <w:rPr>
                <w:sz w:val="24"/>
              </w:rPr>
              <w:lastRenderedPageBreak/>
              <w:t>费</w:t>
            </w:r>
          </w:p>
        </w:tc>
        <w:tc>
          <w:tcPr>
            <w:tcW w:w="3012" w:type="dxa"/>
            <w:vAlign w:val="center"/>
          </w:tcPr>
          <w:p w14:paraId="1A1A1B4C"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lastRenderedPageBreak/>
              <w:t>-</w:t>
            </w:r>
          </w:p>
        </w:tc>
        <w:tc>
          <w:tcPr>
            <w:tcW w:w="3012" w:type="dxa"/>
            <w:vAlign w:val="center"/>
          </w:tcPr>
          <w:p w14:paraId="7695E8C8"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574E924C" w14:textId="77777777" w:rsidTr="00342FE7">
        <w:tc>
          <w:tcPr>
            <w:tcW w:w="3012" w:type="dxa"/>
            <w:vAlign w:val="center"/>
          </w:tcPr>
          <w:p w14:paraId="36B5565D"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65BEF125"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396.94</w:t>
            </w:r>
          </w:p>
        </w:tc>
        <w:tc>
          <w:tcPr>
            <w:tcW w:w="3012" w:type="dxa"/>
            <w:vAlign w:val="center"/>
          </w:tcPr>
          <w:p w14:paraId="6935FD98"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0B7E7868" w14:textId="77777777" w:rsidTr="00342FE7">
        <w:tc>
          <w:tcPr>
            <w:tcW w:w="3012" w:type="dxa"/>
            <w:vAlign w:val="center"/>
          </w:tcPr>
          <w:p w14:paraId="7C4F64E4"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0CDE85A1"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5,383.26</w:t>
            </w:r>
          </w:p>
        </w:tc>
        <w:tc>
          <w:tcPr>
            <w:tcW w:w="3012" w:type="dxa"/>
            <w:vAlign w:val="center"/>
          </w:tcPr>
          <w:p w14:paraId="4FB91C4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11.04</w:t>
            </w:r>
          </w:p>
        </w:tc>
      </w:tr>
      <w:tr w:rsidR="00C45886" w:rsidRPr="00575270" w14:paraId="2B744087" w14:textId="77777777" w:rsidTr="00342FE7">
        <w:tc>
          <w:tcPr>
            <w:tcW w:w="3012" w:type="dxa"/>
            <w:vAlign w:val="center"/>
          </w:tcPr>
          <w:p w14:paraId="0DDDF27E"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16AC94E8"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208,074.03</w:t>
            </w:r>
          </w:p>
        </w:tc>
        <w:tc>
          <w:tcPr>
            <w:tcW w:w="3012" w:type="dxa"/>
            <w:vAlign w:val="center"/>
          </w:tcPr>
          <w:p w14:paraId="75D9468B"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22,107.30</w:t>
            </w:r>
          </w:p>
        </w:tc>
      </w:tr>
      <w:tr w:rsidR="00C45886" w:rsidRPr="00575270" w14:paraId="1F55028B" w14:textId="77777777" w:rsidTr="00342FE7">
        <w:tc>
          <w:tcPr>
            <w:tcW w:w="3012" w:type="dxa"/>
            <w:vAlign w:val="center"/>
          </w:tcPr>
          <w:p w14:paraId="25DC429A"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14:paraId="0DF3D355"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40,910.02</w:t>
            </w:r>
          </w:p>
        </w:tc>
        <w:tc>
          <w:tcPr>
            <w:tcW w:w="3012" w:type="dxa"/>
            <w:vAlign w:val="center"/>
          </w:tcPr>
          <w:p w14:paraId="5DFF1EFF"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2,973.90</w:t>
            </w:r>
          </w:p>
        </w:tc>
      </w:tr>
      <w:tr w:rsidR="00710FB2" w14:paraId="0B4410B6" w14:textId="77777777">
        <w:tc>
          <w:tcPr>
            <w:tcW w:w="3012" w:type="dxa"/>
            <w:vAlign w:val="center"/>
          </w:tcPr>
          <w:p w14:paraId="1B4F432C" w14:textId="77777777" w:rsidR="00710FB2" w:rsidRDefault="00D56B83">
            <w:pPr>
              <w:jc w:val="left"/>
            </w:pPr>
            <w:r>
              <w:rPr>
                <w:rFonts w:eastAsiaTheme="minorEastAsia"/>
                <w:color w:val="000000" w:themeColor="text1"/>
                <w:sz w:val="24"/>
              </w:rPr>
              <w:t>当期交易基金产生的交易费（元）</w:t>
            </w:r>
          </w:p>
        </w:tc>
        <w:tc>
          <w:tcPr>
            <w:tcW w:w="3012" w:type="dxa"/>
            <w:vAlign w:val="center"/>
          </w:tcPr>
          <w:p w14:paraId="4AD0BD0F" w14:textId="77777777" w:rsidR="00710FB2" w:rsidRDefault="00D56B83">
            <w:pPr>
              <w:jc w:val="right"/>
            </w:pPr>
            <w:r>
              <w:rPr>
                <w:rFonts w:eastAsiaTheme="minorEastAsia"/>
                <w:color w:val="000000" w:themeColor="text1"/>
                <w:sz w:val="24"/>
              </w:rPr>
              <w:t>230.89</w:t>
            </w:r>
          </w:p>
        </w:tc>
        <w:tc>
          <w:tcPr>
            <w:tcW w:w="3012" w:type="dxa"/>
            <w:vAlign w:val="center"/>
          </w:tcPr>
          <w:p w14:paraId="44F1CCA1" w14:textId="77777777" w:rsidR="00710FB2" w:rsidRDefault="00D56B83">
            <w:pPr>
              <w:jc w:val="right"/>
            </w:pPr>
            <w:r>
              <w:rPr>
                <w:rFonts w:eastAsiaTheme="minorEastAsia"/>
                <w:color w:val="000000" w:themeColor="text1"/>
                <w:sz w:val="24"/>
              </w:rPr>
              <w:t>-</w:t>
            </w:r>
          </w:p>
        </w:tc>
      </w:tr>
      <w:tr w:rsidR="00D56B83" w14:paraId="20125D35" w14:textId="77777777">
        <w:tc>
          <w:tcPr>
            <w:tcW w:w="3012" w:type="dxa"/>
            <w:vAlign w:val="center"/>
          </w:tcPr>
          <w:p w14:paraId="170FA2E0" w14:textId="5AAE40C0" w:rsidR="00D56B83" w:rsidRDefault="00D56B83">
            <w:pPr>
              <w:jc w:val="left"/>
              <w:rPr>
                <w:rFonts w:eastAsiaTheme="minorEastAsia"/>
                <w:color w:val="000000" w:themeColor="text1"/>
                <w:sz w:val="24"/>
              </w:rPr>
            </w:pPr>
            <w:r>
              <w:rPr>
                <w:rFonts w:eastAsiaTheme="minorEastAsia"/>
                <w:color w:val="000000" w:themeColor="text1"/>
                <w:sz w:val="24"/>
              </w:rPr>
              <w:t>当期交易基金产生的</w:t>
            </w:r>
            <w:r>
              <w:rPr>
                <w:rFonts w:eastAsiaTheme="minorEastAsia" w:hint="eastAsia"/>
                <w:color w:val="000000" w:themeColor="text1"/>
                <w:sz w:val="24"/>
              </w:rPr>
              <w:t>转换</w:t>
            </w:r>
            <w:r>
              <w:rPr>
                <w:rFonts w:eastAsiaTheme="minorEastAsia"/>
                <w:color w:val="000000" w:themeColor="text1"/>
                <w:sz w:val="24"/>
              </w:rPr>
              <w:t>费（元）</w:t>
            </w:r>
          </w:p>
        </w:tc>
        <w:tc>
          <w:tcPr>
            <w:tcW w:w="3012" w:type="dxa"/>
            <w:vAlign w:val="center"/>
          </w:tcPr>
          <w:p w14:paraId="4DE833FB" w14:textId="6A584C0F" w:rsidR="00D56B83" w:rsidRDefault="00D56B83">
            <w:pPr>
              <w:jc w:val="right"/>
              <w:rPr>
                <w:rFonts w:eastAsiaTheme="minorEastAsia"/>
                <w:color w:val="000000" w:themeColor="text1"/>
                <w:sz w:val="24"/>
              </w:rPr>
            </w:pPr>
            <w:r>
              <w:rPr>
                <w:rFonts w:eastAsiaTheme="minorEastAsia" w:hint="eastAsia"/>
                <w:color w:val="000000" w:themeColor="text1"/>
                <w:sz w:val="24"/>
              </w:rPr>
              <w:t>4,4</w:t>
            </w:r>
            <w:r>
              <w:rPr>
                <w:rFonts w:eastAsiaTheme="minorEastAsia"/>
                <w:color w:val="000000" w:themeColor="text1"/>
                <w:sz w:val="24"/>
              </w:rPr>
              <w:t>63.</w:t>
            </w:r>
            <w:r w:rsidR="001520E3">
              <w:rPr>
                <w:rFonts w:eastAsiaTheme="minorEastAsia"/>
                <w:color w:val="000000" w:themeColor="text1"/>
                <w:sz w:val="24"/>
              </w:rPr>
              <w:t>8</w:t>
            </w:r>
            <w:r>
              <w:rPr>
                <w:rFonts w:eastAsiaTheme="minorEastAsia"/>
                <w:color w:val="000000" w:themeColor="text1"/>
                <w:sz w:val="24"/>
              </w:rPr>
              <w:t>8</w:t>
            </w:r>
          </w:p>
        </w:tc>
        <w:tc>
          <w:tcPr>
            <w:tcW w:w="3012" w:type="dxa"/>
            <w:vAlign w:val="center"/>
          </w:tcPr>
          <w:p w14:paraId="601EFE65" w14:textId="7B8E7F09" w:rsidR="00D56B83" w:rsidRDefault="00D56B83">
            <w:pPr>
              <w:jc w:val="right"/>
              <w:rPr>
                <w:rFonts w:eastAsiaTheme="minorEastAsia"/>
                <w:color w:val="000000" w:themeColor="text1"/>
                <w:sz w:val="24"/>
              </w:rPr>
            </w:pPr>
            <w:r>
              <w:rPr>
                <w:rFonts w:eastAsiaTheme="minorEastAsia" w:hint="eastAsia"/>
                <w:color w:val="000000" w:themeColor="text1"/>
                <w:sz w:val="24"/>
              </w:rPr>
              <w:t>-</w:t>
            </w:r>
          </w:p>
        </w:tc>
      </w:tr>
    </w:tbl>
    <w:p w14:paraId="4D41CFE3"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14:paraId="70D11306" w14:textId="77777777"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14:paraId="1FD3CC09" w14:textId="77777777" w:rsidR="005E6DF3" w:rsidRPr="00C45886" w:rsidRDefault="005E6DF3">
      <w:pPr>
        <w:spacing w:line="360" w:lineRule="auto"/>
        <w:ind w:firstLineChars="200" w:firstLine="420"/>
        <w:rPr>
          <w:rFonts w:eastAsiaTheme="minorEastAsia"/>
          <w:color w:val="000000" w:themeColor="text1"/>
          <w:szCs w:val="21"/>
        </w:rPr>
      </w:pPr>
    </w:p>
    <w:p w14:paraId="1B473CAE"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16EF96A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B3C828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07394C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6D1E954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495133C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14:paraId="5C4B5E7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B6967F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5C540A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66,018,705.18</w:t>
            </w:r>
          </w:p>
        </w:tc>
        <w:tc>
          <w:tcPr>
            <w:tcW w:w="2367" w:type="dxa"/>
            <w:tcBorders>
              <w:top w:val="single" w:sz="8" w:space="0" w:color="000000"/>
              <w:left w:val="single" w:sz="8" w:space="0" w:color="000000"/>
              <w:bottom w:val="single" w:sz="8" w:space="0" w:color="000000"/>
              <w:right w:val="single" w:sz="8" w:space="0" w:color="000000"/>
            </w:tcBorders>
            <w:vAlign w:val="center"/>
          </w:tcPr>
          <w:p w14:paraId="3B4EE24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42,316,270.03</w:t>
            </w:r>
          </w:p>
        </w:tc>
      </w:tr>
      <w:tr w:rsidR="005E6DF3" w:rsidRPr="00B27A29" w14:paraId="17EB616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273B63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C219A7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126,542.88</w:t>
            </w:r>
          </w:p>
        </w:tc>
        <w:tc>
          <w:tcPr>
            <w:tcW w:w="2367" w:type="dxa"/>
            <w:tcBorders>
              <w:top w:val="single" w:sz="8" w:space="0" w:color="000000"/>
              <w:left w:val="single" w:sz="8" w:space="0" w:color="000000"/>
              <w:bottom w:val="single" w:sz="8" w:space="0" w:color="000000"/>
              <w:right w:val="single" w:sz="8" w:space="0" w:color="000000"/>
            </w:tcBorders>
            <w:vAlign w:val="center"/>
          </w:tcPr>
          <w:p w14:paraId="7030B70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723,117.04</w:t>
            </w:r>
          </w:p>
        </w:tc>
      </w:tr>
      <w:tr w:rsidR="005E6DF3" w:rsidRPr="00B27A29" w14:paraId="79F6E99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C04E45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2B9C13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4,281,134.50</w:t>
            </w:r>
          </w:p>
        </w:tc>
        <w:tc>
          <w:tcPr>
            <w:tcW w:w="2367" w:type="dxa"/>
            <w:tcBorders>
              <w:top w:val="single" w:sz="8" w:space="0" w:color="000000"/>
              <w:left w:val="single" w:sz="8" w:space="0" w:color="000000"/>
              <w:bottom w:val="single" w:sz="8" w:space="0" w:color="000000"/>
              <w:right w:val="single" w:sz="8" w:space="0" w:color="000000"/>
            </w:tcBorders>
            <w:vAlign w:val="center"/>
          </w:tcPr>
          <w:p w14:paraId="4B36375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EC604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06B200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8B8FA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B75668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4CB67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436660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5F4D30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61,864,113.56</w:t>
            </w:r>
          </w:p>
        </w:tc>
        <w:tc>
          <w:tcPr>
            <w:tcW w:w="2367" w:type="dxa"/>
            <w:tcBorders>
              <w:top w:val="single" w:sz="8" w:space="0" w:color="000000"/>
              <w:left w:val="single" w:sz="8" w:space="0" w:color="000000"/>
              <w:bottom w:val="single" w:sz="8" w:space="0" w:color="000000"/>
              <w:right w:val="single" w:sz="8" w:space="0" w:color="000000"/>
            </w:tcBorders>
            <w:vAlign w:val="center"/>
          </w:tcPr>
          <w:p w14:paraId="3C50FED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43,039,387.07</w:t>
            </w:r>
          </w:p>
        </w:tc>
      </w:tr>
    </w:tbl>
    <w:p w14:paraId="3C012749"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14:paraId="134CE181"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0773DE5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326811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8.2</w:t>
      </w:r>
      <w:r w:rsidRPr="00B27A29">
        <w:rPr>
          <w:b/>
          <w:color w:val="000000"/>
          <w:szCs w:val="21"/>
          <w:shd w:val="clear" w:color="auto" w:fill="FFFFFF"/>
        </w:rPr>
        <w:t>基金管理人运用固有资金投资本基金交易明细</w:t>
      </w:r>
    </w:p>
    <w:p w14:paraId="7732E0A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5E1B20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6E77800C"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79782D8A"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1277F79A"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基金合同</w:t>
      </w:r>
    </w:p>
    <w:p w14:paraId="1F629B26"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托管协议</w:t>
      </w:r>
    </w:p>
    <w:p w14:paraId="24E6D03B"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45CF2F97"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38618AA0"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110FDCA4" w14:textId="77777777" w:rsidR="00710FB2" w:rsidRDefault="00D56B83">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2890421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414537C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17791CE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1C5623A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2FA1B84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6A280928" w14:textId="77777777" w:rsidR="005E6DF3" w:rsidRPr="00B27A29" w:rsidRDefault="005E6DF3">
      <w:pPr>
        <w:spacing w:line="360" w:lineRule="auto"/>
        <w:ind w:left="840"/>
        <w:jc w:val="right"/>
        <w:rPr>
          <w:rFonts w:eastAsiaTheme="minorEastAsia"/>
          <w:color w:val="000000" w:themeColor="text1"/>
          <w:szCs w:val="21"/>
        </w:rPr>
      </w:pPr>
    </w:p>
    <w:p w14:paraId="1CF443A9" w14:textId="77777777" w:rsidR="005E6DF3" w:rsidRPr="00B27A29" w:rsidRDefault="005E6DF3">
      <w:pPr>
        <w:spacing w:line="360" w:lineRule="auto"/>
        <w:ind w:left="840"/>
        <w:jc w:val="center"/>
        <w:rPr>
          <w:rFonts w:eastAsiaTheme="minorEastAsia"/>
          <w:b/>
          <w:color w:val="000000" w:themeColor="text1"/>
          <w:szCs w:val="21"/>
        </w:rPr>
      </w:pPr>
    </w:p>
    <w:p w14:paraId="61D4751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E9D1D9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4831C" w14:textId="77777777" w:rsidR="00045D1A" w:rsidRDefault="00045D1A">
      <w:r>
        <w:separator/>
      </w:r>
    </w:p>
  </w:endnote>
  <w:endnote w:type="continuationSeparator" w:id="0">
    <w:p w14:paraId="330DD401"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6955" w14:textId="1D977380"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2320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2320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464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C56B7B6"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82D7" w14:textId="10BB17FB"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23205">
      <w:rPr>
        <w:rStyle w:val="af6"/>
        <w:noProof/>
      </w:rPr>
      <w:t>2</w:t>
    </w:r>
    <w:r>
      <w:rPr>
        <w:rStyle w:val="af6"/>
      </w:rPr>
      <w:fldChar w:fldCharType="end"/>
    </w:r>
  </w:p>
  <w:p w14:paraId="5CE7493F"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3F2C6" w14:textId="77777777" w:rsidR="00045D1A" w:rsidRDefault="00045D1A">
      <w:r>
        <w:separator/>
      </w:r>
    </w:p>
  </w:footnote>
  <w:footnote w:type="continuationSeparator" w:id="0">
    <w:p w14:paraId="4B1F8B33"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AB00" w14:textId="77777777" w:rsidR="005C671B" w:rsidRDefault="005C671B">
    <w:pPr>
      <w:pStyle w:val="af"/>
      <w:pBdr>
        <w:bottom w:val="single" w:sz="6" w:space="0" w:color="auto"/>
      </w:pBdr>
      <w:jc w:val="right"/>
    </w:pPr>
    <w:r>
      <w:t>摩根锦程均衡养老目标三年持有期混合型基金中基金</w:t>
    </w:r>
    <w:r>
      <w:t>(FOF)2024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3205"/>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20E3"/>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0FB2"/>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56B83"/>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5963FC"/>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E369E-4D17-4ED2-B4E4-851D98F4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36</TotalTime>
  <Pages>15</Pages>
  <Words>1314</Words>
  <Characters>7494</Characters>
  <Application>Microsoft Office Word</Application>
  <DocSecurity>0</DocSecurity>
  <Lines>62</Lines>
  <Paragraphs>17</Paragraphs>
  <ScaleCrop>false</ScaleCrop>
  <Company>TRT. Ltd. Co.</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228</cp:revision>
  <cp:lastPrinted>2007-07-19T00:46:00Z</cp:lastPrinted>
  <dcterms:created xsi:type="dcterms:W3CDTF">2013-06-21T06:56:00Z</dcterms:created>
  <dcterms:modified xsi:type="dcterms:W3CDTF">2024-10-24T07:16:00Z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