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3870F3" w:rsidRDefault="003870F3">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3870F3" w:rsidRDefault="003870F3">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3870F3" w:rsidRDefault="003870F3">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摩根锦程均衡养老目标三年持有期混合型基金中基金</w:t>
      </w:r>
      <w:r>
        <w:rPr>
          <w:rFonts w:ascii="宋体" w:hAnsi="宋体" w:hint="eastAsia"/>
          <w:b/>
          <w:bCs/>
          <w:color w:val="000000" w:themeColor="text1"/>
          <w:sz w:val="48"/>
          <w:szCs w:val="30"/>
        </w:rPr>
        <w:t>(FOF)</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3870F3" w:rsidRDefault="003870F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3870F3" w:rsidRDefault="003870F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870F3" w:rsidRDefault="003870F3">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3870F3" w:rsidRDefault="003870F3">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3870F3" w:rsidRDefault="003870F3">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3870F3" w:rsidRDefault="003870F3">
      <w:pPr>
        <w:pStyle w:val="XBRLTitle1"/>
        <w:spacing w:before="156" w:line="360" w:lineRule="auto"/>
        <w:ind w:left="425"/>
      </w:pPr>
      <w:r>
        <w:rPr>
          <w:rFonts w:hAnsi="宋体" w:cs="宋体" w:hint="eastAsia"/>
          <w:color w:val="404040"/>
          <w:kern w:val="0"/>
        </w:rPr>
        <w:br w:type="page"/>
      </w:r>
      <w:bookmarkStart w:id="7" w:name="_Toc17899952"/>
      <w:bookmarkStart w:id="8" w:name="_Toc512519480"/>
      <w:bookmarkStart w:id="9" w:name="_Toc481075046"/>
      <w:bookmarkStart w:id="10" w:name="_Toc438646451"/>
      <w:bookmarkStart w:id="11" w:name="_Toc490050000"/>
      <w:bookmarkStart w:id="12" w:name="_Toc513295846"/>
      <w:bookmarkStart w:id="13" w:name="_Toc513295892"/>
      <w:bookmarkStart w:id="14" w:name="m101"/>
      <w:bookmarkStart w:id="15" w:name="m01_01"/>
      <w:bookmarkStart w:id="16"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r>
        <w:rPr>
          <w:rFonts w:hAnsi="宋体" w:hint="eastAsia"/>
        </w:rPr>
        <w:t xml:space="preserve"> </w:t>
      </w:r>
    </w:p>
    <w:p w:rsidR="003870F3" w:rsidRDefault="003870F3">
      <w:pPr>
        <w:spacing w:line="360" w:lineRule="auto"/>
        <w:ind w:firstLineChars="200" w:firstLine="420"/>
        <w:rPr>
          <w:rFonts w:hint="eastAsia"/>
        </w:rPr>
      </w:pPr>
      <w:bookmarkStart w:id="17" w:name="m08QD_01"/>
      <w:bookmarkStart w:id="18" w:name="m504"/>
      <w:bookmarkStart w:id="19" w:name="_Toc438646470"/>
      <w:bookmarkStart w:id="20" w:name="m502"/>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3870F3" w:rsidRDefault="003870F3">
      <w:pPr>
        <w:pStyle w:val="XBRLTitle1"/>
        <w:spacing w:before="156" w:line="360" w:lineRule="auto"/>
        <w:ind w:left="425"/>
      </w:pPr>
      <w:bookmarkStart w:id="23" w:name="_Toc17899953"/>
      <w:bookmarkStart w:id="24" w:name="_Toc512519481"/>
      <w:bookmarkStart w:id="25" w:name="_Toc481075047"/>
      <w:bookmarkStart w:id="26" w:name="_Toc438646452"/>
      <w:bookmarkStart w:id="27" w:name="_Toc490050001"/>
      <w:bookmarkStart w:id="28" w:name="_Toc513295847"/>
      <w:bookmarkStart w:id="29" w:name="_Toc513295893"/>
      <w:r>
        <w:rPr>
          <w:rFonts w:hAnsi="宋体" w:hint="eastAsia"/>
        </w:rPr>
        <w:t>基金产品概</w:t>
      </w:r>
      <w:r>
        <w:rPr>
          <w:rFonts w:hAnsi="宋体" w:hint="eastAsia"/>
        </w:rPr>
        <w:t>况</w:t>
      </w:r>
      <w:bookmarkEnd w:id="23"/>
      <w:bookmarkEnd w:id="24"/>
      <w:bookmarkEnd w:id="25"/>
      <w:bookmarkEnd w:id="26"/>
      <w:bookmarkEnd w:id="27"/>
      <w:bookmarkEnd w:id="28"/>
      <w:bookmarkEnd w:id="29"/>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224604618"/>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4"/>
          <w:p w:rsidR="003870F3" w:rsidRDefault="003870F3">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szCs w:val="24"/>
                <w:lang w:eastAsia="zh-Hans"/>
              </w:rPr>
              <w:t>摩根锦程均衡养老三年持有混合</w:t>
            </w:r>
            <w:r>
              <w:rPr>
                <w:rFonts w:ascii="宋体" w:hAnsi="宋体" w:hint="eastAsia"/>
                <w:szCs w:val="24"/>
                <w:lang w:eastAsia="zh-Hans"/>
              </w:rPr>
              <w:t>(FOF</w:t>
            </w:r>
            <w:r>
              <w:rPr>
                <w:rFonts w:ascii="宋体" w:hAnsi="宋体" w:hint="eastAsia"/>
                <w:szCs w:val="24"/>
                <w:lang w:eastAsia="zh-Hans"/>
              </w:rPr>
              <w:t>)</w:t>
            </w:r>
            <w:r>
              <w:rPr>
                <w:rFonts w:ascii="宋体" w:hAnsi="宋体" w:hint="eastAsia"/>
                <w:lang w:eastAsia="zh-Hans"/>
              </w:rPr>
              <w:t xml:space="preserve"> </w:t>
            </w:r>
          </w:p>
        </w:tc>
      </w:tr>
      <w:tr w:rsidR="00000000">
        <w:trPr>
          <w:divId w:val="22460461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lang w:eastAsia="zh-Hans"/>
              </w:rPr>
              <w:t>00722</w:t>
            </w:r>
            <w:r>
              <w:rPr>
                <w:rFonts w:ascii="宋体" w:hAnsi="宋体" w:hint="eastAsia"/>
                <w:lang w:eastAsia="zh-Hans"/>
              </w:rPr>
              <w:t>1</w:t>
            </w:r>
          </w:p>
        </w:tc>
      </w:tr>
      <w:tr w:rsidR="00000000">
        <w:trPr>
          <w:divId w:val="22460461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bookmarkStart w:id="30"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lang w:eastAsia="zh-Hans"/>
              </w:rPr>
              <w:t>契约型开放</w:t>
            </w:r>
            <w:r>
              <w:rPr>
                <w:rFonts w:ascii="宋体" w:hAnsi="宋体" w:hint="eastAsia"/>
                <w:lang w:eastAsia="zh-Hans"/>
              </w:rPr>
              <w:t>式</w:t>
            </w:r>
          </w:p>
        </w:tc>
      </w:tr>
      <w:tr w:rsidR="00000000">
        <w:trPr>
          <w:divId w:val="22460461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lang w:eastAsia="zh-Hans"/>
              </w:rPr>
              <w:t>2019</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2</w:t>
            </w:r>
            <w:r>
              <w:rPr>
                <w:rFonts w:ascii="宋体" w:hAnsi="宋体" w:hint="eastAsia"/>
                <w:lang w:eastAsia="zh-Hans"/>
              </w:rPr>
              <w:t>日</w:t>
            </w:r>
          </w:p>
        </w:tc>
      </w:tr>
      <w:tr w:rsidR="00000000">
        <w:trPr>
          <w:divId w:val="22460461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lang w:eastAsia="zh-Hans"/>
              </w:rPr>
              <w:t>96,915,495.8</w:t>
            </w:r>
            <w:r>
              <w:rPr>
                <w:rFonts w:ascii="宋体" w:hAnsi="宋体" w:hint="eastAsia"/>
                <w:lang w:eastAsia="zh-Hans"/>
              </w:rPr>
              <w:t>8</w:t>
            </w:r>
            <w:r>
              <w:rPr>
                <w:rFonts w:hint="eastAsia"/>
              </w:rPr>
              <w:t>份</w:t>
            </w:r>
            <w:r>
              <w:rPr>
                <w:rFonts w:ascii="宋体" w:hAnsi="宋体" w:hint="eastAsia"/>
                <w:lang w:eastAsia="zh-Hans"/>
              </w:rPr>
              <w:t xml:space="preserve"> </w:t>
            </w:r>
          </w:p>
        </w:tc>
      </w:tr>
      <w:tr w:rsidR="00000000">
        <w:trPr>
          <w:divId w:val="22460461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lang w:eastAsia="zh-Hans"/>
              </w:rPr>
              <w:t>本基金通过将资产分别配置于高风险类资产和其他资产，控制投资组合的风险收益水平，并自下而上精选基金，力求实现基金资产持续稳健增值，为投资者提供适应其风险承受水平的养老理财工具</w:t>
            </w:r>
            <w:r>
              <w:rPr>
                <w:rFonts w:ascii="宋体" w:hAnsi="宋体" w:hint="eastAsia"/>
                <w:lang w:eastAsia="zh-Hans"/>
              </w:rPr>
              <w:t>。</w:t>
            </w:r>
          </w:p>
        </w:tc>
      </w:tr>
      <w:tr w:rsidR="00000000">
        <w:trPr>
          <w:divId w:val="22460461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lang w:eastAsia="zh-Hans"/>
              </w:rPr>
              <w:t>1</w:t>
            </w:r>
            <w:r>
              <w:rPr>
                <w:rFonts w:ascii="宋体" w:hAnsi="宋体" w:hint="eastAsia"/>
                <w:lang w:eastAsia="zh-Hans"/>
              </w:rPr>
              <w:t>、目标风险投资策略</w:t>
            </w:r>
            <w:r>
              <w:rPr>
                <w:rFonts w:ascii="宋体" w:hAnsi="宋体" w:hint="eastAsia"/>
                <w:lang w:eastAsia="zh-Hans"/>
              </w:rPr>
              <w:t>:</w:t>
            </w:r>
            <w:r>
              <w:rPr>
                <w:rFonts w:ascii="宋体" w:hAnsi="宋体" w:hint="eastAsia"/>
                <w:lang w:eastAsia="zh-Hans"/>
              </w:rPr>
              <w:br/>
              <w:t>(1)</w:t>
            </w:r>
            <w:r>
              <w:rPr>
                <w:rFonts w:ascii="宋体" w:hAnsi="宋体" w:hint="eastAsia"/>
                <w:lang w:eastAsia="zh-Hans"/>
              </w:rPr>
              <w:t>大类资产配置策略</w:t>
            </w:r>
            <w:r>
              <w:rPr>
                <w:rFonts w:ascii="宋体" w:hAnsi="宋体" w:hint="eastAsia"/>
                <w:lang w:eastAsia="zh-Hans"/>
              </w:rPr>
              <w:t>:</w:t>
            </w:r>
            <w:r>
              <w:rPr>
                <w:rFonts w:ascii="宋体" w:hAnsi="宋体" w:hint="eastAsia"/>
                <w:lang w:eastAsia="zh-Hans"/>
              </w:rPr>
              <w:t>本基金的目标风险指通过将基金所投资的高风险类资产和其他资产长期保持在相对恒定的比例，以达到目标的风险水平。</w:t>
            </w:r>
            <w:r>
              <w:rPr>
                <w:rFonts w:ascii="宋体" w:hAnsi="宋体" w:hint="eastAsia"/>
                <w:lang w:eastAsia="zh-Hans"/>
              </w:rPr>
              <w:br/>
            </w:r>
            <w:r>
              <w:rPr>
                <w:rFonts w:ascii="宋体" w:hAnsi="宋体" w:hint="eastAsia"/>
                <w:lang w:eastAsia="zh-Hans"/>
              </w:rPr>
              <w:t>管理人根据对各类资产的中长期预期假设和策略观点以及目标客户的风险收益偏好进行自上而下的资产配置，设定本基金在高风险类资产和其他资产之间的基准配置比例为</w:t>
            </w:r>
            <w:r>
              <w:rPr>
                <w:rFonts w:ascii="宋体" w:hAnsi="宋体" w:hint="eastAsia"/>
                <w:lang w:eastAsia="zh-Hans"/>
              </w:rPr>
              <w:t>50%:50%</w:t>
            </w:r>
            <w:r>
              <w:rPr>
                <w:rFonts w:ascii="宋体" w:hAnsi="宋体" w:hint="eastAsia"/>
                <w:lang w:eastAsia="zh-Hans"/>
              </w:rPr>
              <w:t>；高风险类资产指股票型基金、应计入高风险类资产的混合型基金、商品基金</w:t>
            </w:r>
            <w:r>
              <w:rPr>
                <w:rFonts w:ascii="宋体" w:hAnsi="宋体" w:hint="eastAsia"/>
                <w:lang w:eastAsia="zh-Hans"/>
              </w:rPr>
              <w:t>(</w:t>
            </w:r>
            <w:r>
              <w:rPr>
                <w:rFonts w:ascii="宋体" w:hAnsi="宋体" w:hint="eastAsia"/>
                <w:lang w:eastAsia="zh-Hans"/>
              </w:rPr>
              <w:t>含商品期货基金和黄金</w:t>
            </w:r>
            <w:r>
              <w:rPr>
                <w:rFonts w:ascii="宋体" w:hAnsi="宋体" w:hint="eastAsia"/>
                <w:lang w:eastAsia="zh-Hans"/>
              </w:rPr>
              <w:t>ETF)</w:t>
            </w:r>
            <w:r>
              <w:rPr>
                <w:rFonts w:ascii="宋体" w:hAnsi="宋体" w:hint="eastAsia"/>
                <w:lang w:eastAsia="zh-Hans"/>
              </w:rPr>
              <w:t>等品种</w:t>
            </w:r>
            <w:r>
              <w:rPr>
                <w:rFonts w:ascii="宋体" w:hAnsi="宋体" w:hint="eastAsia"/>
                <w:lang w:eastAsia="zh-Hans"/>
              </w:rPr>
              <w:t>(</w:t>
            </w:r>
            <w:r>
              <w:rPr>
                <w:rFonts w:ascii="宋体" w:hAnsi="宋体" w:hint="eastAsia"/>
                <w:lang w:eastAsia="zh-Hans"/>
              </w:rPr>
              <w:t>均包含</w:t>
            </w:r>
            <w:r>
              <w:rPr>
                <w:rFonts w:ascii="宋体" w:hAnsi="宋体" w:hint="eastAsia"/>
                <w:lang w:eastAsia="zh-Hans"/>
              </w:rPr>
              <w:t>QDII)</w:t>
            </w:r>
            <w:r>
              <w:rPr>
                <w:rFonts w:ascii="宋体" w:hAnsi="宋体" w:hint="eastAsia"/>
                <w:lang w:eastAsia="zh-Hans"/>
              </w:rPr>
              <w:t>及股票；其他资产指债券型基金、货币市场基金和不计入高风险类资产的混合型基金</w:t>
            </w:r>
            <w:r>
              <w:rPr>
                <w:rFonts w:ascii="宋体" w:hAnsi="宋体" w:hint="eastAsia"/>
                <w:lang w:eastAsia="zh-Hans"/>
              </w:rPr>
              <w:t>(</w:t>
            </w:r>
            <w:r>
              <w:rPr>
                <w:rFonts w:ascii="宋体" w:hAnsi="宋体" w:hint="eastAsia"/>
                <w:lang w:eastAsia="zh-Hans"/>
              </w:rPr>
              <w:t>均包含</w:t>
            </w:r>
            <w:r>
              <w:rPr>
                <w:rFonts w:ascii="宋体" w:hAnsi="宋体" w:hint="eastAsia"/>
                <w:lang w:eastAsia="zh-Hans"/>
              </w:rPr>
              <w:t>QDII)</w:t>
            </w:r>
            <w:r>
              <w:rPr>
                <w:rFonts w:ascii="宋体" w:hAnsi="宋体" w:hint="eastAsia"/>
                <w:lang w:eastAsia="zh-Hans"/>
              </w:rPr>
              <w:t>、债券、资产支持证券、债券回购、银行存款及同业存单等；本基金高风险类资产的向上、向下调整幅度分别不超过</w:t>
            </w:r>
            <w:r>
              <w:rPr>
                <w:rFonts w:ascii="宋体" w:hAnsi="宋体" w:hint="eastAsia"/>
                <w:lang w:eastAsia="zh-Hans"/>
              </w:rPr>
              <w:t>5%</w:t>
            </w:r>
            <w:r>
              <w:rPr>
                <w:rFonts w:ascii="宋体" w:hAnsi="宋体" w:hint="eastAsia"/>
                <w:lang w:eastAsia="zh-Hans"/>
              </w:rPr>
              <w:t>、</w:t>
            </w:r>
            <w:r>
              <w:rPr>
                <w:rFonts w:ascii="宋体" w:hAnsi="宋体" w:hint="eastAsia"/>
                <w:lang w:eastAsia="zh-Hans"/>
              </w:rPr>
              <w:t>10%</w:t>
            </w:r>
            <w:r>
              <w:rPr>
                <w:rFonts w:ascii="宋体" w:hAnsi="宋体" w:hint="eastAsia"/>
                <w:lang w:eastAsia="zh-Hans"/>
              </w:rPr>
              <w:t>。</w:t>
            </w:r>
            <w:r>
              <w:rPr>
                <w:rFonts w:ascii="宋体" w:hAnsi="宋体" w:hint="eastAsia"/>
                <w:lang w:eastAsia="zh-Hans"/>
              </w:rPr>
              <w:br/>
              <w:t>(2)</w:t>
            </w:r>
            <w:r>
              <w:rPr>
                <w:rFonts w:ascii="宋体" w:hAnsi="宋体" w:hint="eastAsia"/>
                <w:lang w:eastAsia="zh-Hans"/>
              </w:rPr>
              <w:t>细分资产类别配置策略</w:t>
            </w:r>
            <w:r>
              <w:rPr>
                <w:rFonts w:ascii="宋体" w:hAnsi="宋体" w:hint="eastAsia"/>
                <w:lang w:eastAsia="zh-Hans"/>
              </w:rPr>
              <w:t>:</w:t>
            </w:r>
            <w:r>
              <w:rPr>
                <w:rFonts w:ascii="宋体" w:hAnsi="宋体" w:hint="eastAsia"/>
                <w:lang w:eastAsia="zh-Hans"/>
              </w:rPr>
              <w:t>管理人根据长期资本市场观点评估各细分资产类别的风险收益特征，形成对不同资产类别的预期。在此基础上，确定基金资产在各细分资产类别间的配置比例。本基金定期结合策略观点，修正资产配置。</w:t>
            </w:r>
            <w:r>
              <w:rPr>
                <w:rFonts w:ascii="宋体" w:hAnsi="宋体" w:hint="eastAsia"/>
                <w:lang w:eastAsia="zh-Hans"/>
              </w:rPr>
              <w:br/>
              <w:t>2</w:t>
            </w:r>
            <w:r>
              <w:rPr>
                <w:rFonts w:ascii="宋体" w:hAnsi="宋体" w:hint="eastAsia"/>
                <w:lang w:eastAsia="zh-Hans"/>
              </w:rPr>
              <w:t>、主动管理型基金投资策略</w:t>
            </w:r>
            <w:r>
              <w:rPr>
                <w:rFonts w:ascii="宋体" w:hAnsi="宋体" w:hint="eastAsia"/>
                <w:lang w:eastAsia="zh-Hans"/>
              </w:rPr>
              <w:t>:</w:t>
            </w:r>
            <w:r>
              <w:rPr>
                <w:rFonts w:ascii="宋体" w:hAnsi="宋体" w:hint="eastAsia"/>
                <w:lang w:eastAsia="zh-Hans"/>
              </w:rPr>
              <w:t>通过自下而上的方式优选基金，研究过程中综合运用定量分析和定性分析，优选符合要求且能在中长期创造超额收益的基金。</w:t>
            </w:r>
            <w:r>
              <w:rPr>
                <w:rFonts w:ascii="宋体" w:hAnsi="宋体" w:hint="eastAsia"/>
                <w:lang w:eastAsia="zh-Hans"/>
              </w:rPr>
              <w:br/>
              <w:t>3</w:t>
            </w:r>
            <w:r>
              <w:rPr>
                <w:rFonts w:ascii="宋体" w:hAnsi="宋体" w:hint="eastAsia"/>
                <w:lang w:eastAsia="zh-Hans"/>
              </w:rPr>
              <w:t>、指数基金投资策略</w:t>
            </w:r>
            <w:r>
              <w:rPr>
                <w:rFonts w:ascii="宋体" w:hAnsi="宋体" w:hint="eastAsia"/>
                <w:lang w:eastAsia="zh-Hans"/>
              </w:rPr>
              <w:t>:</w:t>
            </w:r>
            <w:r>
              <w:rPr>
                <w:rFonts w:ascii="宋体" w:hAnsi="宋体" w:hint="eastAsia"/>
                <w:lang w:eastAsia="zh-Hans"/>
              </w:rPr>
              <w:t>优选</w:t>
            </w:r>
            <w:r>
              <w:rPr>
                <w:rFonts w:ascii="宋体" w:hAnsi="宋体" w:hint="eastAsia"/>
                <w:lang w:eastAsia="zh-Hans"/>
              </w:rPr>
              <w:t>中长期景气向好的指数基金进行配置，增厚组合收益，并把握阶段性投资机会，获取超额收益。</w:t>
            </w:r>
            <w:r>
              <w:rPr>
                <w:rFonts w:ascii="宋体" w:hAnsi="宋体" w:hint="eastAsia"/>
                <w:lang w:eastAsia="zh-Hans"/>
              </w:rPr>
              <w:br/>
              <w:t>4</w:t>
            </w:r>
            <w:r>
              <w:rPr>
                <w:rFonts w:ascii="宋体" w:hAnsi="宋体" w:hint="eastAsia"/>
                <w:lang w:eastAsia="zh-Hans"/>
              </w:rPr>
              <w:t>、公募</w:t>
            </w:r>
            <w:r>
              <w:rPr>
                <w:rFonts w:ascii="宋体" w:hAnsi="宋体" w:hint="eastAsia"/>
                <w:lang w:eastAsia="zh-Hans"/>
              </w:rPr>
              <w:t>REITs</w:t>
            </w:r>
            <w:r>
              <w:rPr>
                <w:rFonts w:ascii="宋体" w:hAnsi="宋体" w:hint="eastAsia"/>
                <w:lang w:eastAsia="zh-Hans"/>
              </w:rPr>
              <w:t>投资策略</w:t>
            </w:r>
            <w:r>
              <w:rPr>
                <w:rFonts w:ascii="宋体" w:hAnsi="宋体" w:hint="eastAsia"/>
                <w:lang w:eastAsia="zh-Hans"/>
              </w:rPr>
              <w:t>:</w:t>
            </w:r>
            <w:r>
              <w:rPr>
                <w:rFonts w:ascii="宋体" w:hAnsi="宋体" w:hint="eastAsia"/>
                <w:lang w:eastAsia="zh-Hans"/>
              </w:rPr>
              <w:t>本基金将综合考量宏观经济运行情况、基金资产配置策略、底层资产运营情况、流动性及估值水平等因素，精选公募</w:t>
            </w:r>
            <w:r>
              <w:rPr>
                <w:rFonts w:ascii="宋体" w:hAnsi="宋体" w:hint="eastAsia"/>
                <w:lang w:eastAsia="zh-Hans"/>
              </w:rPr>
              <w:t>REITs</w:t>
            </w:r>
            <w:r>
              <w:rPr>
                <w:rFonts w:ascii="宋体" w:hAnsi="宋体" w:hint="eastAsia"/>
                <w:lang w:eastAsia="zh-Hans"/>
              </w:rPr>
              <w:t>进行投资。</w:t>
            </w:r>
            <w:r>
              <w:rPr>
                <w:rFonts w:ascii="宋体" w:hAnsi="宋体" w:hint="eastAsia"/>
                <w:lang w:eastAsia="zh-Hans"/>
              </w:rPr>
              <w:br/>
              <w:t>5</w:t>
            </w:r>
            <w:r>
              <w:rPr>
                <w:rFonts w:ascii="宋体" w:hAnsi="宋体" w:hint="eastAsia"/>
                <w:lang w:eastAsia="zh-Hans"/>
              </w:rPr>
              <w:t>、其他投资策略</w:t>
            </w:r>
            <w:r>
              <w:rPr>
                <w:rFonts w:ascii="宋体" w:hAnsi="宋体" w:hint="eastAsia"/>
                <w:lang w:eastAsia="zh-Hans"/>
              </w:rPr>
              <w:t>:</w:t>
            </w:r>
            <w:r>
              <w:rPr>
                <w:rFonts w:ascii="宋体" w:hAnsi="宋体" w:hint="eastAsia"/>
                <w:lang w:eastAsia="zh-Hans"/>
              </w:rPr>
              <w:t>包括股票投资策略、债券投资策略、中小企业私募债投资策略、证券公司短期公司债投资策略、资产支持证券投资策略、存托凭证投资策略</w:t>
            </w:r>
            <w:r>
              <w:rPr>
                <w:rFonts w:ascii="宋体" w:hAnsi="宋体" w:hint="eastAsia"/>
                <w:lang w:eastAsia="zh-Hans"/>
              </w:rPr>
              <w:t>。</w:t>
            </w:r>
          </w:p>
        </w:tc>
      </w:tr>
      <w:tr w:rsidR="00000000">
        <w:trPr>
          <w:divId w:val="22460461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*50%+</w:t>
            </w:r>
            <w:r>
              <w:rPr>
                <w:rFonts w:ascii="宋体" w:hAnsi="宋体" w:hint="eastAsia"/>
                <w:lang w:eastAsia="zh-Hans"/>
              </w:rPr>
              <w:t>中证综合债指数收益率</w:t>
            </w:r>
            <w:r>
              <w:rPr>
                <w:rFonts w:ascii="宋体" w:hAnsi="宋体" w:hint="eastAsia"/>
                <w:lang w:eastAsia="zh-Hans"/>
              </w:rPr>
              <w:t>*45%+</w:t>
            </w:r>
            <w:r>
              <w:rPr>
                <w:rFonts w:ascii="宋体" w:hAnsi="宋体" w:hint="eastAsia"/>
                <w:lang w:eastAsia="zh-Hans"/>
              </w:rPr>
              <w:t>活期存款利率（税后）</w:t>
            </w:r>
            <w:r>
              <w:rPr>
                <w:rFonts w:ascii="宋体" w:hAnsi="宋体" w:hint="eastAsia"/>
                <w:lang w:eastAsia="zh-Hans"/>
              </w:rPr>
              <w:t>*5</w:t>
            </w:r>
            <w:r>
              <w:rPr>
                <w:rFonts w:ascii="宋体" w:hAnsi="宋体" w:hint="eastAsia"/>
                <w:lang w:eastAsia="zh-Hans"/>
              </w:rPr>
              <w:t>%</w:t>
            </w:r>
          </w:p>
        </w:tc>
      </w:tr>
      <w:tr w:rsidR="00000000">
        <w:trPr>
          <w:divId w:val="22460461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lang w:eastAsia="zh-Hans"/>
              </w:rPr>
              <w:t>基金管理人将养老目标风险基金根据不同风险程度进行划分。本基金的高风险类资产和其他资产的基准配置比例为</w:t>
            </w:r>
            <w:r>
              <w:rPr>
                <w:rFonts w:ascii="宋体" w:hAnsi="宋体" w:hint="eastAsia"/>
                <w:lang w:eastAsia="zh-Hans"/>
              </w:rPr>
              <w:t>50%</w:t>
            </w:r>
            <w:r>
              <w:rPr>
                <w:rFonts w:ascii="宋体" w:hAnsi="宋体" w:hint="eastAsia"/>
                <w:lang w:eastAsia="zh-Hans"/>
              </w:rPr>
              <w:t>：</w:t>
            </w:r>
            <w:r>
              <w:rPr>
                <w:rFonts w:ascii="宋体" w:hAnsi="宋体" w:hint="eastAsia"/>
                <w:lang w:eastAsia="zh-Hans"/>
              </w:rPr>
              <w:t>50%</w:t>
            </w:r>
            <w:r>
              <w:rPr>
                <w:rFonts w:ascii="宋体" w:hAnsi="宋体" w:hint="eastAsia"/>
                <w:lang w:eastAsia="zh-Hans"/>
              </w:rPr>
              <w:t>，属于基金管理人管理的养老目标风险基金中高风险和其他资产配置比例较为平衡的。</w:t>
            </w:r>
            <w:r>
              <w:rPr>
                <w:rFonts w:ascii="宋体" w:hAnsi="宋体" w:hint="eastAsia"/>
                <w:lang w:eastAsia="zh-Hans"/>
              </w:rPr>
              <w:br/>
            </w:r>
            <w:r>
              <w:rPr>
                <w:rFonts w:ascii="宋体" w:hAnsi="宋体" w:hint="eastAsia"/>
                <w:lang w:eastAsia="zh-Hans"/>
              </w:rPr>
              <w:t>本基金属于混合型基金中基金，预期风险和收益水平低于股票型基金中基金，高于债券型基金中基金和货币型基金中基金。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22460461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2460461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22460461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bookmarkStart w:id="31"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lang w:eastAsia="zh-Hans"/>
              </w:rPr>
              <w:t>摩根锦程均衡养老三年持有混合</w:t>
            </w:r>
            <w:r>
              <w:rPr>
                <w:rFonts w:ascii="宋体" w:hAnsi="宋体" w:hint="eastAsia"/>
                <w:lang w:eastAsia="zh-Hans"/>
              </w:rPr>
              <w:t>(FOF)</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lang w:eastAsia="zh-Hans"/>
              </w:rPr>
              <w:t>摩根锦程均衡养老三年持有混合</w:t>
            </w:r>
            <w:r>
              <w:rPr>
                <w:rFonts w:ascii="宋体" w:hAnsi="宋体" w:hint="eastAsia"/>
                <w:lang w:eastAsia="zh-Hans"/>
              </w:rPr>
              <w:t>(FOF)</w:t>
            </w:r>
            <w:r>
              <w:rPr>
                <w:rFonts w:ascii="宋体" w:hAnsi="宋体" w:hint="eastAsia"/>
                <w:lang w:eastAsia="zh-Hans"/>
              </w:rPr>
              <w:t>Y</w:t>
            </w:r>
            <w:r>
              <w:rPr>
                <w:rFonts w:ascii="宋体" w:hAnsi="宋体" w:hint="eastAsia"/>
                <w:kern w:val="0"/>
                <w:sz w:val="20"/>
                <w:lang w:eastAsia="zh-Hans"/>
              </w:rPr>
              <w:t xml:space="preserve"> </w:t>
            </w:r>
          </w:p>
        </w:tc>
      </w:tr>
      <w:tr w:rsidR="00000000">
        <w:trPr>
          <w:divId w:val="22460461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lang w:eastAsia="zh-Hans"/>
              </w:rPr>
              <w:t>00722</w:t>
            </w:r>
            <w:r>
              <w:rPr>
                <w:rFonts w:ascii="宋体" w:hAnsi="宋体" w:hint="eastAsia"/>
                <w:lang w:eastAsia="zh-Hans"/>
              </w:rPr>
              <w:t>1</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lang w:eastAsia="zh-Hans"/>
              </w:rPr>
              <w:t>01734</w:t>
            </w:r>
            <w:r>
              <w:rPr>
                <w:rFonts w:ascii="宋体" w:hAnsi="宋体" w:hint="eastAsia"/>
                <w:lang w:eastAsia="zh-Hans"/>
              </w:rPr>
              <w:t>2</w:t>
            </w:r>
            <w:r>
              <w:rPr>
                <w:rFonts w:ascii="宋体" w:hAnsi="宋体" w:hint="eastAsia"/>
                <w:kern w:val="0"/>
                <w:sz w:val="20"/>
                <w:lang w:eastAsia="zh-Hans"/>
              </w:rPr>
              <w:t xml:space="preserve"> </w:t>
            </w:r>
          </w:p>
        </w:tc>
      </w:tr>
      <w:bookmarkEnd w:id="30"/>
      <w:bookmarkEnd w:id="31"/>
      <w:tr w:rsidR="00000000">
        <w:trPr>
          <w:divId w:val="22460461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870F3" w:rsidRDefault="003870F3">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lang w:eastAsia="zh-Hans"/>
              </w:rPr>
              <w:t>23,423,538.5</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lang w:eastAsia="zh-Hans"/>
              </w:rPr>
              <w:t>73,491,957.2</w:t>
            </w:r>
            <w:r>
              <w:rPr>
                <w:rFonts w:ascii="宋体" w:hAnsi="宋体" w:hint="eastAsia"/>
                <w:lang w:eastAsia="zh-Hans"/>
              </w:rPr>
              <w:t>9</w:t>
            </w:r>
            <w:r>
              <w:rPr>
                <w:rFonts w:hint="eastAsia"/>
              </w:rPr>
              <w:t>份</w:t>
            </w:r>
            <w:r>
              <w:rPr>
                <w:rFonts w:ascii="宋体" w:hAnsi="宋体" w:hint="eastAsia"/>
                <w:lang w:eastAsia="zh-Hans"/>
              </w:rPr>
              <w:t xml:space="preserve"> </w:t>
            </w:r>
          </w:p>
        </w:tc>
      </w:tr>
    </w:tbl>
    <w:p w:rsidR="003870F3" w:rsidRDefault="003870F3">
      <w:pPr>
        <w:pStyle w:val="XBRLTitle1"/>
        <w:spacing w:before="156" w:line="360" w:lineRule="auto"/>
        <w:ind w:left="425"/>
      </w:pPr>
      <w:bookmarkStart w:id="32" w:name="_Toc17899954"/>
      <w:bookmarkStart w:id="33" w:name="_Toc512519482"/>
      <w:bookmarkStart w:id="34" w:name="_Toc481075049"/>
      <w:bookmarkStart w:id="35" w:name="_Toc438646455"/>
      <w:bookmarkStart w:id="36" w:name="_Toc490050003"/>
      <w:bookmarkStart w:id="37" w:name="_Toc513295848"/>
      <w:bookmarkStart w:id="38" w:name="_Toc513295894"/>
      <w:bookmarkStart w:id="39" w:name="m401_tab"/>
      <w:bookmarkStart w:id="40" w:name="m401"/>
      <w:r>
        <w:rPr>
          <w:rFonts w:hAnsi="宋体" w:hint="eastAsia"/>
        </w:rPr>
        <w:t>主要财务指标和基金净值表</w:t>
      </w:r>
      <w:r>
        <w:rPr>
          <w:rFonts w:hAnsi="宋体" w:hint="eastAsia"/>
        </w:rPr>
        <w:t>现</w:t>
      </w:r>
      <w:bookmarkEnd w:id="32"/>
      <w:bookmarkEnd w:id="33"/>
      <w:bookmarkEnd w:id="34"/>
      <w:bookmarkEnd w:id="35"/>
      <w:bookmarkEnd w:id="36"/>
      <w:bookmarkEnd w:id="37"/>
      <w:bookmarkEnd w:id="38"/>
      <w:r>
        <w:rPr>
          <w:rFonts w:hAnsi="宋体" w:hint="eastAsia"/>
        </w:rPr>
        <w:t xml:space="preserve"> </w:t>
      </w:r>
    </w:p>
    <w:p w:rsidR="003870F3" w:rsidRDefault="003870F3">
      <w:pPr>
        <w:pStyle w:val="XBRLTitle2"/>
        <w:spacing w:before="156" w:line="360" w:lineRule="auto"/>
        <w:ind w:left="454"/>
        <w:rPr>
          <w:rFonts w:hint="eastAsia"/>
        </w:rPr>
      </w:pPr>
      <w:bookmarkStart w:id="41" w:name="_Toc17899955"/>
      <w:bookmarkStart w:id="42" w:name="_Toc512519483"/>
      <w:bookmarkStart w:id="43" w:name="_Toc481075050"/>
      <w:bookmarkStart w:id="44" w:name="_Toc438646456"/>
      <w:bookmarkStart w:id="45" w:name="_Toc490050004"/>
      <w:bookmarkStart w:id="46" w:name="_Toc513295849"/>
      <w:bookmarkStart w:id="47" w:name="_Toc513295895"/>
      <w:r>
        <w:rPr>
          <w:rFonts w:hAnsi="宋体" w:hint="eastAsia"/>
        </w:rPr>
        <w:t>主要财务指</w:t>
      </w:r>
      <w:r>
        <w:rPr>
          <w:rFonts w:hAnsi="宋体" w:hint="eastAsia"/>
        </w:rPr>
        <w:t>标</w:t>
      </w:r>
      <w:bookmarkEnd w:id="41"/>
      <w:bookmarkEnd w:id="42"/>
      <w:bookmarkEnd w:id="43"/>
      <w:bookmarkEnd w:id="44"/>
      <w:bookmarkEnd w:id="45"/>
      <w:bookmarkEnd w:id="46"/>
      <w:bookmarkEnd w:id="47"/>
      <w:r>
        <w:rPr>
          <w:rFonts w:hAnsi="宋体" w:hint="eastAsia"/>
        </w:rPr>
        <w:t xml:space="preserve"> </w:t>
      </w:r>
    </w:p>
    <w:p w:rsidR="003870F3" w:rsidRDefault="003870F3">
      <w:pPr>
        <w:jc w:val="right"/>
        <w:divId w:val="25312518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7"/>
        <w:gridCol w:w="3236"/>
        <w:gridCol w:w="3252"/>
      </w:tblGrid>
      <w:tr w:rsidR="00000000">
        <w:trPr>
          <w:divId w:val="25312518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3870F3" w:rsidRDefault="003870F3">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3870F3" w:rsidRDefault="003870F3">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5312518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70F3" w:rsidRDefault="003870F3">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3870F3" w:rsidRDefault="003870F3">
            <w:pPr>
              <w:jc w:val="center"/>
              <w:rPr>
                <w:rFonts w:hint="eastAsia"/>
              </w:rPr>
            </w:pPr>
            <w:r>
              <w:rPr>
                <w:rFonts w:ascii="宋体" w:hAnsi="宋体" w:hint="eastAsia"/>
                <w:szCs w:val="24"/>
                <w:lang w:eastAsia="zh-Hans"/>
              </w:rPr>
              <w:t>摩根锦程均衡养老三年持有混合</w:t>
            </w:r>
            <w:r>
              <w:rPr>
                <w:rFonts w:ascii="宋体" w:hAnsi="宋体" w:hint="eastAsia"/>
                <w:szCs w:val="24"/>
                <w:lang w:eastAsia="zh-Hans"/>
              </w:rPr>
              <w:t>(FOF)</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3870F3" w:rsidRDefault="003870F3">
            <w:pPr>
              <w:jc w:val="center"/>
            </w:pPr>
            <w:r>
              <w:rPr>
                <w:rFonts w:ascii="宋体" w:hAnsi="宋体" w:hint="eastAsia"/>
                <w:szCs w:val="24"/>
                <w:lang w:eastAsia="zh-Hans"/>
              </w:rPr>
              <w:t>摩根锦程均衡养老三年持有混合</w:t>
            </w:r>
            <w:r>
              <w:rPr>
                <w:rFonts w:ascii="宋体" w:hAnsi="宋体" w:hint="eastAsia"/>
                <w:szCs w:val="24"/>
                <w:lang w:eastAsia="zh-Hans"/>
              </w:rPr>
              <w:t>(FOF)</w:t>
            </w:r>
            <w:r>
              <w:rPr>
                <w:rFonts w:ascii="宋体" w:hAnsi="宋体" w:hint="eastAsia"/>
                <w:szCs w:val="24"/>
                <w:lang w:eastAsia="zh-Hans"/>
              </w:rPr>
              <w:t>Y</w:t>
            </w:r>
          </w:p>
        </w:tc>
      </w:tr>
      <w:tr w:rsidR="00000000">
        <w:trPr>
          <w:divId w:val="25312518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jc w:val="right"/>
              <w:rPr>
                <w:rFonts w:hint="eastAsia"/>
              </w:rPr>
            </w:pPr>
            <w:r>
              <w:rPr>
                <w:rFonts w:ascii="宋体" w:hAnsi="宋体" w:hint="eastAsia"/>
                <w:szCs w:val="24"/>
                <w:lang w:eastAsia="zh-Hans"/>
              </w:rPr>
              <w:t>-431,638.2</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jc w:val="right"/>
            </w:pPr>
            <w:r>
              <w:rPr>
                <w:rFonts w:ascii="宋体" w:hAnsi="宋体" w:hint="eastAsia"/>
                <w:szCs w:val="24"/>
                <w:lang w:eastAsia="zh-Hans"/>
              </w:rPr>
              <w:t>-1,094,367.1</w:t>
            </w:r>
            <w:r>
              <w:rPr>
                <w:rFonts w:ascii="宋体" w:hAnsi="宋体" w:hint="eastAsia"/>
                <w:szCs w:val="24"/>
                <w:lang w:eastAsia="zh-Hans"/>
              </w:rPr>
              <w:t>0</w:t>
            </w:r>
          </w:p>
        </w:tc>
      </w:tr>
      <w:tr w:rsidR="00000000">
        <w:trPr>
          <w:divId w:val="25312518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jc w:val="right"/>
              <w:rPr>
                <w:rFonts w:hint="eastAsia"/>
              </w:rPr>
            </w:pPr>
            <w:r>
              <w:rPr>
                <w:rFonts w:ascii="宋体" w:hAnsi="宋体" w:hint="eastAsia"/>
                <w:szCs w:val="24"/>
                <w:lang w:eastAsia="zh-Hans"/>
              </w:rPr>
              <w:t>4,437,102.8</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jc w:val="right"/>
            </w:pPr>
            <w:r>
              <w:rPr>
                <w:rFonts w:ascii="宋体" w:hAnsi="宋体" w:hint="eastAsia"/>
                <w:szCs w:val="24"/>
                <w:lang w:eastAsia="zh-Hans"/>
              </w:rPr>
              <w:t>13,241,041.9</w:t>
            </w:r>
            <w:r>
              <w:rPr>
                <w:rFonts w:ascii="宋体" w:hAnsi="宋体" w:hint="eastAsia"/>
                <w:szCs w:val="24"/>
                <w:lang w:eastAsia="zh-Hans"/>
              </w:rPr>
              <w:t>0</w:t>
            </w:r>
          </w:p>
        </w:tc>
      </w:tr>
      <w:tr w:rsidR="00000000">
        <w:trPr>
          <w:divId w:val="25312518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jc w:val="right"/>
              <w:rPr>
                <w:rFonts w:hint="eastAsia"/>
              </w:rPr>
            </w:pPr>
            <w:r>
              <w:rPr>
                <w:rFonts w:ascii="宋体" w:hAnsi="宋体" w:hint="eastAsia"/>
                <w:szCs w:val="24"/>
                <w:lang w:eastAsia="zh-Hans"/>
              </w:rPr>
              <w:t>0.175</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jc w:val="right"/>
            </w:pPr>
            <w:r>
              <w:rPr>
                <w:rFonts w:ascii="宋体" w:hAnsi="宋体" w:hint="eastAsia"/>
                <w:szCs w:val="24"/>
                <w:lang w:eastAsia="zh-Hans"/>
              </w:rPr>
              <w:t>0.179</w:t>
            </w:r>
            <w:r>
              <w:rPr>
                <w:rFonts w:ascii="宋体" w:hAnsi="宋体" w:hint="eastAsia"/>
                <w:szCs w:val="24"/>
                <w:lang w:eastAsia="zh-Hans"/>
              </w:rPr>
              <w:t>6</w:t>
            </w:r>
          </w:p>
        </w:tc>
      </w:tr>
      <w:tr w:rsidR="00000000">
        <w:trPr>
          <w:divId w:val="25312518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jc w:val="right"/>
              <w:rPr>
                <w:rFonts w:hint="eastAsia"/>
              </w:rPr>
            </w:pPr>
            <w:r>
              <w:rPr>
                <w:rFonts w:ascii="宋体" w:hAnsi="宋体" w:hint="eastAsia"/>
                <w:szCs w:val="24"/>
                <w:lang w:eastAsia="zh-Hans"/>
              </w:rPr>
              <w:t>34,480,979.5</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jc w:val="right"/>
            </w:pPr>
            <w:r>
              <w:rPr>
                <w:rFonts w:ascii="宋体" w:hAnsi="宋体" w:hint="eastAsia"/>
                <w:szCs w:val="24"/>
                <w:lang w:eastAsia="zh-Hans"/>
              </w:rPr>
              <w:t>109,627,276.9</w:t>
            </w:r>
            <w:r>
              <w:rPr>
                <w:rFonts w:ascii="宋体" w:hAnsi="宋体" w:hint="eastAsia"/>
                <w:szCs w:val="24"/>
                <w:lang w:eastAsia="zh-Hans"/>
              </w:rPr>
              <w:t>0</w:t>
            </w:r>
          </w:p>
        </w:tc>
      </w:tr>
      <w:tr w:rsidR="00000000">
        <w:trPr>
          <w:divId w:val="25312518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jc w:val="right"/>
              <w:rPr>
                <w:rFonts w:hint="eastAsia"/>
              </w:rPr>
            </w:pPr>
            <w:r>
              <w:rPr>
                <w:rFonts w:ascii="宋体" w:hAnsi="宋体" w:hint="eastAsia"/>
                <w:szCs w:val="24"/>
                <w:lang w:eastAsia="zh-Hans"/>
              </w:rPr>
              <w:t>1.472</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870F3" w:rsidRDefault="003870F3">
            <w:pPr>
              <w:jc w:val="right"/>
            </w:pPr>
            <w:r>
              <w:rPr>
                <w:rFonts w:ascii="宋体" w:hAnsi="宋体" w:hint="eastAsia"/>
                <w:szCs w:val="24"/>
                <w:lang w:eastAsia="zh-Hans"/>
              </w:rPr>
              <w:t>1.491</w:t>
            </w:r>
            <w:r>
              <w:rPr>
                <w:rFonts w:ascii="宋体" w:hAnsi="宋体" w:hint="eastAsia"/>
                <w:szCs w:val="24"/>
                <w:lang w:eastAsia="zh-Hans"/>
              </w:rPr>
              <w:t>7</w:t>
            </w:r>
          </w:p>
        </w:tc>
      </w:tr>
    </w:tbl>
    <w:p w:rsidR="003870F3" w:rsidRDefault="003870F3">
      <w:pPr>
        <w:wordWrap w:val="0"/>
        <w:spacing w:line="360" w:lineRule="auto"/>
        <w:jc w:val="left"/>
        <w:divId w:val="1482311966"/>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3870F3" w:rsidRDefault="003870F3">
      <w:pPr>
        <w:pStyle w:val="XBRLTitle2"/>
        <w:spacing w:before="156" w:line="360" w:lineRule="auto"/>
        <w:ind w:left="454"/>
      </w:pPr>
      <w:bookmarkStart w:id="48" w:name="_Toc17899956"/>
      <w:bookmarkStart w:id="49" w:name="_Toc512519484"/>
      <w:bookmarkStart w:id="50" w:name="_Toc481075051"/>
      <w:bookmarkStart w:id="51" w:name="_Toc438646457"/>
      <w:bookmarkStart w:id="52" w:name="_Toc490050005"/>
      <w:bookmarkStart w:id="53" w:name="_Toc513295850"/>
      <w:bookmarkStart w:id="54" w:name="_Toc513295896"/>
      <w:r>
        <w:rPr>
          <w:rFonts w:hAnsi="宋体" w:hint="eastAsia"/>
        </w:rPr>
        <w:t>基金净值表</w:t>
      </w:r>
      <w:r>
        <w:rPr>
          <w:rFonts w:hAnsi="宋体" w:hint="eastAsia"/>
        </w:rPr>
        <w:t>现</w:t>
      </w:r>
      <w:bookmarkEnd w:id="48"/>
      <w:bookmarkEnd w:id="49"/>
      <w:bookmarkEnd w:id="50"/>
      <w:bookmarkEnd w:id="51"/>
      <w:bookmarkEnd w:id="52"/>
      <w:bookmarkEnd w:id="53"/>
      <w:bookmarkEnd w:id="54"/>
      <w:r>
        <w:rPr>
          <w:rFonts w:hAnsi="宋体" w:hint="eastAsia"/>
        </w:rPr>
        <w:t xml:space="preserve"> </w:t>
      </w:r>
    </w:p>
    <w:p w:rsidR="003870F3" w:rsidRDefault="003870F3">
      <w:pPr>
        <w:pStyle w:val="XBRLTitle3"/>
        <w:spacing w:before="156"/>
        <w:ind w:left="0"/>
        <w:rPr>
          <w:rFonts w:hint="eastAsia"/>
        </w:rPr>
      </w:pPr>
      <w:bookmarkStart w:id="55" w:name="_Toc17899957"/>
      <w:bookmarkStart w:id="56" w:name="_Toc512519485"/>
      <w:bookmarkStart w:id="57" w:name="_Toc481075052"/>
      <w:bookmarkStart w:id="58" w:name="_Toc490050006"/>
      <w:bookmarkStart w:id="59" w:name="_Toc513295897"/>
      <w:r>
        <w:rPr>
          <w:rFonts w:hint="eastAsia"/>
        </w:rPr>
        <w:t>基金份额净值增长率及其与同期业绩比较基准收益率的比</w:t>
      </w:r>
      <w:r>
        <w:rPr>
          <w:rFonts w:hint="eastAsia"/>
        </w:rPr>
        <w:t>较</w:t>
      </w:r>
      <w:bookmarkEnd w:id="55"/>
      <w:bookmarkEnd w:id="56"/>
      <w:bookmarkEnd w:id="57"/>
      <w:bookmarkEnd w:id="58"/>
      <w:bookmarkEnd w:id="59"/>
      <w:r>
        <w:rPr>
          <w:rFonts w:hint="eastAsia"/>
          <w:lang w:eastAsia="zh-CN"/>
        </w:rPr>
        <w:t xml:space="preserve"> </w:t>
      </w:r>
    </w:p>
    <w:p w:rsidR="003870F3" w:rsidRDefault="003870F3">
      <w:pPr>
        <w:spacing w:line="360" w:lineRule="auto"/>
        <w:jc w:val="center"/>
        <w:divId w:val="83844337"/>
        <w:rPr>
          <w:rFonts w:hint="eastAsia"/>
        </w:rPr>
      </w:pPr>
      <w:r>
        <w:rPr>
          <w:rFonts w:ascii="宋体" w:hAnsi="宋体" w:hint="eastAsia"/>
        </w:rPr>
        <w:t>摩根锦程均衡养老三年持有混合</w:t>
      </w:r>
      <w:r>
        <w:rPr>
          <w:rFonts w:ascii="宋体" w:hAnsi="宋体" w:hint="eastAsia"/>
        </w:rPr>
        <w:t>(FOF)</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8384433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②－④</w:t>
            </w:r>
            <w:r>
              <w:rPr>
                <w:rFonts w:ascii="宋体" w:hAnsi="宋体" w:hint="eastAsia"/>
              </w:rPr>
              <w:t xml:space="preserve"> </w:t>
            </w:r>
          </w:p>
        </w:tc>
      </w:tr>
      <w:tr w:rsidR="00000000">
        <w:trPr>
          <w:divId w:val="838443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13.5</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7.3</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0.6</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6.2</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0.3</w:t>
            </w:r>
            <w:r>
              <w:rPr>
                <w:rFonts w:ascii="宋体" w:hAnsi="宋体" w:hint="eastAsia"/>
              </w:rPr>
              <w:t>3</w:t>
            </w:r>
            <w:r>
              <w:rPr>
                <w:rFonts w:ascii="宋体" w:hAnsi="宋体" w:hint="eastAsia"/>
              </w:rPr>
              <w:t xml:space="preserve">% </w:t>
            </w:r>
          </w:p>
        </w:tc>
      </w:tr>
      <w:tr w:rsidR="00000000">
        <w:trPr>
          <w:divId w:val="838443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10.0</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6.5</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3.4</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r>
      <w:tr w:rsidR="00000000">
        <w:trPr>
          <w:divId w:val="838443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21.7</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16.7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5.0</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0.1</w:t>
            </w:r>
            <w:r>
              <w:rPr>
                <w:rFonts w:ascii="宋体" w:hAnsi="宋体" w:hint="eastAsia"/>
              </w:rPr>
              <w:t>5</w:t>
            </w:r>
            <w:r>
              <w:rPr>
                <w:rFonts w:ascii="宋体" w:hAnsi="宋体" w:hint="eastAsia"/>
              </w:rPr>
              <w:t xml:space="preserve">% </w:t>
            </w:r>
          </w:p>
        </w:tc>
      </w:tr>
      <w:tr w:rsidR="00000000">
        <w:trPr>
          <w:divId w:val="838443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25.7</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24.5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0.5</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1.1</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0.1</w:t>
            </w:r>
            <w:r>
              <w:rPr>
                <w:rFonts w:ascii="宋体" w:hAnsi="宋体" w:hint="eastAsia"/>
              </w:rPr>
              <w:t>3</w:t>
            </w:r>
            <w:r>
              <w:rPr>
                <w:rFonts w:ascii="宋体" w:hAnsi="宋体" w:hint="eastAsia"/>
              </w:rPr>
              <w:t xml:space="preserve">% </w:t>
            </w:r>
          </w:p>
        </w:tc>
      </w:tr>
      <w:tr w:rsidR="00000000">
        <w:trPr>
          <w:divId w:val="838443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9.4</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14.5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-5.1</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r>
      <w:tr w:rsidR="00000000">
        <w:trPr>
          <w:divId w:val="838443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47.2</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39.3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7.8</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r>
    </w:tbl>
    <w:p w:rsidR="003870F3" w:rsidRDefault="003870F3">
      <w:pPr>
        <w:spacing w:line="360" w:lineRule="auto"/>
        <w:jc w:val="center"/>
        <w:divId w:val="2049798221"/>
      </w:pPr>
      <w:r>
        <w:rPr>
          <w:rFonts w:ascii="宋体" w:hAnsi="宋体" w:hint="eastAsia"/>
        </w:rPr>
        <w:t>摩根锦程均衡养老三年持有混合</w:t>
      </w:r>
      <w:r>
        <w:rPr>
          <w:rFonts w:ascii="宋体" w:hAnsi="宋体" w:hint="eastAsia"/>
        </w:rPr>
        <w:t>(FOF)</w:t>
      </w:r>
      <w:r>
        <w:rPr>
          <w:rFonts w:ascii="宋体" w:hAnsi="宋体" w:hint="eastAsia"/>
        </w:rPr>
        <w:t>Y</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04979822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0497982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13.6</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7.3</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6.3</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0.3</w:t>
            </w:r>
            <w:r>
              <w:rPr>
                <w:rFonts w:ascii="宋体" w:hAnsi="宋体" w:hint="eastAsia"/>
              </w:rPr>
              <w:t>3</w:t>
            </w:r>
            <w:r>
              <w:rPr>
                <w:rFonts w:ascii="宋体" w:hAnsi="宋体" w:hint="eastAsia"/>
              </w:rPr>
              <w:t>%</w:t>
            </w:r>
            <w:r>
              <w:rPr>
                <w:rFonts w:ascii="宋体" w:hAnsi="宋体" w:hint="eastAsia"/>
              </w:rPr>
              <w:t xml:space="preserve"> </w:t>
            </w:r>
          </w:p>
        </w:tc>
      </w:tr>
      <w:tr w:rsidR="00000000">
        <w:trPr>
          <w:divId w:val="20497982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10.2</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6.5</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3.6</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r>
      <w:tr w:rsidR="00000000">
        <w:trPr>
          <w:divId w:val="20497982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22.2</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0.7</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16.7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5.4</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0.1</w:t>
            </w:r>
            <w:r>
              <w:rPr>
                <w:rFonts w:ascii="宋体" w:hAnsi="宋体" w:hint="eastAsia"/>
              </w:rPr>
              <w:t>5</w:t>
            </w:r>
            <w:r>
              <w:rPr>
                <w:rFonts w:ascii="宋体" w:hAnsi="宋体" w:hint="eastAsia"/>
              </w:rPr>
              <w:t>%</w:t>
            </w:r>
            <w:r>
              <w:rPr>
                <w:rFonts w:ascii="宋体" w:hAnsi="宋体" w:hint="eastAsia"/>
              </w:rPr>
              <w:t xml:space="preserve"> </w:t>
            </w:r>
          </w:p>
        </w:tc>
      </w:tr>
      <w:tr w:rsidR="00000000">
        <w:trPr>
          <w:divId w:val="20497982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27.0</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24.5</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0.5</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2.5</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0.1</w:t>
            </w:r>
            <w:r>
              <w:rPr>
                <w:rFonts w:ascii="宋体" w:hAnsi="宋体" w:hint="eastAsia"/>
              </w:rPr>
              <w:t>3</w:t>
            </w:r>
            <w:r>
              <w:rPr>
                <w:rFonts w:ascii="宋体" w:hAnsi="宋体" w:hint="eastAsia"/>
              </w:rPr>
              <w:t>%</w:t>
            </w:r>
            <w:r>
              <w:rPr>
                <w:rFonts w:ascii="宋体" w:hAnsi="宋体" w:hint="eastAsia"/>
              </w:rPr>
              <w:t xml:space="preserve"> </w:t>
            </w:r>
          </w:p>
        </w:tc>
      </w:tr>
      <w:tr w:rsidR="00000000">
        <w:trPr>
          <w:divId w:val="20497982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28.8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27.4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0.5</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870F3" w:rsidRDefault="003870F3">
            <w:pPr>
              <w:spacing w:line="360" w:lineRule="auto"/>
              <w:jc w:val="right"/>
            </w:pPr>
            <w:r>
              <w:rPr>
                <w:rFonts w:ascii="宋体" w:hAnsi="宋体" w:hint="eastAsia"/>
              </w:rPr>
              <w:t>1.3</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spacing w:line="360" w:lineRule="auto"/>
              <w:jc w:val="right"/>
            </w:pPr>
            <w:r>
              <w:rPr>
                <w:rFonts w:ascii="宋体" w:hAnsi="宋体" w:hint="eastAsia"/>
              </w:rPr>
              <w:t>0.1</w:t>
            </w:r>
            <w:r>
              <w:rPr>
                <w:rFonts w:ascii="宋体" w:hAnsi="宋体" w:hint="eastAsia"/>
              </w:rPr>
              <w:t>2</w:t>
            </w:r>
            <w:r>
              <w:rPr>
                <w:rFonts w:ascii="宋体" w:hAnsi="宋体" w:hint="eastAsia"/>
              </w:rPr>
              <w:t>%</w:t>
            </w:r>
            <w:r>
              <w:rPr>
                <w:rFonts w:ascii="宋体" w:hAnsi="宋体" w:hint="eastAsia"/>
              </w:rPr>
              <w:t xml:space="preserve"> </w:t>
            </w:r>
          </w:p>
        </w:tc>
      </w:tr>
    </w:tbl>
    <w:p w:rsidR="003870F3" w:rsidRDefault="003870F3">
      <w:pPr>
        <w:pStyle w:val="XBRLTitle3"/>
        <w:spacing w:before="156"/>
        <w:ind w:left="0"/>
      </w:pPr>
      <w:bookmarkStart w:id="60" w:name="_Toc17899958"/>
      <w:bookmarkStart w:id="61" w:name="_Toc512519486"/>
      <w:bookmarkStart w:id="62" w:name="_Toc481075053"/>
      <w:bookmarkStart w:id="63" w:name="_Toc490050007"/>
      <w:bookmarkStart w:id="64"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0"/>
      <w:bookmarkEnd w:id="61"/>
      <w:bookmarkEnd w:id="62"/>
      <w:bookmarkEnd w:id="63"/>
      <w:bookmarkEnd w:id="64"/>
    </w:p>
    <w:p w:rsidR="003870F3" w:rsidRDefault="003870F3">
      <w:pPr>
        <w:spacing w:line="360" w:lineRule="auto"/>
        <w:jc w:val="left"/>
        <w:divId w:val="206839940"/>
        <w:rPr>
          <w:rFonts w:hint="eastAsia"/>
        </w:rPr>
      </w:pPr>
      <w:bookmarkStart w:id="65" w:name="m07_04_07_09"/>
      <w:bookmarkStart w:id="66"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870F3" w:rsidRDefault="003870F3">
      <w:pPr>
        <w:spacing w:line="360" w:lineRule="auto"/>
        <w:jc w:val="left"/>
        <w:divId w:val="210192973"/>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870F3" w:rsidRDefault="003870F3">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2019</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2</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17</w:t>
      </w:r>
      <w:r>
        <w:rPr>
          <w:rFonts w:ascii="宋体" w:hAnsi="宋体" w:hint="eastAsia"/>
          <w:lang w:eastAsia="zh-Hans"/>
        </w:rPr>
        <w:t>日起增加</w:t>
      </w:r>
      <w:r>
        <w:rPr>
          <w:rFonts w:ascii="宋体" w:hAnsi="宋体" w:hint="eastAsia"/>
          <w:lang w:eastAsia="zh-Hans"/>
        </w:rPr>
        <w:t>Y</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3870F3" w:rsidRDefault="003870F3">
      <w:pPr>
        <w:pStyle w:val="XBRLTitle1"/>
        <w:spacing w:before="156" w:line="360" w:lineRule="auto"/>
        <w:ind w:left="425"/>
      </w:pPr>
      <w:bookmarkStart w:id="67" w:name="_Toc17899960"/>
      <w:bookmarkStart w:id="68" w:name="_Toc481075054"/>
      <w:bookmarkStart w:id="69" w:name="_Toc438646458"/>
      <w:bookmarkStart w:id="70" w:name="_Toc490050008"/>
      <w:bookmarkStart w:id="71" w:name="_Toc512519487"/>
      <w:bookmarkStart w:id="72" w:name="_Toc513295851"/>
      <w:bookmarkStart w:id="73" w:name="_Toc513295899"/>
      <w:r>
        <w:rPr>
          <w:rFonts w:hAnsi="宋体" w:hint="eastAsia"/>
        </w:rPr>
        <w:t>管理人报</w:t>
      </w:r>
      <w:r>
        <w:rPr>
          <w:rFonts w:hAnsi="宋体" w:hint="eastAsia"/>
        </w:rPr>
        <w:t>告</w:t>
      </w:r>
      <w:bookmarkEnd w:id="67"/>
      <w:bookmarkEnd w:id="68"/>
      <w:bookmarkEnd w:id="69"/>
      <w:bookmarkEnd w:id="70"/>
      <w:bookmarkEnd w:id="71"/>
      <w:bookmarkEnd w:id="72"/>
      <w:bookmarkEnd w:id="73"/>
      <w:r>
        <w:rPr>
          <w:rFonts w:hAnsi="宋体" w:hint="eastAsia"/>
        </w:rPr>
        <w:t xml:space="preserve"> </w:t>
      </w:r>
    </w:p>
    <w:p w:rsidR="003870F3" w:rsidRDefault="003870F3">
      <w:pPr>
        <w:pStyle w:val="XBRLTitle2"/>
        <w:spacing w:before="156" w:line="360" w:lineRule="auto"/>
        <w:ind w:left="454"/>
        <w:rPr>
          <w:rFonts w:hint="eastAsia"/>
        </w:rPr>
      </w:pPr>
      <w:bookmarkStart w:id="74" w:name="_Toc17899961"/>
      <w:bookmarkStart w:id="75" w:name="_Toc481075055"/>
      <w:bookmarkStart w:id="76" w:name="_Toc438646459"/>
      <w:bookmarkStart w:id="77" w:name="_Toc490050009"/>
      <w:bookmarkStart w:id="78" w:name="_Toc512519488"/>
      <w:bookmarkStart w:id="79" w:name="_Toc513295852"/>
      <w:bookmarkStart w:id="80" w:name="_Toc513295900"/>
      <w:r>
        <w:rPr>
          <w:rFonts w:hAnsi="宋体" w:hint="eastAsia"/>
        </w:rPr>
        <w:t>基金经理（或基金经理小组）简</w:t>
      </w:r>
      <w:r>
        <w:rPr>
          <w:rFonts w:hAnsi="宋体" w:hint="eastAsia"/>
        </w:rPr>
        <w:t>介</w:t>
      </w:r>
      <w:bookmarkEnd w:id="74"/>
      <w:bookmarkEnd w:id="75"/>
      <w:bookmarkEnd w:id="76"/>
      <w:bookmarkEnd w:id="77"/>
      <w:bookmarkEnd w:id="78"/>
      <w:bookmarkEnd w:id="79"/>
      <w:bookmarkEnd w:id="80"/>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98318958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snapToGrid w:val="0"/>
              <w:jc w:val="center"/>
              <w:rPr>
                <w:rFonts w:hint="eastAsia"/>
              </w:rPr>
            </w:pPr>
            <w:bookmarkStart w:id="81" w:name="m04_02"/>
            <w:bookmarkEnd w:id="81"/>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98318958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70F3" w:rsidRDefault="003870F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70F3" w:rsidRDefault="003870F3">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70F3" w:rsidRDefault="003870F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70F3" w:rsidRDefault="003870F3">
            <w:pPr>
              <w:widowControl/>
              <w:jc w:val="left"/>
            </w:pPr>
          </w:p>
        </w:tc>
      </w:tr>
      <w:tr w:rsidR="00000000">
        <w:trPr>
          <w:divId w:val="198318958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蒋华</w:t>
            </w:r>
            <w:r>
              <w:rPr>
                <w:rFonts w:ascii="宋体" w:hAnsi="宋体" w:hint="eastAsia"/>
                <w:szCs w:val="24"/>
                <w:lang w:eastAsia="zh-Hans"/>
              </w:rPr>
              <w:t>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left"/>
            </w:pPr>
            <w:r>
              <w:rPr>
                <w:rFonts w:ascii="宋体" w:hAnsi="宋体" w:hint="eastAsia"/>
                <w:szCs w:val="24"/>
                <w:lang w:eastAsia="zh-Hans"/>
              </w:rPr>
              <w:t>本基金基金经理、</w:t>
            </w:r>
            <w:r>
              <w:rPr>
                <w:rFonts w:ascii="宋体" w:hAnsi="宋体" w:hint="eastAsia"/>
                <w:szCs w:val="24"/>
                <w:lang w:eastAsia="zh-Hans"/>
              </w:rPr>
              <w:t xml:space="preserve"> </w:t>
            </w:r>
            <w:r>
              <w:rPr>
                <w:rFonts w:ascii="宋体" w:hAnsi="宋体" w:hint="eastAsia"/>
                <w:szCs w:val="24"/>
                <w:lang w:eastAsia="zh-Hans"/>
              </w:rPr>
              <w:t>资产配置部总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23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18</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left"/>
            </w:pPr>
            <w:r>
              <w:rPr>
                <w:rFonts w:ascii="宋体" w:hAnsi="宋体" w:hint="eastAsia"/>
                <w:szCs w:val="24"/>
                <w:lang w:eastAsia="zh-Hans"/>
              </w:rPr>
              <w:t>蒋华安先生曾任安永会计师事务所担任高级审计员，社保基金理事会资产配置处副处长，工银瑞信基金</w:t>
            </w:r>
            <w:r>
              <w:rPr>
                <w:rFonts w:ascii="宋体" w:hAnsi="宋体" w:hint="eastAsia"/>
                <w:szCs w:val="24"/>
                <w:lang w:eastAsia="zh-Hans"/>
              </w:rPr>
              <w:t>FOF</w:t>
            </w:r>
            <w:r>
              <w:rPr>
                <w:rFonts w:ascii="宋体" w:hAnsi="宋体" w:hint="eastAsia"/>
                <w:szCs w:val="24"/>
                <w:lang w:eastAsia="zh-Hans"/>
              </w:rPr>
              <w:t>投资部总经理、基金经理；自</w:t>
            </w: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月起加入摩根基金管理（中国）有限公司，现任资产配置部总监</w:t>
            </w:r>
            <w:r>
              <w:rPr>
                <w:rFonts w:ascii="宋体" w:hAnsi="宋体" w:hint="eastAsia"/>
                <w:szCs w:val="24"/>
                <w:lang w:eastAsia="zh-Hans"/>
              </w:rPr>
              <w:t>。</w:t>
            </w:r>
          </w:p>
        </w:tc>
      </w:tr>
    </w:tbl>
    <w:p w:rsidR="003870F3" w:rsidRDefault="003870F3">
      <w:pPr>
        <w:wordWrap w:val="0"/>
        <w:spacing w:line="360" w:lineRule="auto"/>
        <w:jc w:val="left"/>
        <w:divId w:val="1993440483"/>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3870F3" w:rsidRDefault="003870F3">
      <w:pPr>
        <w:pStyle w:val="XBRLTitle2"/>
        <w:spacing w:before="156" w:line="360" w:lineRule="auto"/>
        <w:ind w:left="454"/>
      </w:pPr>
      <w:bookmarkStart w:id="82" w:name="_Toc17899962"/>
      <w:bookmarkStart w:id="83" w:name="_Toc481075056"/>
      <w:bookmarkStart w:id="84" w:name="_Toc438646460"/>
      <w:bookmarkStart w:id="85" w:name="_Toc490050010"/>
      <w:bookmarkStart w:id="86" w:name="_Toc512519489"/>
      <w:bookmarkStart w:id="87" w:name="_Toc513295853"/>
      <w:bookmarkStart w:id="88" w:name="_Toc513295901"/>
      <w:bookmarkStart w:id="89" w:name="m402"/>
      <w:r>
        <w:rPr>
          <w:rFonts w:hAnsi="宋体" w:hint="eastAsia"/>
        </w:rPr>
        <w:t>管理人对报告期内本基金运作遵规守信情况的说</w:t>
      </w:r>
      <w:r>
        <w:rPr>
          <w:rFonts w:hAnsi="宋体" w:hint="eastAsia"/>
        </w:rPr>
        <w:t>明</w:t>
      </w:r>
      <w:bookmarkEnd w:id="82"/>
      <w:bookmarkEnd w:id="83"/>
      <w:bookmarkEnd w:id="84"/>
      <w:bookmarkEnd w:id="85"/>
      <w:bookmarkEnd w:id="86"/>
      <w:bookmarkEnd w:id="87"/>
      <w:bookmarkEnd w:id="88"/>
      <w:r>
        <w:rPr>
          <w:rFonts w:hAnsi="宋体" w:hint="eastAsia"/>
        </w:rPr>
        <w:t xml:space="preserve"> </w:t>
      </w:r>
    </w:p>
    <w:p w:rsidR="003870F3" w:rsidRDefault="003870F3">
      <w:pPr>
        <w:spacing w:line="360" w:lineRule="auto"/>
        <w:ind w:firstLineChars="200" w:firstLine="420"/>
        <w:jc w:val="left"/>
        <w:rPr>
          <w:rFonts w:hint="eastAsia"/>
        </w:rPr>
      </w:pPr>
      <w:bookmarkStart w:id="90" w:name="m403"/>
      <w:bookmarkEnd w:id="8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3870F3" w:rsidRDefault="003870F3">
      <w:pPr>
        <w:pStyle w:val="XBRLTitle2"/>
        <w:spacing w:before="156" w:line="360" w:lineRule="auto"/>
        <w:ind w:left="454"/>
      </w:pPr>
      <w:bookmarkStart w:id="91" w:name="_Toc17899963"/>
      <w:bookmarkStart w:id="92" w:name="_Toc481075057"/>
      <w:bookmarkStart w:id="93" w:name="_Toc438646462"/>
      <w:bookmarkStart w:id="94" w:name="_Toc490050011"/>
      <w:bookmarkStart w:id="95" w:name="_Toc512519490"/>
      <w:bookmarkStart w:id="96" w:name="_Toc513295854"/>
      <w:bookmarkStart w:id="97" w:name="_Toc513295902"/>
      <w:bookmarkEnd w:id="90"/>
      <w:r>
        <w:rPr>
          <w:rFonts w:hAnsi="宋体" w:hint="eastAsia"/>
        </w:rPr>
        <w:t>公平交易专项说</w:t>
      </w:r>
      <w:r>
        <w:rPr>
          <w:rFonts w:hAnsi="宋体" w:hint="eastAsia"/>
        </w:rPr>
        <w:t>明</w:t>
      </w:r>
      <w:bookmarkEnd w:id="91"/>
      <w:bookmarkEnd w:id="92"/>
      <w:bookmarkEnd w:id="93"/>
      <w:bookmarkEnd w:id="94"/>
      <w:bookmarkEnd w:id="95"/>
      <w:bookmarkEnd w:id="96"/>
      <w:bookmarkEnd w:id="97"/>
      <w:r>
        <w:rPr>
          <w:rFonts w:hAnsi="宋体" w:hint="eastAsia"/>
        </w:rPr>
        <w:t xml:space="preserve"> </w:t>
      </w:r>
    </w:p>
    <w:p w:rsidR="003870F3" w:rsidRDefault="003870F3">
      <w:pPr>
        <w:pStyle w:val="XBRLTitle3"/>
        <w:spacing w:before="156"/>
        <w:ind w:left="0"/>
        <w:rPr>
          <w:rFonts w:hint="eastAsia"/>
        </w:rPr>
      </w:pPr>
      <w:bookmarkStart w:id="98" w:name="_Toc17899964"/>
      <w:bookmarkStart w:id="99" w:name="_Toc481075058"/>
      <w:bookmarkStart w:id="100" w:name="_Toc490050012"/>
      <w:bookmarkStart w:id="101" w:name="_Toc512519491"/>
      <w:bookmarkStart w:id="102" w:name="_Toc513295903"/>
      <w:bookmarkStart w:id="103" w:name="m404_01_0570"/>
      <w:r>
        <w:rPr>
          <w:rFonts w:hint="eastAsia"/>
        </w:rPr>
        <w:t>公平交易制度的执行情</w:t>
      </w:r>
      <w:r>
        <w:rPr>
          <w:rFonts w:hint="eastAsia"/>
        </w:rPr>
        <w:t>况</w:t>
      </w:r>
      <w:bookmarkEnd w:id="98"/>
      <w:bookmarkEnd w:id="99"/>
      <w:bookmarkEnd w:id="100"/>
      <w:bookmarkEnd w:id="101"/>
      <w:bookmarkEnd w:id="102"/>
    </w:p>
    <w:p w:rsidR="003870F3" w:rsidRDefault="003870F3">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3870F3" w:rsidRDefault="003870F3">
      <w:pPr>
        <w:pStyle w:val="XBRLTitle3"/>
        <w:spacing w:before="156"/>
        <w:ind w:left="0"/>
      </w:pPr>
      <w:bookmarkStart w:id="104" w:name="_Toc17899965"/>
      <w:bookmarkStart w:id="105" w:name="_Toc481075059"/>
      <w:bookmarkStart w:id="106" w:name="_Toc490050013"/>
      <w:bookmarkStart w:id="107" w:name="_Toc512519492"/>
      <w:bookmarkStart w:id="108" w:name="_Toc513295904"/>
      <w:bookmarkStart w:id="109" w:name="m404_01_0578"/>
      <w:bookmarkEnd w:id="103"/>
      <w:r>
        <w:rPr>
          <w:rFonts w:hint="eastAsia"/>
        </w:rPr>
        <w:t>异常交易行为的专项说</w:t>
      </w:r>
      <w:r>
        <w:rPr>
          <w:rFonts w:hint="eastAsia"/>
        </w:rPr>
        <w:t>明</w:t>
      </w:r>
      <w:bookmarkEnd w:id="104"/>
      <w:bookmarkEnd w:id="105"/>
      <w:bookmarkEnd w:id="106"/>
      <w:bookmarkEnd w:id="107"/>
      <w:bookmarkEnd w:id="108"/>
    </w:p>
    <w:p w:rsidR="003870F3" w:rsidRDefault="003870F3">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3870F3" w:rsidRDefault="003870F3">
      <w:pPr>
        <w:pStyle w:val="XBRLTitle2"/>
        <w:spacing w:before="156" w:line="360" w:lineRule="auto"/>
        <w:ind w:left="454"/>
      </w:pPr>
      <w:bookmarkStart w:id="110" w:name="_Toc17899966"/>
      <w:bookmarkStart w:id="111" w:name="_Toc481075061"/>
      <w:bookmarkStart w:id="112" w:name="_Toc490050014"/>
      <w:bookmarkStart w:id="113" w:name="_Toc512519493"/>
      <w:bookmarkStart w:id="114" w:name="_Toc513295855"/>
      <w:bookmarkStart w:id="115" w:name="_Toc513295905"/>
      <w:bookmarkStart w:id="116" w:name="m405_01_2550"/>
      <w:bookmarkEnd w:id="109"/>
      <w:r>
        <w:rPr>
          <w:rFonts w:hAnsi="宋体" w:hint="eastAsia"/>
        </w:rPr>
        <w:t>报告期内基金的投资策略和运作分</w:t>
      </w:r>
      <w:r>
        <w:rPr>
          <w:rFonts w:hAnsi="宋体" w:hint="eastAsia"/>
        </w:rPr>
        <w:t>析</w:t>
      </w:r>
      <w:bookmarkEnd w:id="110"/>
      <w:bookmarkEnd w:id="111"/>
      <w:bookmarkEnd w:id="112"/>
      <w:bookmarkEnd w:id="113"/>
      <w:bookmarkEnd w:id="114"/>
      <w:bookmarkEnd w:id="115"/>
      <w:r>
        <w:rPr>
          <w:rFonts w:hAnsi="宋体" w:hint="eastAsia"/>
        </w:rPr>
        <w:t xml:space="preserve"> </w:t>
      </w:r>
    </w:p>
    <w:p w:rsidR="003870F3" w:rsidRDefault="003870F3">
      <w:pPr>
        <w:spacing w:line="360" w:lineRule="auto"/>
        <w:ind w:firstLineChars="200" w:firstLine="420"/>
        <w:jc w:val="left"/>
        <w:rPr>
          <w:rFonts w:hint="eastAsia"/>
        </w:rPr>
      </w:pPr>
      <w:r>
        <w:rPr>
          <w:rFonts w:ascii="宋体" w:hAnsi="宋体" w:cs="宋体" w:hint="eastAsia"/>
          <w:color w:val="000000"/>
          <w:kern w:val="0"/>
        </w:rPr>
        <w:t>二季度，全球经济延续温和回升态势，地缘风险边际缓和，不确定性有所下降。全球通胀呈现较强粘性，美联储维持鹰派立场，全球流动性预期阶段性收紧。国内经济总体走弱，</w:t>
      </w:r>
      <w:r>
        <w:rPr>
          <w:rFonts w:ascii="宋体" w:hAnsi="宋体" w:cs="宋体" w:hint="eastAsia"/>
          <w:color w:val="000000"/>
          <w:kern w:val="0"/>
        </w:rPr>
        <w:t>K</w:t>
      </w:r>
      <w:r>
        <w:rPr>
          <w:rFonts w:ascii="宋体" w:hAnsi="宋体" w:cs="宋体" w:hint="eastAsia"/>
          <w:color w:val="000000"/>
          <w:kern w:val="0"/>
        </w:rPr>
        <w:t>型分化显著，外需及新质生产力表现强劲。国内通胀仍处低位，</w:t>
      </w:r>
      <w:r>
        <w:rPr>
          <w:rFonts w:ascii="宋体" w:hAnsi="宋体" w:cs="宋体" w:hint="eastAsia"/>
          <w:color w:val="000000"/>
          <w:kern w:val="0"/>
        </w:rPr>
        <w:t>PPI</w:t>
      </w:r>
      <w:r>
        <w:rPr>
          <w:rFonts w:ascii="宋体" w:hAnsi="宋体" w:cs="宋体" w:hint="eastAsia"/>
          <w:color w:val="000000"/>
          <w:kern w:val="0"/>
        </w:rPr>
        <w:t>受输入性因素影响有所回升。货币政策保持适度宽松，财政政策较为节制，地方债发行慢于往年。市场风险偏好见底回升，全球一体化联动明显。</w:t>
      </w:r>
      <w:r>
        <w:rPr>
          <w:rFonts w:ascii="宋体" w:hAnsi="宋体" w:cs="宋体" w:hint="eastAsia"/>
          <w:color w:val="000000"/>
          <w:kern w:val="0"/>
        </w:rPr>
        <w:br/>
      </w:r>
      <w:r>
        <w:rPr>
          <w:rFonts w:ascii="宋体" w:hAnsi="宋体" w:cs="宋体" w:hint="eastAsia"/>
          <w:color w:val="000000"/>
          <w:kern w:val="0"/>
        </w:rPr>
        <w:t xml:space="preserve">　　在此背景下，二季度各大类资产及其内部表现极致分化。权益方面，在</w:t>
      </w:r>
      <w:r>
        <w:rPr>
          <w:rFonts w:ascii="宋体" w:hAnsi="宋体" w:cs="宋体" w:hint="eastAsia"/>
          <w:color w:val="000000"/>
          <w:kern w:val="0"/>
        </w:rPr>
        <w:t>AI</w:t>
      </w:r>
      <w:r>
        <w:rPr>
          <w:rFonts w:ascii="宋体" w:hAnsi="宋体" w:cs="宋体" w:hint="eastAsia"/>
          <w:color w:val="000000"/>
          <w:kern w:val="0"/>
        </w:rPr>
        <w:t>产业趋势驱动下全球股市大幅上涨，但内部分化剧烈，中小盘显著跑赢大盘，双创为代表的成长板块独领风骚，其他板块跌多涨少。美日韩股市大幅上涨，港股显著负收益。固收方面，债市小幅正收益，利率债好于信用债，收益率总体区间震荡。商品方面，普遍下行，原油大幅回落，黄金先涨后跌。汇率方面，美元指数偏强，出口强劲与巨额未结汇余额支撑人民币兑美元持续走强。</w:t>
      </w:r>
      <w:r>
        <w:rPr>
          <w:rFonts w:ascii="宋体" w:hAnsi="宋体" w:cs="宋体" w:hint="eastAsia"/>
          <w:color w:val="000000"/>
          <w:kern w:val="0"/>
        </w:rPr>
        <w:br/>
      </w:r>
      <w:r>
        <w:rPr>
          <w:rFonts w:ascii="宋体" w:hAnsi="宋体" w:cs="宋体" w:hint="eastAsia"/>
          <w:color w:val="000000"/>
          <w:kern w:val="0"/>
        </w:rPr>
        <w:t xml:space="preserve">　　二季度，本基金快速提升风险资产中枢至较高水平，以主动承担风险、积极把握结构性机会为主。风险资产方面，四月份，基于美伊冲突升级风险下降的判断，本基金于转折日大幅提高风险资产仓位，同时大量增配前期跌幅较大的境内外科技成长类、周期类、中小盘类基金，清仓红利类基金。五月份，随着市场快速反弹，本基金适当降低风险资产仓位，继续优化风险资产结构，更加聚焦，增配国内外科技成长类，减配周期类、港股类基金。六月份，随着月初市场出现一定幅度调整，本基金适当提升仓位，继续增配境内外科技成长类基金。二季度末，本基金风险资产仓位处于中性偏高水平，以境内外成长基金为主，适度兼顾均衡。稳健资产方面，债券收益率区间震荡，缺乏配置价值，保持中性偏低久期，以持有中短久期债基为主。</w:t>
      </w:r>
      <w:r>
        <w:rPr>
          <w:rFonts w:ascii="宋体" w:hAnsi="宋体" w:cs="宋体" w:hint="eastAsia"/>
          <w:color w:val="000000"/>
          <w:kern w:val="0"/>
        </w:rPr>
        <w:br/>
      </w:r>
      <w:r>
        <w:rPr>
          <w:rFonts w:ascii="宋体" w:hAnsi="宋体" w:cs="宋体" w:hint="eastAsia"/>
          <w:color w:val="000000"/>
          <w:kern w:val="0"/>
        </w:rPr>
        <w:t xml:space="preserve">　　展望未来，</w:t>
      </w:r>
      <w:r>
        <w:rPr>
          <w:rFonts w:ascii="宋体" w:hAnsi="宋体" w:cs="宋体" w:hint="eastAsia"/>
          <w:color w:val="000000"/>
          <w:kern w:val="0"/>
        </w:rPr>
        <w:t>AI</w:t>
      </w:r>
      <w:r>
        <w:rPr>
          <w:rFonts w:ascii="宋体" w:hAnsi="宋体" w:cs="宋体" w:hint="eastAsia"/>
          <w:color w:val="000000"/>
          <w:kern w:val="0"/>
        </w:rPr>
        <w:t>产业趋势与全球秩序重构仍是决定中长期资产配置的两大核心变量，全球经济呈现更加明显的”</w:t>
      </w:r>
      <w:r>
        <w:rPr>
          <w:rFonts w:ascii="宋体" w:hAnsi="宋体" w:cs="宋体" w:hint="eastAsia"/>
          <w:color w:val="000000"/>
          <w:kern w:val="0"/>
        </w:rPr>
        <w:t>K</w:t>
      </w:r>
      <w:r>
        <w:rPr>
          <w:rFonts w:ascii="宋体" w:hAnsi="宋体" w:cs="宋体" w:hint="eastAsia"/>
          <w:color w:val="000000"/>
          <w:kern w:val="0"/>
        </w:rPr>
        <w:t>型分化”特征。美国财政扩张和高债务约束共同决定中期弱美元方向，但短期货币政策节奏取决于通胀与就业演变，仍存在较大不确定性。国内经济下半年有望低位企稳，政策以托底为主，“六张网”有望成为主要发力方向，结构性特征更加明显，新质生产力相关产业或仍将保持较高景气。通胀方面，随着输入性因素扰动减弱，国内物价水平下半年有望温和回落，人民币汇率在出口韧性、国际资本流动改善及美元中期走弱背景下仍具备升值基础。财政政策和货币政策难以大开大合，仍以稳为主，定调偏积极但力度预计有限。</w:t>
      </w:r>
      <w:r>
        <w:rPr>
          <w:rFonts w:ascii="宋体" w:hAnsi="宋体" w:cs="宋体" w:hint="eastAsia"/>
          <w:color w:val="000000"/>
          <w:kern w:val="0"/>
        </w:rPr>
        <w:br/>
      </w:r>
      <w:r>
        <w:rPr>
          <w:rFonts w:ascii="宋体" w:hAnsi="宋体" w:cs="宋体" w:hint="eastAsia"/>
          <w:color w:val="000000"/>
          <w:kern w:val="0"/>
        </w:rPr>
        <w:t xml:space="preserve">　　资产配置层面，战略上继续坚持全球分散配置，在产业趋势与宏观周期之间保持动态平衡。权益方面，</w:t>
      </w:r>
      <w:r>
        <w:rPr>
          <w:rFonts w:ascii="宋体" w:hAnsi="宋体" w:cs="宋体" w:hint="eastAsia"/>
          <w:color w:val="000000"/>
          <w:kern w:val="0"/>
        </w:rPr>
        <w:t>A</w:t>
      </w:r>
      <w:r>
        <w:rPr>
          <w:rFonts w:ascii="宋体" w:hAnsi="宋体" w:cs="宋体" w:hint="eastAsia"/>
          <w:color w:val="000000"/>
          <w:kern w:val="0"/>
        </w:rPr>
        <w:t>股处于盈利驱动阶段，景气度成为市场中期主要支撑，科技创新、自主可控、人工智能、机器人及先进制造等产业趋势仍是中期重点方向。把握人民币升值带来的中国资产重估机会，积极关注低位板块可能的估值修复机会。固收方面，当前利率整体处于低位区间，债券配置价值更多体现为票息收益和组合稳定器功能，保持适度久期，灵活把握交易性机会。黄金方面，全球央行持续购金、美元信用体系长期演变及地缘政治不确定性仍构成长周期支撑，在组合中继续发挥风险对冲和资产配置作用。整体来看，本基金将坚持长期投资理念，密切跟踪全球宏观周期、产业趋势及风险偏好变化，动态优化资产配置，努力在控制回撤的基础上获取长期稳健回报</w:t>
      </w:r>
      <w:r>
        <w:rPr>
          <w:rFonts w:ascii="宋体" w:hAnsi="宋体" w:cs="宋体" w:hint="eastAsia"/>
          <w:color w:val="000000"/>
          <w:kern w:val="0"/>
        </w:rPr>
        <w:t>。</w:t>
      </w:r>
    </w:p>
    <w:p w:rsidR="003870F3" w:rsidRDefault="003870F3">
      <w:pPr>
        <w:pStyle w:val="XBRLTitle2"/>
        <w:spacing w:before="156" w:line="360" w:lineRule="auto"/>
        <w:ind w:left="454"/>
      </w:pPr>
      <w:bookmarkStart w:id="117" w:name="_Toc17899967"/>
      <w:bookmarkStart w:id="118" w:name="_Toc490050015"/>
      <w:bookmarkStart w:id="119" w:name="_Toc481075062"/>
      <w:bookmarkStart w:id="120" w:name="_Toc512519494"/>
      <w:bookmarkStart w:id="121" w:name="_Toc513295856"/>
      <w:bookmarkStart w:id="122" w:name="_Toc513295906"/>
      <w:bookmarkStart w:id="123" w:name="m405_01_2549"/>
      <w:bookmarkEnd w:id="116"/>
      <w:r>
        <w:rPr>
          <w:rFonts w:hAnsi="宋体" w:hint="eastAsia"/>
        </w:rPr>
        <w:t>报告期内基金的业绩表</w:t>
      </w:r>
      <w:r>
        <w:rPr>
          <w:rFonts w:hAnsi="宋体" w:hint="eastAsia"/>
        </w:rPr>
        <w:t>现</w:t>
      </w:r>
      <w:bookmarkEnd w:id="117"/>
      <w:bookmarkEnd w:id="118"/>
      <w:bookmarkEnd w:id="119"/>
      <w:bookmarkEnd w:id="120"/>
      <w:bookmarkEnd w:id="121"/>
      <w:bookmarkEnd w:id="122"/>
      <w:r>
        <w:rPr>
          <w:rFonts w:hAnsi="宋体" w:hint="eastAsia"/>
        </w:rPr>
        <w:t xml:space="preserve"> </w:t>
      </w:r>
      <w:bookmarkEnd w:id="123"/>
    </w:p>
    <w:p w:rsidR="003870F3" w:rsidRDefault="003870F3">
      <w:pPr>
        <w:spacing w:line="360" w:lineRule="auto"/>
        <w:ind w:firstLineChars="200" w:firstLine="420"/>
        <w:rPr>
          <w:rFonts w:hint="eastAsia"/>
        </w:rPr>
      </w:pPr>
      <w:r>
        <w:rPr>
          <w:rFonts w:ascii="宋体" w:hAnsi="宋体" w:hint="eastAsia"/>
        </w:rPr>
        <w:t>本报告期摩根锦程均衡养老三年持有混合</w:t>
      </w:r>
      <w:r>
        <w:rPr>
          <w:rFonts w:ascii="宋体" w:hAnsi="宋体" w:hint="eastAsia"/>
        </w:rPr>
        <w:t>(FOF)A</w:t>
      </w:r>
      <w:r>
        <w:rPr>
          <w:rFonts w:ascii="宋体" w:hAnsi="宋体" w:hint="eastAsia"/>
        </w:rPr>
        <w:t>份额净值增长率为：</w:t>
      </w:r>
      <w:r>
        <w:rPr>
          <w:rFonts w:ascii="宋体" w:hAnsi="宋体" w:hint="eastAsia"/>
        </w:rPr>
        <w:t>13.57%</w:t>
      </w:r>
      <w:r>
        <w:rPr>
          <w:rFonts w:ascii="宋体" w:hAnsi="宋体" w:hint="eastAsia"/>
        </w:rPr>
        <w:t>，同期业绩比较基准收益率为：</w:t>
      </w:r>
      <w:r>
        <w:rPr>
          <w:rFonts w:ascii="宋体" w:hAnsi="宋体" w:hint="eastAsia"/>
        </w:rPr>
        <w:t>7.31%</w:t>
      </w:r>
      <w:r>
        <w:rPr>
          <w:rFonts w:ascii="宋体" w:hAnsi="宋体" w:hint="eastAsia"/>
        </w:rPr>
        <w:t>；</w:t>
      </w:r>
      <w:r>
        <w:rPr>
          <w:rFonts w:ascii="宋体" w:hAnsi="宋体" w:hint="eastAsia"/>
        </w:rPr>
        <w:br/>
      </w:r>
      <w:r>
        <w:rPr>
          <w:rFonts w:ascii="宋体" w:hAnsi="宋体" w:hint="eastAsia"/>
        </w:rPr>
        <w:t xml:space="preserve">　　摩根锦程均衡养老三年持有混合</w:t>
      </w:r>
      <w:r>
        <w:rPr>
          <w:rFonts w:ascii="宋体" w:hAnsi="宋体" w:hint="eastAsia"/>
        </w:rPr>
        <w:t>(FOF)Y</w:t>
      </w:r>
      <w:r>
        <w:rPr>
          <w:rFonts w:ascii="宋体" w:hAnsi="宋体" w:hint="eastAsia"/>
        </w:rPr>
        <w:t>份额净值增长率为：</w:t>
      </w:r>
      <w:r>
        <w:rPr>
          <w:rFonts w:ascii="宋体" w:hAnsi="宋体" w:hint="eastAsia"/>
        </w:rPr>
        <w:t>13.67%</w:t>
      </w:r>
      <w:r>
        <w:rPr>
          <w:rFonts w:ascii="宋体" w:hAnsi="宋体" w:hint="eastAsia"/>
        </w:rPr>
        <w:t>，同期业绩比较基准收益率为：</w:t>
      </w:r>
      <w:r>
        <w:rPr>
          <w:rFonts w:ascii="宋体" w:hAnsi="宋体" w:hint="eastAsia"/>
        </w:rPr>
        <w:t>7.31%</w:t>
      </w:r>
      <w:r>
        <w:rPr>
          <w:rFonts w:ascii="宋体" w:hAnsi="宋体" w:hint="eastAsia"/>
        </w:rPr>
        <w:t>。</w:t>
      </w:r>
    </w:p>
    <w:p w:rsidR="003870F3" w:rsidRDefault="003870F3">
      <w:pPr>
        <w:pStyle w:val="XBRLTitle2"/>
        <w:spacing w:before="156" w:line="360" w:lineRule="auto"/>
        <w:ind w:left="454"/>
      </w:pPr>
      <w:bookmarkStart w:id="124" w:name="m406"/>
      <w:bookmarkStart w:id="125" w:name="_Toc17899968"/>
      <w:bookmarkStart w:id="126" w:name="_Toc490050016"/>
      <w:bookmarkStart w:id="127" w:name="_Toc481075063"/>
      <w:bookmarkStart w:id="128" w:name="_Toc438646465"/>
      <w:bookmarkStart w:id="129" w:name="_Toc512519495"/>
      <w:bookmarkStart w:id="130" w:name="_Toc513295857"/>
      <w:bookmarkStart w:id="131" w:name="_Toc513295907"/>
      <w:bookmarkStart w:id="132" w:name="m407"/>
      <w:bookmarkEnd w:id="124"/>
      <w:r>
        <w:rPr>
          <w:rFonts w:hAnsi="宋体" w:hint="eastAsia"/>
        </w:rPr>
        <w:t>报告期内基金持有人数或基金资产净值预警说</w:t>
      </w:r>
      <w:r>
        <w:rPr>
          <w:rFonts w:hAnsi="宋体" w:hint="eastAsia"/>
        </w:rPr>
        <w:t>明</w:t>
      </w:r>
      <w:bookmarkEnd w:id="125"/>
      <w:bookmarkEnd w:id="126"/>
      <w:bookmarkEnd w:id="127"/>
      <w:bookmarkEnd w:id="128"/>
      <w:bookmarkEnd w:id="129"/>
      <w:bookmarkEnd w:id="130"/>
      <w:bookmarkEnd w:id="131"/>
      <w:r>
        <w:rPr>
          <w:rFonts w:hAnsi="宋体" w:hint="eastAsia"/>
        </w:rPr>
        <w:t xml:space="preserve"> </w:t>
      </w:r>
    </w:p>
    <w:p w:rsidR="003870F3" w:rsidRDefault="003870F3">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3870F3" w:rsidRDefault="003870F3">
      <w:pPr>
        <w:pStyle w:val="XBRLTitle1"/>
        <w:spacing w:before="156" w:line="360" w:lineRule="auto"/>
        <w:ind w:left="425"/>
      </w:pPr>
      <w:bookmarkStart w:id="133" w:name="_Toc17899969"/>
      <w:bookmarkStart w:id="134" w:name="_Toc512519496"/>
      <w:bookmarkStart w:id="135" w:name="_Toc481075064"/>
      <w:bookmarkStart w:id="136" w:name="_Toc438646466"/>
      <w:bookmarkStart w:id="137" w:name="_Toc490050017"/>
      <w:bookmarkStart w:id="138" w:name="_Toc513295858"/>
      <w:bookmarkStart w:id="139" w:name="_Toc513295908"/>
      <w:bookmarkEnd w:id="132"/>
      <w:r>
        <w:rPr>
          <w:rFonts w:hAnsi="宋体" w:hint="eastAsia"/>
        </w:rPr>
        <w:t>投资组合报</w:t>
      </w:r>
      <w:r>
        <w:rPr>
          <w:rFonts w:hAnsi="宋体" w:hint="eastAsia"/>
        </w:rPr>
        <w:t>告</w:t>
      </w:r>
      <w:bookmarkEnd w:id="133"/>
      <w:bookmarkEnd w:id="134"/>
      <w:bookmarkEnd w:id="135"/>
      <w:bookmarkEnd w:id="136"/>
      <w:bookmarkEnd w:id="137"/>
      <w:bookmarkEnd w:id="138"/>
      <w:bookmarkEnd w:id="139"/>
      <w:r>
        <w:rPr>
          <w:rFonts w:hAnsi="宋体" w:hint="eastAsia"/>
        </w:rPr>
        <w:t xml:space="preserve"> </w:t>
      </w:r>
    </w:p>
    <w:p w:rsidR="003870F3" w:rsidRDefault="003870F3">
      <w:pPr>
        <w:pStyle w:val="XBRLTitle2"/>
        <w:spacing w:before="156" w:line="360" w:lineRule="auto"/>
        <w:ind w:left="454"/>
        <w:rPr>
          <w:rFonts w:hint="eastAsia"/>
        </w:rPr>
      </w:pPr>
      <w:bookmarkStart w:id="140" w:name="_Toc17899970"/>
      <w:bookmarkStart w:id="141" w:name="_Toc481075065"/>
      <w:bookmarkStart w:id="142" w:name="_Toc438646467"/>
      <w:bookmarkStart w:id="143" w:name="_Toc490050018"/>
      <w:bookmarkStart w:id="144" w:name="_Toc512519497"/>
      <w:bookmarkStart w:id="145" w:name="_Toc513295859"/>
      <w:bookmarkStart w:id="146" w:name="_Toc513295909"/>
      <w:bookmarkStart w:id="147" w:name="m501"/>
      <w:r>
        <w:rPr>
          <w:rFonts w:hAnsi="宋体" w:hint="eastAsia"/>
        </w:rPr>
        <w:t>报告期末基金资产组合情</w:t>
      </w:r>
      <w:r>
        <w:rPr>
          <w:rFonts w:hAnsi="宋体" w:hint="eastAsia"/>
        </w:rPr>
        <w:t>况</w:t>
      </w:r>
      <w:bookmarkEnd w:id="140"/>
      <w:bookmarkEnd w:id="141"/>
      <w:bookmarkEnd w:id="142"/>
      <w:bookmarkEnd w:id="143"/>
      <w:bookmarkEnd w:id="144"/>
      <w:bookmarkEnd w:id="145"/>
      <w:bookmarkEnd w:id="146"/>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rPr>
                <w:rFonts w:hint="eastAsia"/>
              </w:rPr>
            </w:pPr>
            <w:bookmarkStart w:id="148" w:name="m08QD_01_tab"/>
            <w:bookmarkEnd w:id="148"/>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2,070,017.7</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1.4</w:t>
            </w:r>
            <w:r>
              <w:rPr>
                <w:rFonts w:ascii="宋体" w:hAnsi="宋体" w:hint="eastAsia"/>
                <w:szCs w:val="24"/>
                <w:lang w:eastAsia="zh-Hans"/>
              </w:rPr>
              <w:t>3</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2,070,017.7</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1.4</w:t>
            </w:r>
            <w:r>
              <w:rPr>
                <w:rFonts w:ascii="宋体" w:hAnsi="宋体" w:hint="eastAsia"/>
                <w:szCs w:val="24"/>
                <w:lang w:eastAsia="zh-Hans"/>
              </w:rPr>
              <w:t>3</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131,170,264.3</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90.4</w:t>
            </w:r>
            <w:r>
              <w:rPr>
                <w:rFonts w:ascii="宋体" w:hAnsi="宋体" w:hint="eastAsia"/>
                <w:szCs w:val="24"/>
                <w:lang w:eastAsia="zh-Hans"/>
              </w:rPr>
              <w:t>2</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7,011,520.2</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4.8</w:t>
            </w:r>
            <w:r>
              <w:rPr>
                <w:rFonts w:ascii="宋体" w:hAnsi="宋体" w:hint="eastAsia"/>
                <w:szCs w:val="24"/>
                <w:lang w:eastAsia="zh-Hans"/>
              </w:rPr>
              <w:t>3</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7,011,520.2</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4.8</w:t>
            </w:r>
            <w:r>
              <w:rPr>
                <w:rFonts w:ascii="宋体" w:hAnsi="宋体" w:hint="eastAsia"/>
                <w:szCs w:val="24"/>
                <w:lang w:eastAsia="zh-Hans"/>
              </w:rPr>
              <w:t>3</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4,577,686.9</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3.1</w:t>
            </w:r>
            <w:r>
              <w:rPr>
                <w:rFonts w:ascii="宋体" w:hAnsi="宋体" w:hint="eastAsia"/>
                <w:szCs w:val="24"/>
                <w:lang w:eastAsia="zh-Hans"/>
              </w:rPr>
              <w:t>6</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244,774.9</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0.1</w:t>
            </w:r>
            <w:r>
              <w:rPr>
                <w:rFonts w:ascii="宋体" w:hAnsi="宋体" w:hint="eastAsia"/>
                <w:szCs w:val="24"/>
                <w:lang w:eastAsia="zh-Hans"/>
              </w:rPr>
              <w:t>7</w:t>
            </w:r>
          </w:p>
        </w:tc>
      </w:tr>
      <w:tr w:rsidR="00000000">
        <w:trPr>
          <w:divId w:val="186616504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3870F3" w:rsidRDefault="003870F3">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145,074,264.2</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100.0</w:t>
            </w:r>
            <w:r>
              <w:rPr>
                <w:rFonts w:ascii="宋体" w:hAnsi="宋体" w:hint="eastAsia"/>
                <w:szCs w:val="24"/>
                <w:lang w:eastAsia="zh-Hans"/>
              </w:rPr>
              <w:t>0</w:t>
            </w:r>
          </w:p>
        </w:tc>
      </w:tr>
    </w:tbl>
    <w:p w:rsidR="003870F3" w:rsidRDefault="003870F3">
      <w:pPr>
        <w:pStyle w:val="XBRLTitle2"/>
        <w:spacing w:before="156" w:line="360" w:lineRule="auto"/>
        <w:ind w:left="454"/>
      </w:pPr>
      <w:bookmarkStart w:id="149" w:name="_Toc17899971"/>
      <w:bookmarkStart w:id="150" w:name="_Toc512519498"/>
      <w:bookmarkStart w:id="151" w:name="_Toc481075066"/>
      <w:bookmarkStart w:id="152" w:name="_Toc438646468"/>
      <w:bookmarkStart w:id="153" w:name="_Toc490050019"/>
      <w:bookmarkStart w:id="154" w:name="_Toc513295860"/>
      <w:bookmarkStart w:id="155" w:name="_Toc513295910"/>
      <w:bookmarkEnd w:id="147"/>
      <w:r>
        <w:rPr>
          <w:rFonts w:hAnsi="宋体" w:hint="eastAsia"/>
        </w:rPr>
        <w:t>报告期末按行业分类的股票投资组</w:t>
      </w:r>
      <w:r>
        <w:rPr>
          <w:rFonts w:hAnsi="宋体" w:hint="eastAsia"/>
        </w:rPr>
        <w:t>合</w:t>
      </w:r>
      <w:bookmarkEnd w:id="149"/>
      <w:bookmarkEnd w:id="150"/>
      <w:bookmarkEnd w:id="151"/>
      <w:bookmarkEnd w:id="152"/>
      <w:bookmarkEnd w:id="153"/>
      <w:bookmarkEnd w:id="154"/>
      <w:bookmarkEnd w:id="155"/>
      <w:r>
        <w:rPr>
          <w:rFonts w:hAnsi="宋体" w:hint="eastAsia"/>
          <w:lang w:eastAsia="zh-CN"/>
        </w:rPr>
        <w:t xml:space="preserve"> </w:t>
      </w:r>
    </w:p>
    <w:p w:rsidR="003870F3" w:rsidRDefault="003870F3">
      <w:pPr>
        <w:pStyle w:val="XBRLTitle3"/>
        <w:spacing w:before="156"/>
        <w:ind w:left="0"/>
        <w:rPr>
          <w:rFonts w:hint="eastAsia"/>
        </w:rPr>
      </w:pPr>
      <w:bookmarkStart w:id="156" w:name="_Toc17899972"/>
      <w:bookmarkStart w:id="157" w:name="_Toc481075067"/>
      <w:bookmarkStart w:id="158" w:name="_Toc490050020"/>
      <w:bookmarkStart w:id="159" w:name="_Toc512519499"/>
      <w:bookmarkStart w:id="160" w:name="_Toc513295911"/>
      <w:r>
        <w:rPr>
          <w:rFonts w:hint="eastAsia"/>
        </w:rPr>
        <w:t>报告期末按行业分类的境内股票投资组</w:t>
      </w:r>
      <w:r>
        <w:rPr>
          <w:rFonts w:hint="eastAsia"/>
        </w:rPr>
        <w:t>合</w:t>
      </w:r>
      <w:bookmarkEnd w:id="156"/>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860392483"/>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870F3" w:rsidRDefault="003870F3">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3870F3" w:rsidRDefault="003870F3">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3870F3" w:rsidRDefault="003870F3">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3870F3" w:rsidRDefault="003870F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707,418.0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0.4</w:t>
            </w:r>
            <w:r>
              <w:rPr>
                <w:rFonts w:ascii="宋体" w:hAnsi="宋体" w:hint="eastAsia"/>
                <w:szCs w:val="24"/>
                <w:lang w:eastAsia="zh-Hans"/>
              </w:rPr>
              <w:t>9</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1,362,599.7</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0.9</w:t>
            </w:r>
            <w:r>
              <w:rPr>
                <w:rFonts w:ascii="宋体" w:hAnsi="宋体" w:hint="eastAsia"/>
                <w:szCs w:val="24"/>
                <w:lang w:eastAsia="zh-Hans"/>
              </w:rPr>
              <w:t>5</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w:t>
            </w:r>
          </w:p>
        </w:tc>
      </w:tr>
      <w:tr w:rsidR="00000000">
        <w:trPr>
          <w:divId w:val="186039248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870F3" w:rsidRDefault="003870F3">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870F3" w:rsidRDefault="003870F3">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870F3" w:rsidRDefault="003870F3">
            <w:pPr>
              <w:jc w:val="right"/>
            </w:pPr>
            <w:r>
              <w:rPr>
                <w:rFonts w:ascii="宋体" w:hAnsi="宋体" w:hint="eastAsia"/>
                <w:szCs w:val="24"/>
                <w:lang w:eastAsia="zh-Hans"/>
              </w:rPr>
              <w:t>2,070,017.7</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870F3" w:rsidRDefault="003870F3">
            <w:pPr>
              <w:jc w:val="right"/>
            </w:pPr>
            <w:r>
              <w:rPr>
                <w:rFonts w:ascii="宋体" w:hAnsi="宋体" w:hint="eastAsia"/>
                <w:szCs w:val="24"/>
                <w:lang w:eastAsia="zh-Hans"/>
              </w:rPr>
              <w:t>1.4</w:t>
            </w:r>
            <w:r>
              <w:rPr>
                <w:rFonts w:ascii="宋体" w:hAnsi="宋体" w:hint="eastAsia"/>
                <w:szCs w:val="24"/>
                <w:lang w:eastAsia="zh-Hans"/>
              </w:rPr>
              <w:t>4</w:t>
            </w:r>
          </w:p>
        </w:tc>
      </w:tr>
    </w:tbl>
    <w:p w:rsidR="003870F3" w:rsidRDefault="003870F3">
      <w:pPr>
        <w:pStyle w:val="XBRLTitle3"/>
        <w:spacing w:before="156"/>
        <w:ind w:left="0"/>
      </w:pPr>
      <w:bookmarkStart w:id="161" w:name="_Toc17899973"/>
      <w:bookmarkStart w:id="162" w:name="m502_tab"/>
      <w:bookmarkStart w:id="163" w:name="_Toc481075068"/>
      <w:bookmarkStart w:id="164" w:name="_Toc490050021"/>
      <w:bookmarkStart w:id="165" w:name="_Toc512519500"/>
      <w:bookmarkStart w:id="166" w:name="_Toc513295912"/>
      <w:r>
        <w:rPr>
          <w:rFonts w:hint="eastAsia"/>
        </w:rPr>
        <w:t>报告期末按行业分类的港股通投资股票投资组</w:t>
      </w:r>
      <w:r>
        <w:rPr>
          <w:rFonts w:hint="eastAsia"/>
        </w:rPr>
        <w:t>合</w:t>
      </w:r>
      <w:bookmarkEnd w:id="161"/>
      <w:r>
        <w:rPr>
          <w:rFonts w:hint="eastAsia"/>
          <w:szCs w:val="24"/>
        </w:rPr>
        <w:t xml:space="preserve"> </w:t>
      </w:r>
    </w:p>
    <w:p w:rsidR="003870F3" w:rsidRDefault="003870F3">
      <w:pPr>
        <w:spacing w:line="360" w:lineRule="auto"/>
        <w:ind w:firstLineChars="200" w:firstLine="420"/>
        <w:divId w:val="1359771644"/>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3870F3" w:rsidRDefault="003870F3">
      <w:pPr>
        <w:pStyle w:val="XBRLTitle2"/>
        <w:spacing w:before="156"/>
        <w:ind w:left="454"/>
      </w:pPr>
      <w:bookmarkStart w:id="167" w:name="_Toc178982961"/>
      <w:bookmarkStart w:id="168" w:name="_Toc17897958"/>
      <w:bookmarkStart w:id="169" w:name="_Toc485300375"/>
      <w:bookmarkStart w:id="170" w:name="_Toc453852755"/>
      <w:bookmarkStart w:id="171" w:name="_Toc452398761"/>
      <w:bookmarkStart w:id="172" w:name="_Toc454983410"/>
      <w:bookmarkStart w:id="173" w:name="_Toc497398255"/>
      <w:bookmarkStart w:id="174" w:name="_Toc506208451"/>
      <w:bookmarkStart w:id="175" w:name="m08QD_10"/>
      <w:r>
        <w:rPr>
          <w:rFonts w:hint="eastAsia"/>
        </w:rPr>
        <w:t>期末按公允价值占基金资产净值比例大小排序的股票投资明</w:t>
      </w:r>
      <w:r>
        <w:rPr>
          <w:rFonts w:hint="eastAsia"/>
        </w:rPr>
        <w:t>细</w:t>
      </w:r>
      <w:bookmarkEnd w:id="167"/>
      <w:bookmarkEnd w:id="168"/>
    </w:p>
    <w:p w:rsidR="003870F3" w:rsidRDefault="003870F3">
      <w:pPr>
        <w:pStyle w:val="XBRLTitle3"/>
        <w:spacing w:before="156"/>
        <w:ind w:left="0"/>
        <w:rPr>
          <w:rFonts w:hint="eastAsia"/>
        </w:rPr>
      </w:pPr>
      <w:bookmarkStart w:id="176" w:name="_Toc178982962"/>
      <w:bookmarkStart w:id="177" w:name="_Toc485300376"/>
      <w:bookmarkStart w:id="178" w:name="_Toc497398256"/>
      <w:bookmarkStart w:id="179" w:name="_Toc453852756"/>
      <w:bookmarkStart w:id="180" w:name="_Toc454983411"/>
      <w:r>
        <w:rPr>
          <w:rFonts w:hAnsi="宋体" w:hint="eastAsia"/>
        </w:rPr>
        <w:t>报告期末按公允价值占基金资产净值比例大小排序的前十名股票投资明</w:t>
      </w:r>
      <w:r>
        <w:rPr>
          <w:rFonts w:hAnsi="宋体" w:hint="eastAsia"/>
        </w:rPr>
        <w:t>细</w:t>
      </w:r>
      <w:bookmarkEnd w:id="176"/>
      <w:bookmarkEnd w:id="177"/>
      <w:bookmarkEnd w:id="178"/>
      <w:bookmarkEnd w:id="179"/>
      <w:bookmarkEnd w:id="1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9897301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897301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szCs w:val="24"/>
                <w:lang w:eastAsia="zh-Hans"/>
              </w:rPr>
              <w:t>85</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szCs w:val="24"/>
                <w:lang w:eastAsia="zh-Hans"/>
              </w:rPr>
              <w:t>1,362,599.7</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szCs w:val="24"/>
                <w:lang w:eastAsia="zh-Hans"/>
              </w:rPr>
              <w:t>0.9</w:t>
            </w:r>
            <w:r>
              <w:rPr>
                <w:rFonts w:ascii="宋体" w:hAnsi="宋体" w:hint="eastAsia"/>
                <w:szCs w:val="24"/>
                <w:lang w:eastAsia="zh-Hans"/>
              </w:rPr>
              <w:t>5</w:t>
            </w:r>
          </w:p>
        </w:tc>
      </w:tr>
      <w:tr w:rsidR="00000000">
        <w:trPr>
          <w:divId w:val="19897301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szCs w:val="24"/>
                <w:lang w:eastAsia="zh-Hans"/>
              </w:rPr>
              <w:t>1,80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szCs w:val="24"/>
                <w:lang w:eastAsia="zh-Hans"/>
              </w:rPr>
              <w:t>707,418.0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szCs w:val="24"/>
                <w:lang w:eastAsia="zh-Hans"/>
              </w:rPr>
              <w:t>0.4</w:t>
            </w:r>
            <w:r>
              <w:rPr>
                <w:rFonts w:ascii="宋体" w:hAnsi="宋体" w:hint="eastAsia"/>
                <w:szCs w:val="24"/>
                <w:lang w:eastAsia="zh-Hans"/>
              </w:rPr>
              <w:t>9</w:t>
            </w:r>
          </w:p>
        </w:tc>
      </w:tr>
    </w:tbl>
    <w:p w:rsidR="003870F3" w:rsidRDefault="003870F3">
      <w:pPr>
        <w:pStyle w:val="XBRLTitle2"/>
        <w:spacing w:before="156" w:line="360" w:lineRule="auto"/>
        <w:ind w:left="454"/>
      </w:pPr>
      <w:bookmarkStart w:id="181" w:name="_Toc17899975"/>
      <w:bookmarkStart w:id="182" w:name="_Toc481075070"/>
      <w:bookmarkStart w:id="183" w:name="_Toc438646471"/>
      <w:bookmarkStart w:id="184" w:name="_Toc490050023"/>
      <w:bookmarkStart w:id="185" w:name="_Toc512519502"/>
      <w:bookmarkStart w:id="186" w:name="_Toc513295862"/>
      <w:bookmarkStart w:id="187" w:name="_Toc513295914"/>
      <w:bookmarkStart w:id="188" w:name="m505"/>
      <w:r>
        <w:rPr>
          <w:rFonts w:hAnsi="宋体" w:hint="eastAsia"/>
        </w:rPr>
        <w:t>报告期末按债券品种分类的债券投资组</w:t>
      </w:r>
      <w:r>
        <w:rPr>
          <w:rFonts w:hAnsi="宋体" w:hint="eastAsia"/>
        </w:rPr>
        <w:t>合</w:t>
      </w:r>
      <w:bookmarkEnd w:id="181"/>
      <w:bookmarkEnd w:id="182"/>
      <w:bookmarkEnd w:id="183"/>
      <w:bookmarkEnd w:id="184"/>
      <w:bookmarkEnd w:id="185"/>
      <w:bookmarkEnd w:id="186"/>
      <w:bookmarkEnd w:id="1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7,011,520.2</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4.8</w:t>
            </w:r>
            <w:r>
              <w:rPr>
                <w:rFonts w:ascii="宋体" w:hAnsi="宋体" w:hint="eastAsia"/>
                <w:szCs w:val="24"/>
                <w:lang w:eastAsia="zh-Hans"/>
              </w:rPr>
              <w:t>7</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w:t>
            </w:r>
          </w:p>
        </w:tc>
      </w:tr>
      <w:tr w:rsidR="00000000">
        <w:trPr>
          <w:divId w:val="192113210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3870F3" w:rsidRDefault="003870F3">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7,011,520.2</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3870F3" w:rsidRDefault="003870F3">
            <w:pPr>
              <w:jc w:val="right"/>
            </w:pPr>
            <w:r>
              <w:rPr>
                <w:rFonts w:ascii="宋体" w:hAnsi="宋体" w:hint="eastAsia"/>
                <w:szCs w:val="24"/>
                <w:lang w:eastAsia="zh-Hans"/>
              </w:rPr>
              <w:t>4.8</w:t>
            </w:r>
            <w:r>
              <w:rPr>
                <w:rFonts w:ascii="宋体" w:hAnsi="宋体" w:hint="eastAsia"/>
                <w:szCs w:val="24"/>
                <w:lang w:eastAsia="zh-Hans"/>
              </w:rPr>
              <w:t>7</w:t>
            </w:r>
          </w:p>
        </w:tc>
      </w:tr>
    </w:tbl>
    <w:p w:rsidR="003870F3" w:rsidRDefault="003870F3">
      <w:pPr>
        <w:pStyle w:val="XBRLTitle2"/>
        <w:spacing w:before="156" w:line="360" w:lineRule="auto"/>
        <w:ind w:left="454"/>
      </w:pPr>
      <w:bookmarkStart w:id="189" w:name="_Toc17899976"/>
      <w:bookmarkStart w:id="190" w:name="_Toc481075071"/>
      <w:bookmarkStart w:id="191" w:name="_Toc438646472"/>
      <w:bookmarkStart w:id="192" w:name="_Toc490050024"/>
      <w:bookmarkStart w:id="193" w:name="_Toc512519503"/>
      <w:bookmarkStart w:id="194" w:name="_Toc513295863"/>
      <w:bookmarkStart w:id="195" w:name="_Toc513295915"/>
      <w:bookmarkStart w:id="196" w:name="m506"/>
      <w:bookmarkEnd w:id="188"/>
      <w:r>
        <w:rPr>
          <w:rFonts w:hAnsi="宋体" w:hint="eastAsia"/>
        </w:rPr>
        <w:t>报告期末按公允价值占基金资产净值比例大小排序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189"/>
      <w:bookmarkEnd w:id="190"/>
      <w:bookmarkEnd w:id="191"/>
      <w:bookmarkEnd w:id="192"/>
      <w:bookmarkEnd w:id="193"/>
      <w:bookmarkEnd w:id="194"/>
      <w:bookmarkEnd w:id="19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45070591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4507059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01983</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szCs w:val="24"/>
                <w:lang w:eastAsia="zh-Hans"/>
              </w:rPr>
              <w:t>26</w:t>
            </w:r>
            <w:r>
              <w:rPr>
                <w:rFonts w:ascii="宋体" w:hAnsi="宋体" w:hint="eastAsia"/>
                <w:szCs w:val="24"/>
                <w:lang w:eastAsia="zh-Hans"/>
              </w:rPr>
              <w:t>国债</w:t>
            </w:r>
            <w:r>
              <w:rPr>
                <w:rFonts w:ascii="宋体" w:hAnsi="宋体" w:hint="eastAsia"/>
                <w:szCs w:val="24"/>
                <w:lang w:eastAsia="zh-Hans"/>
              </w:rPr>
              <w:t>0</w:t>
            </w:r>
            <w:r>
              <w:rPr>
                <w:rFonts w:ascii="宋体" w:hAnsi="宋体" w:hint="eastAsia"/>
                <w:szCs w:val="24"/>
                <w:lang w:eastAsia="zh-Hans"/>
              </w:rPr>
              <w:t>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szCs w:val="24"/>
                <w:lang w:eastAsia="zh-Hans"/>
              </w:rPr>
              <w:t>70,00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szCs w:val="24"/>
                <w:lang w:eastAsia="zh-Hans"/>
              </w:rPr>
              <w:t>7,011,520.2</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szCs w:val="24"/>
                <w:lang w:eastAsia="zh-Hans"/>
              </w:rPr>
              <w:t>4.8</w:t>
            </w:r>
            <w:r>
              <w:rPr>
                <w:rFonts w:ascii="宋体" w:hAnsi="宋体" w:hint="eastAsia"/>
                <w:szCs w:val="24"/>
                <w:lang w:eastAsia="zh-Hans"/>
              </w:rPr>
              <w:t>7</w:t>
            </w:r>
          </w:p>
        </w:tc>
      </w:tr>
    </w:tbl>
    <w:p w:rsidR="003870F3" w:rsidRDefault="003870F3">
      <w:pPr>
        <w:pStyle w:val="XBRLTitle2"/>
        <w:spacing w:before="156" w:line="360" w:lineRule="auto"/>
        <w:ind w:left="454"/>
      </w:pPr>
      <w:bookmarkStart w:id="197" w:name="_Toc17899977"/>
      <w:bookmarkStart w:id="198" w:name="_Toc481075072"/>
      <w:bookmarkStart w:id="199" w:name="_Toc438646473"/>
      <w:bookmarkStart w:id="200" w:name="_Toc490050025"/>
      <w:bookmarkStart w:id="201" w:name="_Toc512519504"/>
      <w:bookmarkStart w:id="202" w:name="_Toc513295864"/>
      <w:bookmarkStart w:id="203" w:name="_Toc513295916"/>
      <w:bookmarkStart w:id="204" w:name="m507"/>
      <w:bookmarkEnd w:id="196"/>
      <w:r>
        <w:rPr>
          <w:rFonts w:hAnsi="宋体" w:hint="eastAsia"/>
        </w:rPr>
        <w:t>报告期末按公允价值占基金资产净值比例大小排序的前十名资产支持证券投资明</w:t>
      </w:r>
      <w:r>
        <w:rPr>
          <w:rFonts w:hAnsi="宋体" w:hint="eastAsia"/>
        </w:rPr>
        <w:t>细</w:t>
      </w:r>
      <w:bookmarkEnd w:id="197"/>
      <w:bookmarkEnd w:id="198"/>
      <w:bookmarkEnd w:id="199"/>
      <w:bookmarkEnd w:id="200"/>
      <w:bookmarkEnd w:id="201"/>
      <w:bookmarkEnd w:id="202"/>
      <w:bookmarkEnd w:id="203"/>
      <w:r>
        <w:rPr>
          <w:rFonts w:hAnsi="宋体" w:hint="eastAsia"/>
        </w:rPr>
        <w:t xml:space="preserve"> </w:t>
      </w:r>
    </w:p>
    <w:p w:rsidR="003870F3" w:rsidRDefault="003870F3">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3870F3" w:rsidRDefault="003870F3">
      <w:pPr>
        <w:pStyle w:val="XBRLTitle2"/>
        <w:spacing w:before="156" w:line="360" w:lineRule="auto"/>
        <w:ind w:left="454"/>
      </w:pPr>
      <w:bookmarkStart w:id="205" w:name="_Toc17899978"/>
      <w:bookmarkStart w:id="206" w:name="_Toc481075073"/>
      <w:bookmarkStart w:id="207" w:name="_Toc438646474"/>
      <w:bookmarkStart w:id="208" w:name="_Toc490050026"/>
      <w:bookmarkStart w:id="209" w:name="_Toc512519505"/>
      <w:bookmarkStart w:id="210" w:name="_Toc513295865"/>
      <w:bookmarkStart w:id="211" w:name="_Toc513295917"/>
      <w:bookmarkStart w:id="212" w:name="m508"/>
      <w:bookmarkEnd w:id="20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05"/>
      <w:bookmarkEnd w:id="206"/>
      <w:bookmarkEnd w:id="207"/>
      <w:bookmarkEnd w:id="208"/>
      <w:bookmarkEnd w:id="209"/>
      <w:bookmarkEnd w:id="210"/>
      <w:bookmarkEnd w:id="211"/>
      <w:r>
        <w:rPr>
          <w:rFonts w:hAnsi="宋体" w:hint="eastAsia"/>
        </w:rPr>
        <w:t xml:space="preserve"> </w:t>
      </w:r>
    </w:p>
    <w:p w:rsidR="003870F3" w:rsidRDefault="003870F3">
      <w:pPr>
        <w:spacing w:line="360" w:lineRule="auto"/>
        <w:ind w:firstLineChars="200" w:firstLine="420"/>
        <w:divId w:val="79509918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3870F3" w:rsidRDefault="003870F3">
      <w:pPr>
        <w:pStyle w:val="XBRLTitle2"/>
        <w:spacing w:before="156" w:line="360" w:lineRule="auto"/>
        <w:ind w:left="454"/>
      </w:pPr>
      <w:bookmarkStart w:id="213" w:name="_Toc17899979"/>
      <w:bookmarkStart w:id="214" w:name="_Toc481075074"/>
      <w:bookmarkStart w:id="215" w:name="_Toc438646475"/>
      <w:bookmarkStart w:id="216" w:name="_Toc490050027"/>
      <w:bookmarkStart w:id="217" w:name="_Toc512519506"/>
      <w:bookmarkStart w:id="218" w:name="_Toc513295866"/>
      <w:bookmarkStart w:id="219" w:name="_Toc513295918"/>
      <w:bookmarkStart w:id="220" w:name="m509"/>
      <w:bookmarkEnd w:id="212"/>
      <w:r>
        <w:rPr>
          <w:rFonts w:hAnsi="宋体" w:hint="eastAsia"/>
        </w:rPr>
        <w:t>报告期末按公允价值占基金资产净值比例大小排序的前五名权证投资明</w:t>
      </w:r>
      <w:r>
        <w:rPr>
          <w:rFonts w:hAnsi="宋体" w:hint="eastAsia"/>
        </w:rPr>
        <w:t>细</w:t>
      </w:r>
      <w:bookmarkEnd w:id="213"/>
      <w:bookmarkEnd w:id="214"/>
      <w:bookmarkEnd w:id="215"/>
      <w:bookmarkEnd w:id="216"/>
      <w:bookmarkEnd w:id="217"/>
      <w:bookmarkEnd w:id="218"/>
      <w:bookmarkEnd w:id="219"/>
      <w:r>
        <w:rPr>
          <w:rFonts w:hAnsi="宋体" w:hint="eastAsia"/>
        </w:rPr>
        <w:t xml:space="preserve"> </w:t>
      </w:r>
      <w:bookmarkEnd w:id="220"/>
    </w:p>
    <w:p w:rsidR="003870F3" w:rsidRDefault="003870F3">
      <w:pPr>
        <w:spacing w:line="360" w:lineRule="auto"/>
        <w:ind w:firstLineChars="200" w:firstLine="420"/>
        <w:divId w:val="1840272205"/>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3870F3" w:rsidRDefault="003870F3">
      <w:pPr>
        <w:pStyle w:val="XBRLTitle2"/>
        <w:spacing w:before="156"/>
        <w:ind w:left="454"/>
      </w:pPr>
      <w:bookmarkStart w:id="221" w:name="_Toc17899980"/>
      <w:r>
        <w:rPr>
          <w:rFonts w:hint="eastAsia"/>
        </w:rPr>
        <w:t>报告期末本基金投资的股指期货交易情况说</w:t>
      </w:r>
      <w:r>
        <w:rPr>
          <w:rFonts w:hint="eastAsia"/>
        </w:rPr>
        <w:t>明</w:t>
      </w:r>
      <w:bookmarkEnd w:id="169"/>
      <w:bookmarkEnd w:id="170"/>
      <w:bookmarkEnd w:id="171"/>
      <w:bookmarkEnd w:id="172"/>
      <w:bookmarkEnd w:id="173"/>
      <w:bookmarkEnd w:id="174"/>
      <w:bookmarkEnd w:id="221"/>
    </w:p>
    <w:p w:rsidR="003870F3" w:rsidRDefault="003870F3">
      <w:pPr>
        <w:spacing w:line="360" w:lineRule="auto"/>
        <w:ind w:firstLineChars="200" w:firstLine="420"/>
        <w:divId w:val="1212377395"/>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3870F3" w:rsidRDefault="003870F3">
      <w:pPr>
        <w:pStyle w:val="XBRLTitle2"/>
        <w:spacing w:before="156" w:line="360" w:lineRule="auto"/>
        <w:ind w:left="454"/>
      </w:pPr>
      <w:bookmarkStart w:id="222" w:name="_Toc17899983"/>
      <w:bookmarkStart w:id="223" w:name="_Toc512519510"/>
      <w:bookmarkStart w:id="224" w:name="_Toc481075078"/>
      <w:bookmarkStart w:id="225" w:name="_Toc490050031"/>
      <w:bookmarkStart w:id="226" w:name="_Toc513295868"/>
      <w:bookmarkStart w:id="227" w:name="_Toc513295922"/>
      <w:bookmarkStart w:id="228" w:name="_Toc438646476"/>
      <w:r>
        <w:rPr>
          <w:rFonts w:hAnsi="宋体" w:hint="eastAsia"/>
        </w:rPr>
        <w:t>报告期末本基金投资的国债期货交易情况说</w:t>
      </w:r>
      <w:r>
        <w:rPr>
          <w:rFonts w:hAnsi="宋体" w:hint="eastAsia"/>
        </w:rPr>
        <w:t>明</w:t>
      </w:r>
      <w:bookmarkEnd w:id="222"/>
      <w:bookmarkEnd w:id="223"/>
      <w:bookmarkEnd w:id="224"/>
      <w:bookmarkEnd w:id="225"/>
      <w:bookmarkEnd w:id="226"/>
      <w:bookmarkEnd w:id="227"/>
      <w:r>
        <w:rPr>
          <w:rFonts w:hAnsi="宋体" w:hint="eastAsia"/>
        </w:rPr>
        <w:t xml:space="preserve"> </w:t>
      </w:r>
      <w:bookmarkEnd w:id="228"/>
    </w:p>
    <w:p w:rsidR="003870F3" w:rsidRDefault="003870F3">
      <w:pPr>
        <w:spacing w:line="360" w:lineRule="auto"/>
        <w:ind w:firstLineChars="200" w:firstLine="420"/>
        <w:divId w:val="2006081106"/>
        <w:rPr>
          <w:rFonts w:hint="eastAsia"/>
        </w:rPr>
      </w:pPr>
      <w:bookmarkStart w:id="229" w:name="m510_01_1597"/>
      <w:bookmarkStart w:id="230" w:name="m510_01_1598"/>
      <w:bookmarkEnd w:id="229"/>
      <w:r>
        <w:rPr>
          <w:rFonts w:ascii="宋体" w:hAnsi="宋体" w:hint="eastAsia"/>
          <w:szCs w:val="21"/>
          <w:lang w:eastAsia="zh-Hans"/>
        </w:rPr>
        <w:t>本基金本报告期末未持有国债期货</w:t>
      </w:r>
      <w:r>
        <w:rPr>
          <w:rFonts w:ascii="宋体" w:hAnsi="宋体" w:hint="eastAsia"/>
          <w:szCs w:val="21"/>
          <w:lang w:eastAsia="zh-Hans"/>
        </w:rPr>
        <w:t>。</w:t>
      </w:r>
    </w:p>
    <w:p w:rsidR="003870F3" w:rsidRDefault="003870F3">
      <w:pPr>
        <w:pStyle w:val="XBRLTitle2"/>
        <w:spacing w:before="156" w:line="360" w:lineRule="auto"/>
        <w:ind w:left="454"/>
      </w:pPr>
      <w:bookmarkStart w:id="231" w:name="_Toc17899987"/>
      <w:bookmarkStart w:id="232" w:name="_Toc512519514"/>
      <w:bookmarkStart w:id="233" w:name="_Toc481075082"/>
      <w:bookmarkStart w:id="234" w:name="_Toc490050035"/>
      <w:bookmarkStart w:id="235" w:name="_Toc513295869"/>
      <w:bookmarkStart w:id="236" w:name="_Toc513295926"/>
      <w:r>
        <w:rPr>
          <w:rFonts w:hAnsi="宋体" w:hint="eastAsia"/>
        </w:rPr>
        <w:t>投资组合报告附</w:t>
      </w:r>
      <w:r>
        <w:rPr>
          <w:rFonts w:hAnsi="宋体" w:hint="eastAsia"/>
        </w:rPr>
        <w:t>注</w:t>
      </w:r>
      <w:bookmarkEnd w:id="231"/>
      <w:bookmarkEnd w:id="232"/>
      <w:bookmarkEnd w:id="233"/>
      <w:bookmarkEnd w:id="234"/>
      <w:bookmarkEnd w:id="235"/>
      <w:bookmarkEnd w:id="236"/>
      <w:r>
        <w:rPr>
          <w:rFonts w:hAnsi="宋体" w:hint="eastAsia"/>
        </w:rPr>
        <w:t xml:space="preserve"> </w:t>
      </w:r>
    </w:p>
    <w:p w:rsidR="003870F3" w:rsidRDefault="003870F3">
      <w:pPr>
        <w:pStyle w:val="XBRLTitle3"/>
        <w:spacing w:before="156"/>
        <w:ind w:left="0"/>
        <w:rPr>
          <w:rFonts w:hint="eastAsia"/>
        </w:rPr>
      </w:pPr>
      <w:bookmarkStart w:id="237" w:name="_Toc513295927"/>
      <w:bookmarkStart w:id="238" w:name="_Toc490050036"/>
      <w:bookmarkStart w:id="239" w:name="_Toc481075083"/>
      <w:bookmarkStart w:id="240" w:name="_Toc512519515"/>
      <w:bookmarkStart w:id="241" w:name="_Toc17899988"/>
      <w:bookmarkEnd w:id="237"/>
      <w:bookmarkEnd w:id="238"/>
      <w:bookmarkEnd w:id="239"/>
      <w:bookmarkEnd w:id="240"/>
      <w:r>
        <w:rPr>
          <w:rFonts w:hint="eastAsia"/>
        </w:rPr>
        <w:t> </w:t>
      </w:r>
      <w:bookmarkEnd w:id="241"/>
    </w:p>
    <w:p w:rsidR="003870F3" w:rsidRDefault="003870F3">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3870F3" w:rsidRDefault="003870F3">
      <w:pPr>
        <w:pStyle w:val="XBRLTitle3"/>
        <w:spacing w:before="156"/>
        <w:ind w:left="0"/>
      </w:pPr>
      <w:bookmarkStart w:id="242" w:name="_Toc490050037"/>
      <w:bookmarkStart w:id="243" w:name="_Toc481075084"/>
      <w:bookmarkStart w:id="244" w:name="_Toc512519516"/>
      <w:bookmarkStart w:id="245" w:name="_Toc513295928"/>
      <w:bookmarkStart w:id="246" w:name="_Toc17899989"/>
      <w:bookmarkEnd w:id="242"/>
      <w:bookmarkEnd w:id="243"/>
      <w:bookmarkEnd w:id="244"/>
      <w:r>
        <w:rPr>
          <w:rFonts w:hint="eastAsia"/>
        </w:rPr>
        <w:t> </w:t>
      </w:r>
      <w:bookmarkEnd w:id="245"/>
      <w:bookmarkEnd w:id="246"/>
    </w:p>
    <w:p w:rsidR="003870F3" w:rsidRDefault="003870F3">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3870F3" w:rsidRDefault="003870F3">
      <w:pPr>
        <w:pStyle w:val="XBRLTitle3"/>
        <w:spacing w:before="156"/>
        <w:ind w:left="0"/>
      </w:pPr>
      <w:bookmarkStart w:id="247" w:name="_Toc17899990"/>
      <w:bookmarkStart w:id="248" w:name="_Toc481075085"/>
      <w:bookmarkStart w:id="249" w:name="_Toc490050038"/>
      <w:bookmarkStart w:id="250" w:name="_Toc512519517"/>
      <w:bookmarkStart w:id="251" w:name="_Toc513295929"/>
      <w:bookmarkStart w:id="252" w:name="m510_02"/>
      <w:bookmarkEnd w:id="230"/>
      <w:r>
        <w:rPr>
          <w:rFonts w:hint="eastAsia"/>
        </w:rPr>
        <w:t>其他资产构</w:t>
      </w:r>
      <w:r>
        <w:rPr>
          <w:rFonts w:hint="eastAsia"/>
        </w:rPr>
        <w:t>成</w:t>
      </w:r>
      <w:bookmarkEnd w:id="247"/>
      <w:bookmarkEnd w:id="248"/>
      <w:bookmarkEnd w:id="249"/>
      <w:bookmarkEnd w:id="250"/>
      <w:bookmarkEnd w:id="2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58132668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870F3" w:rsidRDefault="003870F3">
            <w:pPr>
              <w:jc w:val="center"/>
            </w:pPr>
            <w:r>
              <w:rPr>
                <w:rFonts w:ascii="宋体" w:hAnsi="宋体" w:hint="eastAsia"/>
              </w:rPr>
              <w:t>金额（元</w:t>
            </w:r>
            <w:r>
              <w:rPr>
                <w:rFonts w:ascii="宋体" w:hAnsi="宋体" w:hint="eastAsia"/>
              </w:rPr>
              <w:t>）</w:t>
            </w:r>
            <w:r>
              <w:t xml:space="preserve"> </w:t>
            </w:r>
          </w:p>
        </w:tc>
      </w:tr>
      <w:tr w:rsidR="00000000">
        <w:trPr>
          <w:divId w:val="15813266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rPr>
              <w:t>47,518.2</w:t>
            </w:r>
            <w:r>
              <w:rPr>
                <w:rFonts w:ascii="宋体" w:hAnsi="宋体" w:hint="eastAsia"/>
              </w:rPr>
              <w:t>3</w:t>
            </w:r>
          </w:p>
        </w:tc>
      </w:tr>
      <w:tr w:rsidR="00000000">
        <w:trPr>
          <w:divId w:val="15813266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rPr>
              <w:t>-</w:t>
            </w:r>
          </w:p>
        </w:tc>
      </w:tr>
      <w:tr w:rsidR="00000000">
        <w:trPr>
          <w:divId w:val="15813266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rPr>
              <w:t>0.0</w:t>
            </w:r>
            <w:r>
              <w:rPr>
                <w:rFonts w:ascii="宋体" w:hAnsi="宋体" w:hint="eastAsia"/>
              </w:rPr>
              <w:t>1</w:t>
            </w:r>
          </w:p>
        </w:tc>
      </w:tr>
      <w:tr w:rsidR="00000000">
        <w:trPr>
          <w:divId w:val="15813266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rPr>
              <w:t>-</w:t>
            </w:r>
          </w:p>
        </w:tc>
      </w:tr>
      <w:tr w:rsidR="00000000">
        <w:trPr>
          <w:divId w:val="15813266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rPr>
              <w:t>197,256.7</w:t>
            </w:r>
            <w:r>
              <w:rPr>
                <w:rFonts w:ascii="宋体" w:hAnsi="宋体" w:hint="eastAsia"/>
              </w:rPr>
              <w:t>0</w:t>
            </w:r>
          </w:p>
        </w:tc>
      </w:tr>
      <w:tr w:rsidR="00000000">
        <w:trPr>
          <w:divId w:val="15813266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rPr>
              <w:t>-</w:t>
            </w:r>
          </w:p>
        </w:tc>
      </w:tr>
      <w:tr w:rsidR="00000000">
        <w:trPr>
          <w:divId w:val="15813266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rPr>
              <w:t>-</w:t>
            </w:r>
          </w:p>
        </w:tc>
      </w:tr>
      <w:tr w:rsidR="00000000">
        <w:trPr>
          <w:divId w:val="15813266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870F3" w:rsidRDefault="003870F3">
            <w:pPr>
              <w:jc w:val="right"/>
            </w:pPr>
            <w:r>
              <w:rPr>
                <w:rFonts w:ascii="宋体" w:hAnsi="宋体" w:hint="eastAsia"/>
              </w:rPr>
              <w:t>244,774.9</w:t>
            </w:r>
            <w:r>
              <w:rPr>
                <w:rFonts w:ascii="宋体" w:hAnsi="宋体" w:hint="eastAsia"/>
              </w:rPr>
              <w:t>4</w:t>
            </w:r>
          </w:p>
        </w:tc>
      </w:tr>
    </w:tbl>
    <w:p w:rsidR="003870F3" w:rsidRDefault="003870F3">
      <w:pPr>
        <w:pStyle w:val="XBRLTitle3"/>
        <w:spacing w:before="156"/>
        <w:ind w:left="0"/>
      </w:pPr>
      <w:bookmarkStart w:id="253" w:name="_Toc17899991"/>
      <w:bookmarkStart w:id="254" w:name="_Toc481075086"/>
      <w:bookmarkStart w:id="255" w:name="_Toc490050039"/>
      <w:bookmarkStart w:id="256" w:name="_Toc512519518"/>
      <w:bookmarkStart w:id="257" w:name="_Toc513295930"/>
      <w:bookmarkStart w:id="258" w:name="m510_03"/>
      <w:bookmarkEnd w:id="252"/>
      <w:r>
        <w:rPr>
          <w:rFonts w:hint="eastAsia"/>
        </w:rPr>
        <w:t>报告期末持有的处于转股期的可转换债券明</w:t>
      </w:r>
      <w:r>
        <w:rPr>
          <w:rFonts w:hint="eastAsia"/>
        </w:rPr>
        <w:t>细</w:t>
      </w:r>
      <w:bookmarkEnd w:id="253"/>
      <w:bookmarkEnd w:id="254"/>
      <w:bookmarkEnd w:id="255"/>
      <w:bookmarkEnd w:id="256"/>
      <w:bookmarkEnd w:id="257"/>
    </w:p>
    <w:p w:rsidR="003870F3" w:rsidRDefault="003870F3">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3870F3" w:rsidRDefault="003870F3">
      <w:pPr>
        <w:pStyle w:val="XBRLTitle3"/>
        <w:spacing w:before="156"/>
        <w:ind w:left="0"/>
      </w:pPr>
      <w:bookmarkStart w:id="259" w:name="_Toc17899992"/>
      <w:bookmarkStart w:id="260" w:name="_Toc481075087"/>
      <w:bookmarkStart w:id="261" w:name="_Toc490050040"/>
      <w:bookmarkStart w:id="262" w:name="_Toc512519519"/>
      <w:bookmarkStart w:id="263" w:name="_Toc513295931"/>
      <w:bookmarkStart w:id="264" w:name="m510_04"/>
      <w:bookmarkEnd w:id="258"/>
      <w:r>
        <w:rPr>
          <w:rFonts w:hint="eastAsia"/>
        </w:rPr>
        <w:t>报告期末前十名股票中存在流通受限情况的说</w:t>
      </w:r>
      <w:r>
        <w:rPr>
          <w:rFonts w:hint="eastAsia"/>
        </w:rPr>
        <w:t>明</w:t>
      </w:r>
      <w:bookmarkEnd w:id="259"/>
      <w:bookmarkEnd w:id="260"/>
      <w:bookmarkEnd w:id="261"/>
      <w:bookmarkEnd w:id="262"/>
      <w:bookmarkEnd w:id="263"/>
    </w:p>
    <w:p w:rsidR="003870F3" w:rsidRDefault="003870F3">
      <w:pPr>
        <w:spacing w:line="360" w:lineRule="auto"/>
        <w:ind w:firstLineChars="200" w:firstLine="420"/>
        <w:jc w:val="left"/>
        <w:divId w:val="833691474"/>
        <w:rPr>
          <w:rFonts w:hint="eastAsia"/>
        </w:rPr>
      </w:pPr>
      <w:r>
        <w:rPr>
          <w:rFonts w:ascii="宋体" w:hAnsi="宋体" w:hint="eastAsia"/>
        </w:rPr>
        <w:t>本基金本报告期末前十名股票中不存在流通受限情况</w:t>
      </w:r>
      <w:r>
        <w:rPr>
          <w:rFonts w:ascii="宋体" w:hAnsi="宋体" w:hint="eastAsia"/>
        </w:rPr>
        <w:t>。</w:t>
      </w:r>
      <w:bookmarkEnd w:id="17"/>
    </w:p>
    <w:p w:rsidR="003870F3" w:rsidRDefault="003870F3">
      <w:pPr>
        <w:pStyle w:val="XBRLTitle3"/>
        <w:spacing w:before="156"/>
        <w:ind w:left="0"/>
      </w:pPr>
      <w:bookmarkStart w:id="265" w:name="_Toc17899993"/>
      <w:bookmarkStart w:id="266" w:name="_Toc512519520"/>
      <w:bookmarkStart w:id="267" w:name="_Toc481075088"/>
      <w:bookmarkStart w:id="268" w:name="_Toc490050041"/>
      <w:bookmarkStart w:id="269" w:name="_Toc513295932"/>
      <w:bookmarkStart w:id="270" w:name="m510_05_1678"/>
      <w:bookmarkEnd w:id="264"/>
      <w:r>
        <w:rPr>
          <w:rFonts w:hint="eastAsia"/>
        </w:rPr>
        <w:t>投资组合报告附注的其他文字描述部</w:t>
      </w:r>
      <w:r>
        <w:rPr>
          <w:rFonts w:hint="eastAsia"/>
        </w:rPr>
        <w:t>分</w:t>
      </w:r>
      <w:bookmarkEnd w:id="265"/>
      <w:bookmarkEnd w:id="266"/>
      <w:bookmarkEnd w:id="267"/>
      <w:bookmarkEnd w:id="268"/>
      <w:bookmarkEnd w:id="269"/>
      <w:r>
        <w:rPr>
          <w:rFonts w:hint="eastAsia"/>
          <w:sz w:val="21"/>
        </w:rPr>
        <w:t xml:space="preserve"> </w:t>
      </w:r>
    </w:p>
    <w:p w:rsidR="003870F3" w:rsidRDefault="003870F3">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3870F3" w:rsidRDefault="003870F3">
      <w:pPr>
        <w:pStyle w:val="XBRLTitle1"/>
        <w:spacing w:before="156" w:line="360" w:lineRule="auto"/>
        <w:ind w:left="425"/>
      </w:pPr>
      <w:bookmarkStart w:id="271" w:name="_Toc17899994"/>
      <w:r>
        <w:rPr>
          <w:rFonts w:hint="eastAsia"/>
        </w:rPr>
        <w:t>基金中基</w:t>
      </w:r>
      <w:r>
        <w:rPr>
          <w:rFonts w:hint="eastAsia"/>
        </w:rPr>
        <w:t>金</w:t>
      </w:r>
      <w:bookmarkEnd w:id="271"/>
      <w:r>
        <w:rPr>
          <w:rFonts w:hint="eastAsia"/>
          <w:lang w:eastAsia="zh-CN"/>
        </w:rPr>
        <w:t xml:space="preserve"> </w:t>
      </w:r>
    </w:p>
    <w:p w:rsidR="003870F3" w:rsidRDefault="003870F3">
      <w:pPr>
        <w:pStyle w:val="XBRLTitle2"/>
        <w:spacing w:before="156"/>
        <w:ind w:left="454"/>
        <w:rPr>
          <w:rFonts w:hint="eastAsia"/>
        </w:rPr>
      </w:pPr>
      <w:bookmarkStart w:id="272" w:name="_Toc502858550"/>
      <w:bookmarkStart w:id="273" w:name="_Toc17899995"/>
      <w:bookmarkStart w:id="274" w:name="_Toc514255300"/>
      <w:r>
        <w:rPr>
          <w:rFonts w:hint="eastAsia"/>
        </w:rPr>
        <w:t>报告期末按公允价值占基金资产净值比例大小排序的前十名基金投资明</w:t>
      </w:r>
      <w:r>
        <w:rPr>
          <w:rFonts w:hint="eastAsia"/>
        </w:rPr>
        <w:t>细</w:t>
      </w:r>
      <w:bookmarkEnd w:id="272"/>
      <w:bookmarkEnd w:id="273"/>
      <w:bookmarkEnd w:id="274"/>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1"/>
        <w:gridCol w:w="1080"/>
        <w:gridCol w:w="1080"/>
        <w:gridCol w:w="1123"/>
        <w:gridCol w:w="1354"/>
        <w:gridCol w:w="1377"/>
        <w:gridCol w:w="939"/>
        <w:gridCol w:w="871"/>
      </w:tblGrid>
      <w:tr w:rsidR="00000000">
        <w:trPr>
          <w:divId w:val="1089425721"/>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bookmarkStart w:id="275" w:name="OLE_LINK46"/>
            <w:bookmarkStart w:id="276" w:name="OLE_LINK45"/>
            <w:bookmarkStart w:id="277" w:name="OLE_LINK42"/>
            <w:bookmarkStart w:id="278" w:name="OLE_LINK41"/>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rPr>
              <w:t>基金代码</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rPr>
              <w:t>持有份额（份）</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rPr>
              <w:t>%</w:t>
            </w:r>
            <w:r>
              <w:rPr>
                <w:rFonts w:hint="eastAsia"/>
                <w:kern w:val="2"/>
                <w:sz w:val="21"/>
              </w:rPr>
              <w:t>）</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rPr>
              <w:t>是否属于基金管理人及管理人关联方所管理的基金</w:t>
            </w:r>
            <w:r>
              <w:rPr>
                <w:rFonts w:hint="eastAsia"/>
                <w:kern w:val="2"/>
                <w:sz w:val="21"/>
                <w:lang w:eastAsia="zh-Hans"/>
              </w:rPr>
              <w:t xml:space="preserve"> </w:t>
            </w:r>
          </w:p>
        </w:tc>
      </w:tr>
      <w:tr w:rsidR="00000000">
        <w:trPr>
          <w:divId w:val="108942572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15981</w:t>
            </w: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0-4</w:t>
            </w:r>
            <w:r>
              <w:rPr>
                <w:rFonts w:hint="eastAsia"/>
                <w:kern w:val="2"/>
                <w:sz w:val="21"/>
                <w:lang w:eastAsia="zh-Hans"/>
              </w:rPr>
              <w:t>地</w:t>
            </w:r>
            <w:r>
              <w:rPr>
                <w:rFonts w:hint="eastAsia"/>
                <w:kern w:val="2"/>
                <w:sz w:val="21"/>
                <w:lang w:eastAsia="zh-Hans"/>
              </w:rPr>
              <w:t>债</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98,900.0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11,243,842.1</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7.8</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否</w:t>
            </w:r>
          </w:p>
        </w:tc>
      </w:tr>
      <w:tr w:rsidR="00000000">
        <w:trPr>
          <w:divId w:val="108942572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58820</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嘉实上证科创板芯片</w:t>
            </w:r>
            <w:r>
              <w:rPr>
                <w:rFonts w:hint="eastAsia"/>
                <w:kern w:val="2"/>
                <w:sz w:val="21"/>
                <w:lang w:eastAsia="zh-Hans"/>
              </w:rPr>
              <w:t>ET</w:t>
            </w:r>
            <w:r>
              <w:rPr>
                <w:rFonts w:hint="eastAsia"/>
                <w:kern w:val="2"/>
                <w:sz w:val="21"/>
                <w:lang w:eastAsia="zh-Hans"/>
              </w:rPr>
              <w: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2,262,000.0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11,165,232.0</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7.7</w:t>
            </w:r>
            <w:r>
              <w:rPr>
                <w:rFonts w:hint="eastAsia"/>
                <w:kern w:val="2"/>
                <w:sz w:val="21"/>
                <w:lang w:eastAsia="zh-Hans"/>
              </w:rPr>
              <w:t>5</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否</w:t>
            </w:r>
          </w:p>
        </w:tc>
      </w:tr>
      <w:tr w:rsidR="00000000">
        <w:trPr>
          <w:divId w:val="108942572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r>
              <w:rPr>
                <w:rFonts w:hint="eastAsia"/>
                <w:kern w:val="2"/>
                <w:sz w:val="21"/>
                <w:lang w:eastAsia="zh-Hans"/>
              </w:rPr>
              <w:t>3</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37724</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摩根新兴动力混合</w:t>
            </w:r>
            <w:r>
              <w:rPr>
                <w:rFonts w:hint="eastAsia"/>
                <w:kern w:val="2"/>
                <w:sz w:val="21"/>
                <w:lang w:eastAsia="zh-Hans"/>
              </w:rPr>
              <w:t>A</w:t>
            </w:r>
            <w:r>
              <w:rPr>
                <w:rFonts w:hint="eastAsia"/>
                <w:kern w:val="2"/>
                <w:sz w:val="21"/>
                <w:lang w:eastAsia="zh-Hans"/>
              </w:rPr>
              <w:t>类</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816,814.5</w:t>
            </w:r>
            <w:r>
              <w:rPr>
                <w:rFonts w:hint="eastAsia"/>
                <w:kern w:val="2"/>
                <w:sz w:val="21"/>
                <w:lang w:eastAsia="zh-Hans"/>
              </w:rPr>
              <w:t>4</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11,131,956.9</w:t>
            </w:r>
            <w:r>
              <w:rPr>
                <w:rFonts w:hint="eastAsia"/>
                <w:kern w:val="2"/>
                <w:sz w:val="21"/>
                <w:lang w:eastAsia="zh-Hans"/>
              </w:rPr>
              <w:t>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7.7</w:t>
            </w:r>
            <w:r>
              <w:rPr>
                <w:rFonts w:hint="eastAsia"/>
                <w:kern w:val="2"/>
                <w:sz w:val="21"/>
                <w:lang w:eastAsia="zh-Hans"/>
              </w:rPr>
              <w:t>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是</w:t>
            </w:r>
          </w:p>
        </w:tc>
      </w:tr>
      <w:tr w:rsidR="00000000">
        <w:trPr>
          <w:divId w:val="108942572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r>
              <w:rPr>
                <w:rFonts w:hint="eastAsia"/>
                <w:kern w:val="2"/>
                <w:sz w:val="21"/>
                <w:lang w:eastAsia="zh-Hans"/>
              </w:rPr>
              <w:t>4</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15965</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国开</w:t>
            </w:r>
            <w:r>
              <w:rPr>
                <w:rFonts w:hint="eastAsia"/>
                <w:kern w:val="2"/>
                <w:sz w:val="21"/>
                <w:lang w:eastAsia="zh-Hans"/>
              </w:rPr>
              <w:t>ET</w:t>
            </w:r>
            <w:r>
              <w:rPr>
                <w:rFonts w:hint="eastAsia"/>
                <w:kern w:val="2"/>
                <w:sz w:val="21"/>
                <w:lang w:eastAsia="zh-Hans"/>
              </w:rPr>
              <w: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89,500.0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9,648,368.5</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6.7</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否</w:t>
            </w:r>
          </w:p>
        </w:tc>
      </w:tr>
      <w:tr w:rsidR="00000000">
        <w:trPr>
          <w:divId w:val="108942572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r>
              <w:rPr>
                <w:rFonts w:hint="eastAsia"/>
                <w:kern w:val="2"/>
                <w:sz w:val="21"/>
                <w:lang w:eastAsia="zh-Hans"/>
              </w:rPr>
              <w:t>5</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02127</w:t>
            </w:r>
            <w:r>
              <w:rPr>
                <w:rFonts w:hint="eastAsia"/>
                <w:kern w:val="2"/>
                <w:sz w:val="21"/>
                <w:lang w:eastAsia="zh-Hans"/>
              </w:rPr>
              <w:t>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广发全球精选股票</w:t>
            </w:r>
            <w:r>
              <w:rPr>
                <w:rFonts w:hint="eastAsia"/>
                <w:kern w:val="2"/>
                <w:sz w:val="21"/>
                <w:lang w:eastAsia="zh-Hans"/>
              </w:rPr>
              <w:t>(QDII)</w:t>
            </w:r>
            <w:r>
              <w:rPr>
                <w:rFonts w:hint="eastAsia"/>
                <w:kern w:val="2"/>
                <w:sz w:val="21"/>
                <w:lang w:eastAsia="zh-Hans"/>
              </w:rPr>
              <w:t>人民币</w:t>
            </w:r>
            <w:r>
              <w:rPr>
                <w:rFonts w:hint="eastAsia"/>
                <w:kern w:val="2"/>
                <w:sz w:val="21"/>
                <w:lang w:eastAsia="zh-Hans"/>
              </w:rPr>
              <w:t>C</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1,008,538.8</w:t>
            </w:r>
            <w:r>
              <w:rPr>
                <w:rFonts w:hint="eastAsia"/>
                <w:kern w:val="2"/>
                <w:sz w:val="21"/>
                <w:lang w:eastAsia="zh-Hans"/>
              </w:rPr>
              <w:t>6</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7,501,209.4</w:t>
            </w:r>
            <w:r>
              <w:rPr>
                <w:rFonts w:hint="eastAsia"/>
                <w:kern w:val="2"/>
                <w:sz w:val="21"/>
                <w:lang w:eastAsia="zh-Hans"/>
              </w:rPr>
              <w:t>8</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5.2</w:t>
            </w:r>
            <w:r>
              <w:rPr>
                <w:rFonts w:hint="eastAsia"/>
                <w:kern w:val="2"/>
                <w:sz w:val="21"/>
                <w:lang w:eastAsia="zh-Hans"/>
              </w:rPr>
              <w:t>1</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否</w:t>
            </w:r>
          </w:p>
        </w:tc>
      </w:tr>
      <w:tr w:rsidR="00000000">
        <w:trPr>
          <w:divId w:val="108942572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51111</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易方达上证基准做市公司债</w:t>
            </w:r>
            <w:r>
              <w:rPr>
                <w:rFonts w:hint="eastAsia"/>
                <w:kern w:val="2"/>
                <w:sz w:val="21"/>
                <w:lang w:eastAsia="zh-Hans"/>
              </w:rPr>
              <w:t>ET</w:t>
            </w:r>
            <w:r>
              <w:rPr>
                <w:rFonts w:hint="eastAsia"/>
                <w:kern w:val="2"/>
                <w:sz w:val="21"/>
                <w:lang w:eastAsia="zh-Hans"/>
              </w:rPr>
              <w: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71,900.0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7,392,326.6</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5.1</w:t>
            </w:r>
            <w:r>
              <w:rPr>
                <w:rFonts w:hint="eastAsia"/>
                <w:kern w:val="2"/>
                <w:sz w:val="21"/>
                <w:lang w:eastAsia="zh-Hans"/>
              </w:rPr>
              <w:t>3</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否</w:t>
            </w:r>
          </w:p>
        </w:tc>
      </w:tr>
      <w:tr w:rsidR="00000000">
        <w:trPr>
          <w:divId w:val="108942572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r>
              <w:rPr>
                <w:rFonts w:hint="eastAsia"/>
                <w:kern w:val="2"/>
                <w:sz w:val="21"/>
                <w:lang w:eastAsia="zh-Hans"/>
              </w:rPr>
              <w:t>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15964</w:t>
            </w:r>
            <w:r>
              <w:rPr>
                <w:rFonts w:hint="eastAsia"/>
                <w:kern w:val="2"/>
                <w:sz w:val="21"/>
                <w:lang w:eastAsia="zh-Hans"/>
              </w:rPr>
              <w:t>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国开</w:t>
            </w:r>
            <w:r>
              <w:rPr>
                <w:rFonts w:hint="eastAsia"/>
                <w:kern w:val="2"/>
                <w:sz w:val="21"/>
                <w:lang w:eastAsia="zh-Hans"/>
              </w:rPr>
              <w:t>债</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66,300.0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7,305,331.8</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5.0</w:t>
            </w:r>
            <w:r>
              <w:rPr>
                <w:rFonts w:hint="eastAsia"/>
                <w:kern w:val="2"/>
                <w:sz w:val="21"/>
                <w:lang w:eastAsia="zh-Hans"/>
              </w:rPr>
              <w:t>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否</w:t>
            </w:r>
          </w:p>
        </w:tc>
      </w:tr>
      <w:tr w:rsidR="00000000">
        <w:trPr>
          <w:divId w:val="108942572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r>
              <w:rPr>
                <w:rFonts w:hint="eastAsia"/>
                <w:kern w:val="2"/>
                <w:sz w:val="21"/>
                <w:lang w:eastAsia="zh-Hans"/>
              </w:rPr>
              <w:t>8</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51103</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平安中高等级公司债利差因子</w:t>
            </w:r>
            <w:r>
              <w:rPr>
                <w:rFonts w:hint="eastAsia"/>
                <w:kern w:val="2"/>
                <w:sz w:val="21"/>
                <w:lang w:eastAsia="zh-Hans"/>
              </w:rPr>
              <w:t>ET</w:t>
            </w:r>
            <w:r>
              <w:rPr>
                <w:rFonts w:hint="eastAsia"/>
                <w:kern w:val="2"/>
                <w:sz w:val="21"/>
                <w:lang w:eastAsia="zh-Hans"/>
              </w:rPr>
              <w: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67,500.0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7,293,982.5</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5.0</w:t>
            </w:r>
            <w:r>
              <w:rPr>
                <w:rFonts w:hint="eastAsia"/>
                <w:kern w:val="2"/>
                <w:sz w:val="21"/>
                <w:lang w:eastAsia="zh-Hans"/>
              </w:rPr>
              <w:t>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否</w:t>
            </w:r>
          </w:p>
        </w:tc>
      </w:tr>
      <w:tr w:rsidR="00000000">
        <w:trPr>
          <w:divId w:val="108942572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r>
              <w:rPr>
                <w:rFonts w:hint="eastAsia"/>
                <w:kern w:val="2"/>
                <w:sz w:val="21"/>
                <w:lang w:eastAsia="zh-Hans"/>
              </w:rPr>
              <w:t>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51122</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海富通上证城投债</w:t>
            </w:r>
            <w:r>
              <w:rPr>
                <w:rFonts w:hint="eastAsia"/>
                <w:kern w:val="2"/>
                <w:sz w:val="21"/>
                <w:lang w:eastAsia="zh-Hans"/>
              </w:rPr>
              <w:t>ET</w:t>
            </w:r>
            <w:r>
              <w:rPr>
                <w:rFonts w:hint="eastAsia"/>
                <w:kern w:val="2"/>
                <w:sz w:val="21"/>
                <w:lang w:eastAsia="zh-Hans"/>
              </w:rPr>
              <w: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692,000.0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7,179,500.0</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4.9</w:t>
            </w:r>
            <w:r>
              <w:rPr>
                <w:rFonts w:hint="eastAsia"/>
                <w:kern w:val="2"/>
                <w:sz w:val="21"/>
                <w:lang w:eastAsia="zh-Hans"/>
              </w:rPr>
              <w:t>8</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否</w:t>
            </w:r>
          </w:p>
        </w:tc>
      </w:tr>
      <w:tr w:rsidR="00000000">
        <w:trPr>
          <w:divId w:val="108942572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ind w:firstLineChars="50" w:firstLine="105"/>
              <w:jc w:val="center"/>
              <w:rPr>
                <w:rFonts w:hint="eastAsia"/>
              </w:rPr>
            </w:pPr>
            <w:r>
              <w:rPr>
                <w:rFonts w:hint="eastAsia"/>
                <w:kern w:val="2"/>
                <w:sz w:val="21"/>
                <w:lang w:eastAsia="zh-Hans"/>
              </w:rPr>
              <w:t>1</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51106</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海富通上证</w:t>
            </w:r>
            <w:r>
              <w:rPr>
                <w:rFonts w:hint="eastAsia"/>
                <w:kern w:val="2"/>
                <w:sz w:val="21"/>
                <w:lang w:eastAsia="zh-Hans"/>
              </w:rPr>
              <w:t>5</w:t>
            </w:r>
            <w:r>
              <w:rPr>
                <w:rFonts w:hint="eastAsia"/>
                <w:kern w:val="2"/>
                <w:sz w:val="21"/>
                <w:lang w:eastAsia="zh-Hans"/>
              </w:rPr>
              <w:t>年期地方政府债</w:t>
            </w:r>
            <w:r>
              <w:rPr>
                <w:rFonts w:hint="eastAsia"/>
                <w:kern w:val="2"/>
                <w:sz w:val="21"/>
                <w:lang w:eastAsia="zh-Hans"/>
              </w:rPr>
              <w:t>ET</w:t>
            </w:r>
            <w:r>
              <w:rPr>
                <w:rFonts w:hint="eastAsia"/>
                <w:kern w:val="2"/>
                <w:sz w:val="21"/>
                <w:lang w:eastAsia="zh-Hans"/>
              </w:rPr>
              <w: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66,400.0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7,177,640.8</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4.9</w:t>
            </w:r>
            <w:r>
              <w:rPr>
                <w:rFonts w:hint="eastAsia"/>
                <w:kern w:val="2"/>
                <w:sz w:val="21"/>
                <w:lang w:eastAsia="zh-Hans"/>
              </w:rPr>
              <w:t>8</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pStyle w:val="a5"/>
              <w:spacing w:before="0" w:beforeAutospacing="0" w:after="0" w:afterAutospacing="0"/>
              <w:jc w:val="right"/>
              <w:rPr>
                <w:rFonts w:hint="eastAsia"/>
              </w:rPr>
            </w:pPr>
            <w:r>
              <w:rPr>
                <w:rFonts w:hint="eastAsia"/>
                <w:kern w:val="2"/>
                <w:sz w:val="21"/>
                <w:lang w:eastAsia="zh-Hans"/>
              </w:rPr>
              <w:t>否</w:t>
            </w:r>
            <w:bookmarkEnd w:id="175"/>
            <w:bookmarkEnd w:id="275"/>
            <w:bookmarkEnd w:id="276"/>
            <w:bookmarkEnd w:id="277"/>
            <w:bookmarkEnd w:id="278"/>
          </w:p>
        </w:tc>
      </w:tr>
    </w:tbl>
    <w:p w:rsidR="003870F3" w:rsidRDefault="003870F3">
      <w:pPr>
        <w:pStyle w:val="XBRLTitle3"/>
        <w:spacing w:before="156"/>
        <w:ind w:left="0"/>
        <w:rPr>
          <w:rFonts w:hint="eastAsia"/>
        </w:rPr>
      </w:pPr>
      <w:bookmarkStart w:id="279" w:name="_Toc178112372"/>
      <w:r>
        <w:rPr>
          <w:rFonts w:hint="eastAsia"/>
        </w:rPr>
        <w:t>报告期末按公允价值占基金资产净值比例大小排序的前十名公开募集不动产投资信托基金投资明</w:t>
      </w:r>
      <w:r>
        <w:rPr>
          <w:rFonts w:hint="eastAsia"/>
        </w:rPr>
        <w:t>细</w:t>
      </w:r>
      <w:bookmarkEnd w:id="157"/>
      <w:bookmarkEnd w:id="158"/>
      <w:bookmarkEnd w:id="159"/>
      <w:bookmarkEnd w:id="160"/>
      <w:bookmarkEnd w:id="279"/>
      <w:r>
        <w:rPr>
          <w:rFonts w:hint="eastAsia"/>
          <w:lang w:eastAsia="zh-CN"/>
        </w:rPr>
        <w:t xml:space="preserve"> </w:t>
      </w:r>
    </w:p>
    <w:p w:rsidR="003870F3" w:rsidRDefault="003870F3">
      <w:pPr>
        <w:spacing w:line="360" w:lineRule="auto"/>
        <w:ind w:firstLineChars="200" w:firstLine="420"/>
        <w:divId w:val="1931504280"/>
        <w:rPr>
          <w:rFonts w:ascii="宋体" w:hAnsi="宋体" w:hint="eastAsia"/>
          <w:szCs w:val="21"/>
          <w:lang w:eastAsia="zh-Hans"/>
        </w:rPr>
      </w:pPr>
      <w:r>
        <w:rPr>
          <w:rFonts w:ascii="宋体" w:hAnsi="宋体" w:hint="eastAsia"/>
          <w:szCs w:val="21"/>
          <w:lang w:eastAsia="zh-Hans"/>
        </w:rPr>
        <w:t>无。</w:t>
      </w:r>
    </w:p>
    <w:p w:rsidR="003870F3" w:rsidRDefault="003870F3">
      <w:pPr>
        <w:pStyle w:val="XBRLTitle3"/>
        <w:spacing w:before="156"/>
        <w:ind w:left="0"/>
        <w:rPr>
          <w:rFonts w:hint="eastAsia"/>
        </w:rPr>
      </w:pPr>
      <w:bookmarkStart w:id="280" w:name="_Toc178112373"/>
      <w:bookmarkEnd w:id="162"/>
      <w:r>
        <w:rPr>
          <w:rFonts w:hint="eastAsia"/>
        </w:rPr>
        <w:t>报告期末基金持有的全部公开募集不动产投资信托基金情</w:t>
      </w:r>
      <w:r>
        <w:rPr>
          <w:rFonts w:hint="eastAsia"/>
        </w:rPr>
        <w:t>况</w:t>
      </w:r>
      <w:bookmarkEnd w:id="163"/>
      <w:bookmarkEnd w:id="164"/>
      <w:bookmarkEnd w:id="165"/>
      <w:bookmarkEnd w:id="166"/>
      <w:bookmarkEnd w:id="280"/>
      <w:r>
        <w:rPr>
          <w:rFonts w:hint="eastAsia"/>
          <w:szCs w:val="24"/>
        </w:rPr>
        <w:t xml:space="preserve"> </w:t>
      </w:r>
      <w:bookmarkEnd w:id="15"/>
      <w:bookmarkEnd w:id="16"/>
      <w:bookmarkEnd w:id="18"/>
      <w:bookmarkEnd w:id="19"/>
      <w:bookmarkEnd w:id="20"/>
      <w:bookmarkEnd w:id="65"/>
      <w:bookmarkEnd w:id="66"/>
    </w:p>
    <w:p w:rsidR="003870F3" w:rsidRDefault="003870F3">
      <w:pPr>
        <w:spacing w:line="360" w:lineRule="auto"/>
        <w:ind w:firstLineChars="200" w:firstLine="420"/>
        <w:divId w:val="1962690850"/>
        <w:rPr>
          <w:rFonts w:ascii="宋体" w:hAnsi="宋体" w:hint="eastAsia"/>
          <w:szCs w:val="21"/>
          <w:lang w:eastAsia="zh-Hans"/>
        </w:rPr>
      </w:pPr>
      <w:r>
        <w:rPr>
          <w:rFonts w:ascii="宋体" w:hAnsi="宋体" w:hint="eastAsia"/>
          <w:szCs w:val="21"/>
          <w:lang w:eastAsia="zh-Hans"/>
        </w:rPr>
        <w:t>无。</w:t>
      </w:r>
    </w:p>
    <w:p w:rsidR="003870F3" w:rsidRDefault="003870F3">
      <w:pPr>
        <w:pStyle w:val="XBRLTitle2"/>
        <w:spacing w:before="156"/>
        <w:ind w:left="454"/>
        <w:rPr>
          <w:rFonts w:hint="eastAsia"/>
        </w:rPr>
      </w:pPr>
      <w:bookmarkStart w:id="281" w:name="_Toc502822090"/>
      <w:bookmarkStart w:id="282" w:name="_Toc17899996"/>
      <w:bookmarkStart w:id="283" w:name="_Toc514255301"/>
      <w:r>
        <w:rPr>
          <w:rFonts w:hint="eastAsia"/>
        </w:rPr>
        <w:t>当期交易及持有基金产生的费</w:t>
      </w:r>
      <w:r>
        <w:rPr>
          <w:rFonts w:hint="eastAsia"/>
        </w:rPr>
        <w:t>用</w:t>
      </w:r>
      <w:bookmarkEnd w:id="281"/>
      <w:bookmarkEnd w:id="282"/>
      <w:bookmarkEnd w:id="283"/>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6"/>
        <w:gridCol w:w="3170"/>
        <w:gridCol w:w="2719"/>
      </w:tblGrid>
      <w:tr w:rsidR="00000000">
        <w:trPr>
          <w:divId w:val="595211128"/>
        </w:trPr>
        <w:tc>
          <w:tcPr>
            <w:tcW w:w="16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rsidR="003870F3" w:rsidRDefault="003870F3">
            <w:pPr>
              <w:jc w:val="center"/>
              <w:rPr>
                <w:rFonts w:hint="eastAsia"/>
              </w:rPr>
            </w:pPr>
            <w:r>
              <w:rPr>
                <w:rFonts w:ascii="宋体" w:hAnsi="宋体" w:hint="eastAsia"/>
                <w:color w:val="000000"/>
              </w:rPr>
              <w:t>项目</w:t>
            </w:r>
            <w:r>
              <w:rPr>
                <w:rFonts w:ascii="宋体" w:hAnsi="宋体" w:hint="eastAsia"/>
                <w:color w:val="000000"/>
              </w:rPr>
              <w:t xml:space="preserve"> </w:t>
            </w:r>
          </w:p>
        </w:tc>
        <w:tc>
          <w:tcPr>
            <w:tcW w:w="179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rsidR="003870F3" w:rsidRDefault="003870F3">
            <w:pPr>
              <w:jc w:val="center"/>
            </w:pPr>
            <w:r>
              <w:rPr>
                <w:rFonts w:ascii="宋体" w:hAnsi="宋体" w:hint="eastAsia"/>
                <w:color w:val="000000"/>
              </w:rPr>
              <w:t>本期费</w:t>
            </w:r>
            <w:r>
              <w:rPr>
                <w:rFonts w:ascii="宋体" w:hAnsi="宋体" w:hint="eastAsia"/>
                <w:color w:val="000000"/>
              </w:rPr>
              <w:t>用</w:t>
            </w:r>
            <w:r>
              <w:rPr>
                <w:rFonts w:ascii="宋体" w:hAnsi="宋体" w:hint="eastAsia"/>
                <w:color w:val="000000"/>
              </w:rPr>
              <w:t>2026</w:t>
            </w:r>
            <w:r>
              <w:rPr>
                <w:rFonts w:ascii="宋体" w:hAnsi="宋体" w:hint="eastAsia"/>
                <w:color w:val="000000"/>
              </w:rPr>
              <w:t>年</w:t>
            </w:r>
            <w:r>
              <w:rPr>
                <w:rFonts w:ascii="宋体" w:hAnsi="宋体" w:hint="eastAsia"/>
                <w:color w:val="000000"/>
              </w:rPr>
              <w:t>4</w:t>
            </w:r>
            <w:r>
              <w:rPr>
                <w:rFonts w:ascii="宋体" w:hAnsi="宋体" w:hint="eastAsia"/>
                <w:color w:val="000000"/>
              </w:rPr>
              <w:t>月</w:t>
            </w:r>
            <w:r>
              <w:rPr>
                <w:rFonts w:ascii="宋体" w:hAnsi="宋体" w:hint="eastAsia"/>
                <w:color w:val="000000"/>
              </w:rPr>
              <w:t>1</w:t>
            </w:r>
            <w:r>
              <w:rPr>
                <w:rFonts w:ascii="宋体" w:hAnsi="宋体" w:hint="eastAsia"/>
                <w:color w:val="000000"/>
              </w:rPr>
              <w:t>日</w:t>
            </w:r>
            <w:r>
              <w:rPr>
                <w:rFonts w:ascii="宋体" w:hAnsi="宋体" w:hint="eastAsia"/>
                <w:color w:val="000000"/>
              </w:rPr>
              <w:t>至</w:t>
            </w:r>
            <w:r>
              <w:rPr>
                <w:rFonts w:ascii="宋体" w:hAnsi="宋体" w:hint="eastAsia"/>
                <w:color w:val="000000"/>
              </w:rPr>
              <w:t>2026</w:t>
            </w:r>
            <w:r>
              <w:rPr>
                <w:rFonts w:ascii="宋体" w:hAnsi="宋体" w:hint="eastAsia"/>
                <w:color w:val="000000"/>
              </w:rPr>
              <w:t>年</w:t>
            </w:r>
            <w:r>
              <w:rPr>
                <w:rFonts w:ascii="宋体" w:hAnsi="宋体" w:hint="eastAsia"/>
                <w:color w:val="000000"/>
              </w:rPr>
              <w:t>6</w:t>
            </w:r>
            <w:r>
              <w:rPr>
                <w:rFonts w:ascii="宋体" w:hAnsi="宋体" w:hint="eastAsia"/>
                <w:color w:val="000000"/>
              </w:rPr>
              <w:t>月</w:t>
            </w:r>
            <w:r>
              <w:rPr>
                <w:rFonts w:ascii="宋体" w:hAnsi="宋体" w:hint="eastAsia"/>
                <w:color w:val="000000"/>
              </w:rPr>
              <w:t>30</w:t>
            </w:r>
            <w:r>
              <w:rPr>
                <w:rFonts w:ascii="宋体" w:hAnsi="宋体" w:hint="eastAsia"/>
                <w:color w:val="000000"/>
              </w:rPr>
              <w:t>日</w:t>
            </w:r>
          </w:p>
        </w:tc>
        <w:tc>
          <w:tcPr>
            <w:tcW w:w="153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rsidR="003870F3" w:rsidRDefault="003870F3">
            <w:pPr>
              <w:jc w:val="center"/>
            </w:pPr>
            <w:r>
              <w:rPr>
                <w:rFonts w:ascii="宋体" w:hAnsi="宋体" w:hint="eastAsia"/>
                <w:color w:val="000000"/>
              </w:rPr>
              <w:t>其中：交易及持有基金管理人以及管理人关联方所管理基金产生的费用</w:t>
            </w:r>
            <w:r>
              <w:rPr>
                <w:rFonts w:ascii="宋体" w:hAnsi="宋体" w:hint="eastAsia"/>
                <w:color w:val="000000"/>
              </w:rPr>
              <w:t xml:space="preserve"> </w:t>
            </w:r>
          </w:p>
        </w:tc>
      </w:tr>
      <w:tr w:rsidR="00000000">
        <w:trPr>
          <w:divId w:val="59521112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left"/>
            </w:pPr>
            <w:r>
              <w:rPr>
                <w:rFonts w:ascii="宋体" w:hAnsi="宋体" w:hint="eastAsia"/>
                <w:szCs w:val="24"/>
                <w:lang w:eastAsia="zh-Hans"/>
              </w:rPr>
              <w:t>当期交易基金产生的申购费（元）</w:t>
            </w:r>
            <w:r>
              <w:rPr>
                <w:rFonts w:ascii="宋体" w:hAnsi="宋体" w:hint="eastAsia"/>
                <w:szCs w:val="24"/>
                <w:lang w:eastAsia="zh-Hans"/>
              </w:rPr>
              <w:t xml:space="preserve">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w:t>
            </w:r>
          </w:p>
        </w:tc>
      </w:tr>
      <w:tr w:rsidR="00000000">
        <w:trPr>
          <w:divId w:val="59521112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left"/>
            </w:pPr>
            <w:r>
              <w:rPr>
                <w:rFonts w:ascii="宋体" w:hAnsi="宋体" w:hint="eastAsia"/>
                <w:color w:val="000000"/>
              </w:rPr>
              <w:t>当期交易基金产生的赎回费（元）</w:t>
            </w:r>
            <w:r>
              <w:rPr>
                <w:rFonts w:ascii="宋体" w:hAnsi="宋体" w:hint="eastAsia"/>
                <w:color w:val="000000"/>
              </w:rPr>
              <w:t xml:space="preserve">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w:t>
            </w:r>
          </w:p>
        </w:tc>
      </w:tr>
      <w:tr w:rsidR="00000000">
        <w:trPr>
          <w:divId w:val="59521112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left"/>
            </w:pPr>
            <w:r>
              <w:rPr>
                <w:rFonts w:ascii="宋体" w:hAnsi="宋体" w:hint="eastAsia"/>
                <w:color w:val="000000"/>
              </w:rPr>
              <w:t>当期持有基金产生的应支付销售服务费（元）</w:t>
            </w:r>
            <w:r>
              <w:rPr>
                <w:rFonts w:ascii="宋体" w:hAnsi="宋体" w:hint="eastAsia"/>
                <w:color w:val="000000"/>
              </w:rPr>
              <w:t xml:space="preserve">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5,935.4</w:t>
            </w:r>
            <w:r>
              <w:rPr>
                <w:rFonts w:ascii="宋体" w:hAnsi="宋体" w:hint="eastAsia"/>
                <w:szCs w:val="24"/>
                <w:lang w:eastAsia="zh-Hans"/>
              </w:rPr>
              <w:t>0</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w:t>
            </w:r>
          </w:p>
        </w:tc>
      </w:tr>
      <w:tr w:rsidR="00000000">
        <w:trPr>
          <w:divId w:val="59521112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left"/>
            </w:pPr>
            <w:r>
              <w:rPr>
                <w:rFonts w:ascii="宋体" w:hAnsi="宋体" w:hint="eastAsia"/>
                <w:color w:val="000000"/>
              </w:rPr>
              <w:t>当期持有基金产生的应支付管理费（元）</w:t>
            </w:r>
            <w:r>
              <w:rPr>
                <w:rFonts w:ascii="宋体" w:hAnsi="宋体" w:hint="eastAsia"/>
                <w:color w:val="000000"/>
              </w:rPr>
              <w:t xml:space="preserve">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119,805.0</w:t>
            </w:r>
            <w:r>
              <w:rPr>
                <w:rFonts w:ascii="宋体" w:hAnsi="宋体" w:hint="eastAsia"/>
                <w:szCs w:val="24"/>
                <w:lang w:eastAsia="zh-Hans"/>
              </w:rPr>
              <w:t>8</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28,375.2</w:t>
            </w:r>
            <w:r>
              <w:rPr>
                <w:rFonts w:ascii="宋体" w:hAnsi="宋体" w:hint="eastAsia"/>
                <w:szCs w:val="24"/>
                <w:lang w:eastAsia="zh-Hans"/>
              </w:rPr>
              <w:t>7</w:t>
            </w:r>
          </w:p>
        </w:tc>
      </w:tr>
      <w:tr w:rsidR="00000000">
        <w:trPr>
          <w:divId w:val="59521112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left"/>
            </w:pPr>
            <w:r>
              <w:rPr>
                <w:rFonts w:ascii="宋体" w:hAnsi="宋体" w:hint="eastAsia"/>
                <w:color w:val="000000"/>
              </w:rPr>
              <w:t>当期持有基金产生的应支付托管费（元）</w:t>
            </w:r>
            <w:r>
              <w:rPr>
                <w:rFonts w:ascii="宋体" w:hAnsi="宋体" w:hint="eastAsia"/>
                <w:color w:val="000000"/>
              </w:rPr>
              <w:t xml:space="preserve">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26,547.6</w:t>
            </w:r>
            <w:r>
              <w:rPr>
                <w:rFonts w:ascii="宋体" w:hAnsi="宋体" w:hint="eastAsia"/>
                <w:szCs w:val="24"/>
                <w:lang w:eastAsia="zh-Hans"/>
              </w:rPr>
              <w:t>7</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4,787.1</w:t>
            </w:r>
            <w:r>
              <w:rPr>
                <w:rFonts w:ascii="宋体" w:hAnsi="宋体" w:hint="eastAsia"/>
                <w:szCs w:val="24"/>
                <w:lang w:eastAsia="zh-Hans"/>
              </w:rPr>
              <w:t>6</w:t>
            </w:r>
          </w:p>
        </w:tc>
      </w:tr>
      <w:tr w:rsidR="00000000">
        <w:trPr>
          <w:divId w:val="59521112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left"/>
            </w:pPr>
            <w:r>
              <w:rPr>
                <w:rFonts w:ascii="宋体" w:hAnsi="宋体" w:hint="eastAsia"/>
                <w:color w:val="000000"/>
              </w:rPr>
              <w:t>当期交易基金产生的交易费（元</w:t>
            </w:r>
            <w:r>
              <w:rPr>
                <w:rFonts w:ascii="宋体" w:hAnsi="宋体" w:hint="eastAsia"/>
                <w:color w:val="000000"/>
              </w:rPr>
              <w:t>）</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7,109.9</w:t>
            </w:r>
            <w:r>
              <w:rPr>
                <w:rFonts w:ascii="宋体" w:hAnsi="宋体" w:hint="eastAsia"/>
                <w:szCs w:val="24"/>
                <w:lang w:eastAsia="zh-Hans"/>
              </w:rPr>
              <w:t>7</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3870F3" w:rsidRDefault="003870F3">
            <w:pPr>
              <w:jc w:val="right"/>
            </w:pPr>
            <w:r>
              <w:rPr>
                <w:rFonts w:ascii="宋体" w:hAnsi="宋体" w:hint="eastAsia"/>
                <w:szCs w:val="24"/>
                <w:lang w:eastAsia="zh-Hans"/>
              </w:rPr>
              <w:t>278.6</w:t>
            </w:r>
            <w:r>
              <w:rPr>
                <w:rFonts w:ascii="宋体" w:hAnsi="宋体" w:hint="eastAsia"/>
                <w:szCs w:val="24"/>
                <w:lang w:eastAsia="zh-Hans"/>
              </w:rPr>
              <w:t>9</w:t>
            </w:r>
          </w:p>
        </w:tc>
      </w:tr>
    </w:tbl>
    <w:p w:rsidR="003870F3" w:rsidRDefault="003870F3">
      <w:pPr>
        <w:pStyle w:val="XBRLTitle2"/>
        <w:spacing w:before="156"/>
        <w:ind w:left="454"/>
      </w:pPr>
      <w:bookmarkStart w:id="284" w:name="_Toc502858552"/>
      <w:bookmarkStart w:id="285" w:name="_Toc17899997"/>
      <w:bookmarkStart w:id="286" w:name="_Toc514255302"/>
      <w:r>
        <w:rPr>
          <w:rFonts w:hint="eastAsia"/>
        </w:rPr>
        <w:t>本报告期持有的基金发生的重大影响事</w:t>
      </w:r>
      <w:r>
        <w:rPr>
          <w:rFonts w:hint="eastAsia"/>
        </w:rPr>
        <w:t>件</w:t>
      </w:r>
      <w:bookmarkEnd w:id="284"/>
      <w:bookmarkEnd w:id="285"/>
      <w:bookmarkEnd w:id="286"/>
      <w:r>
        <w:rPr>
          <w:rFonts w:hint="eastAsia"/>
          <w:lang w:eastAsia="zh-CN"/>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835"/>
      </w:tblGrid>
      <w:tr w:rsidR="00000000">
        <w:trPr>
          <w:divId w:val="59683721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3870F3" w:rsidRDefault="003870F3">
            <w:pPr>
              <w:spacing w:line="360" w:lineRule="auto"/>
              <w:jc w:val="left"/>
              <w:rPr>
                <w:rFonts w:hint="eastAsia"/>
              </w:rPr>
            </w:pPr>
            <w:r>
              <w:rPr>
                <w:rFonts w:ascii="宋体" w:hAnsi="宋体" w:cs="宋体" w:hint="eastAsia"/>
                <w:color w:val="000000"/>
                <w:kern w:val="0"/>
              </w:rPr>
              <w:t>无</w:t>
            </w:r>
            <w:r>
              <w:rPr>
                <w:rFonts w:ascii="宋体" w:hAnsi="宋体" w:cs="宋体" w:hint="eastAsia"/>
                <w:color w:val="000000"/>
                <w:kern w:val="0"/>
              </w:rPr>
              <w:t>。</w:t>
            </w:r>
          </w:p>
        </w:tc>
      </w:tr>
    </w:tbl>
    <w:p w:rsidR="003870F3" w:rsidRDefault="003870F3">
      <w:pPr>
        <w:pStyle w:val="XBRLTitle1"/>
        <w:spacing w:before="156" w:line="360" w:lineRule="auto"/>
        <w:ind w:left="425"/>
      </w:pPr>
      <w:bookmarkStart w:id="287" w:name="_Toc17899998"/>
      <w:bookmarkStart w:id="288" w:name="_Toc512519521"/>
      <w:bookmarkStart w:id="289" w:name="_Toc481075089"/>
      <w:bookmarkStart w:id="290" w:name="_Toc438646477"/>
      <w:bookmarkStart w:id="291" w:name="_Toc490050042"/>
      <w:bookmarkStart w:id="292" w:name="_Toc513295870"/>
      <w:bookmarkStart w:id="293" w:name="_Toc513295933"/>
      <w:bookmarkStart w:id="294" w:name="m601"/>
      <w:bookmarkEnd w:id="270"/>
      <w:r>
        <w:rPr>
          <w:rFonts w:hAnsi="宋体" w:hint="eastAsia"/>
        </w:rPr>
        <w:t>开放式基金份额变</w:t>
      </w:r>
      <w:r>
        <w:rPr>
          <w:rFonts w:hAnsi="宋体" w:hint="eastAsia"/>
        </w:rPr>
        <w:t>动</w:t>
      </w:r>
      <w:bookmarkStart w:id="295" w:name="m601_tab"/>
      <w:bookmarkEnd w:id="287"/>
      <w:bookmarkEnd w:id="288"/>
      <w:bookmarkEnd w:id="289"/>
      <w:bookmarkEnd w:id="290"/>
      <w:bookmarkEnd w:id="291"/>
      <w:bookmarkEnd w:id="292"/>
      <w:bookmarkEnd w:id="293"/>
      <w:r>
        <w:rPr>
          <w:rFonts w:hAnsi="宋体" w:hint="eastAsia"/>
        </w:rPr>
        <w:t xml:space="preserve"> </w:t>
      </w:r>
    </w:p>
    <w:p w:rsidR="003870F3" w:rsidRDefault="003870F3">
      <w:pPr>
        <w:wordWrap w:val="0"/>
        <w:spacing w:line="360" w:lineRule="auto"/>
        <w:jc w:val="right"/>
        <w:divId w:val="1631739136"/>
        <w:rPr>
          <w:rFonts w:hint="eastAsia"/>
        </w:rPr>
      </w:pPr>
      <w:bookmarkStart w:id="29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1631739136"/>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3870F3" w:rsidRDefault="003870F3">
            <w:pPr>
              <w:pStyle w:val="xl33"/>
              <w:widowControl w:val="0"/>
              <w:pBdr>
                <w:left w:val="none" w:sz="0" w:space="0" w:color="auto"/>
                <w:bottom w:val="none" w:sz="0" w:space="0" w:color="auto"/>
                <w:right w:val="none" w:sz="0" w:space="0" w:color="auto"/>
              </w:pBdr>
              <w:spacing w:before="0" w:beforeAutospacing="0" w:after="0" w:afterAutospacing="0"/>
              <w:jc w:val="both"/>
            </w:pPr>
            <w:bookmarkStart w:id="297" w:name="m10_01" w:colFirst="1" w:colLast="2"/>
            <w:bookmarkEnd w:id="29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ind w:right="3"/>
              <w:jc w:val="center"/>
            </w:pPr>
            <w:r>
              <w:rPr>
                <w:rFonts w:ascii="宋体" w:hAnsi="宋体" w:hint="eastAsia"/>
                <w:lang w:eastAsia="zh-Hans"/>
              </w:rPr>
              <w:t>摩根锦程均衡养老三年持有混合</w:t>
            </w:r>
            <w:r>
              <w:rPr>
                <w:rFonts w:ascii="宋体" w:hAnsi="宋体" w:hint="eastAsia"/>
                <w:lang w:eastAsia="zh-Hans"/>
              </w:rPr>
              <w:t>(FOF)</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870F3" w:rsidRDefault="003870F3">
            <w:pPr>
              <w:ind w:right="3"/>
              <w:jc w:val="center"/>
            </w:pPr>
            <w:r>
              <w:rPr>
                <w:rFonts w:ascii="宋体" w:hAnsi="宋体" w:hint="eastAsia"/>
                <w:lang w:eastAsia="zh-Hans"/>
              </w:rPr>
              <w:t>摩根锦程均衡养老三年持有混合</w:t>
            </w:r>
            <w:r>
              <w:rPr>
                <w:rFonts w:ascii="宋体" w:hAnsi="宋体" w:hint="eastAsia"/>
                <w:lang w:eastAsia="zh-Hans"/>
              </w:rPr>
              <w:t>(FOF)</w:t>
            </w:r>
            <w:r>
              <w:rPr>
                <w:rFonts w:ascii="宋体" w:hAnsi="宋体" w:hint="eastAsia"/>
                <w:lang w:eastAsia="zh-Hans"/>
              </w:rPr>
              <w:t>Y</w:t>
            </w:r>
            <w:r>
              <w:rPr>
                <w:rFonts w:ascii="宋体" w:hAnsi="宋体" w:hint="eastAsia"/>
                <w:kern w:val="0"/>
                <w:szCs w:val="24"/>
                <w:lang w:eastAsia="zh-Hans"/>
              </w:rPr>
              <w:t xml:space="preserve"> </w:t>
            </w:r>
          </w:p>
        </w:tc>
      </w:tr>
      <w:tr w:rsidR="00000000">
        <w:trPr>
          <w:divId w:val="16317391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jc w:val="right"/>
            </w:pPr>
            <w:r>
              <w:rPr>
                <w:rFonts w:ascii="宋体" w:hAnsi="宋体" w:hint="eastAsia"/>
              </w:rPr>
              <w:t>26,527,045.1</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jc w:val="right"/>
            </w:pPr>
            <w:r>
              <w:rPr>
                <w:rFonts w:ascii="宋体" w:hAnsi="宋体" w:hint="eastAsia"/>
              </w:rPr>
              <w:t>74,029,750.1</w:t>
            </w:r>
            <w:r>
              <w:rPr>
                <w:rFonts w:ascii="宋体" w:hAnsi="宋体" w:hint="eastAsia"/>
              </w:rPr>
              <w:t>1</w:t>
            </w:r>
          </w:p>
        </w:tc>
      </w:tr>
      <w:tr w:rsidR="00000000">
        <w:trPr>
          <w:divId w:val="16317391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jc w:val="right"/>
            </w:pPr>
            <w:r>
              <w:rPr>
                <w:rFonts w:ascii="宋体" w:hAnsi="宋体" w:hint="eastAsia"/>
              </w:rPr>
              <w:t>258,291.8</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jc w:val="right"/>
            </w:pPr>
            <w:r>
              <w:rPr>
                <w:rFonts w:ascii="宋体" w:hAnsi="宋体" w:hint="eastAsia"/>
              </w:rPr>
              <w:t>2,119,308.8</w:t>
            </w:r>
            <w:r>
              <w:rPr>
                <w:rFonts w:ascii="宋体" w:hAnsi="宋体" w:hint="eastAsia"/>
              </w:rPr>
              <w:t>3</w:t>
            </w:r>
          </w:p>
        </w:tc>
      </w:tr>
      <w:tr w:rsidR="00000000">
        <w:trPr>
          <w:divId w:val="16317391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jc w:val="right"/>
            </w:pPr>
            <w:r>
              <w:rPr>
                <w:rFonts w:ascii="宋体" w:hAnsi="宋体" w:hint="eastAsia"/>
              </w:rPr>
              <w:t>3,361,798.4</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jc w:val="right"/>
            </w:pPr>
            <w:r>
              <w:rPr>
                <w:rFonts w:ascii="宋体" w:hAnsi="宋体" w:hint="eastAsia"/>
              </w:rPr>
              <w:t>2,657,101.6</w:t>
            </w:r>
            <w:r>
              <w:rPr>
                <w:rFonts w:ascii="宋体" w:hAnsi="宋体" w:hint="eastAsia"/>
              </w:rPr>
              <w:t>5</w:t>
            </w:r>
          </w:p>
        </w:tc>
      </w:tr>
      <w:tr w:rsidR="00000000">
        <w:trPr>
          <w:divId w:val="16317391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jc w:val="right"/>
            </w:pPr>
            <w:r>
              <w:rPr>
                <w:rFonts w:ascii="宋体" w:hAnsi="宋体" w:hint="eastAsia"/>
              </w:rPr>
              <w:t>-</w:t>
            </w:r>
          </w:p>
        </w:tc>
      </w:tr>
      <w:tr w:rsidR="00000000">
        <w:trPr>
          <w:divId w:val="16317391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jc w:val="right"/>
            </w:pPr>
            <w:r>
              <w:rPr>
                <w:rFonts w:ascii="宋体" w:hAnsi="宋体" w:hint="eastAsia"/>
              </w:rPr>
              <w:t>23,423,538.5</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870F3" w:rsidRDefault="003870F3">
            <w:pPr>
              <w:jc w:val="right"/>
            </w:pPr>
            <w:r>
              <w:rPr>
                <w:rFonts w:ascii="宋体" w:hAnsi="宋体" w:hint="eastAsia"/>
              </w:rPr>
              <w:t>73,491,957.2</w:t>
            </w:r>
            <w:r>
              <w:rPr>
                <w:rFonts w:ascii="宋体" w:hAnsi="宋体" w:hint="eastAsia"/>
              </w:rPr>
              <w:t>9</w:t>
            </w:r>
          </w:p>
        </w:tc>
      </w:tr>
    </w:tbl>
    <w:p w:rsidR="003870F3" w:rsidRDefault="003870F3">
      <w:pPr>
        <w:spacing w:line="360" w:lineRule="auto"/>
        <w:jc w:val="left"/>
        <w:divId w:val="1631739136"/>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297"/>
      <w:r>
        <w:rPr>
          <w:rFonts w:ascii="宋体" w:hAnsi="宋体" w:hint="eastAsia"/>
        </w:rPr>
        <w:t xml:space="preserve"> </w:t>
      </w:r>
    </w:p>
    <w:p w:rsidR="003870F3" w:rsidRDefault="003870F3">
      <w:pPr>
        <w:pStyle w:val="XBRLTitle1"/>
        <w:spacing w:before="156" w:line="360" w:lineRule="auto"/>
        <w:ind w:left="425"/>
      </w:pPr>
      <w:bookmarkStart w:id="298" w:name="_Toc17899999"/>
      <w:bookmarkStart w:id="299" w:name="m7manage01"/>
      <w:bookmarkStart w:id="300" w:name="_Toc512519522"/>
      <w:bookmarkStart w:id="301" w:name="_Toc481075090"/>
      <w:bookmarkStart w:id="302" w:name="_Toc438646478"/>
      <w:bookmarkStart w:id="303" w:name="_Toc490050043"/>
      <w:bookmarkStart w:id="304" w:name="_Toc513295871"/>
      <w:bookmarkStart w:id="305" w:name="_Toc513295934"/>
      <w:bookmarkEnd w:id="294"/>
      <w:bookmarkEnd w:id="295"/>
      <w:r>
        <w:rPr>
          <w:rFonts w:hAnsi="宋体" w:hint="eastAsia"/>
        </w:rPr>
        <w:t>基金管理人运用固有资金投资本基金情</w:t>
      </w:r>
      <w:r>
        <w:rPr>
          <w:rFonts w:hAnsi="宋体" w:hint="eastAsia"/>
        </w:rPr>
        <w:t>况</w:t>
      </w:r>
      <w:bookmarkEnd w:id="298"/>
      <w:bookmarkEnd w:id="299"/>
      <w:bookmarkEnd w:id="300"/>
      <w:bookmarkEnd w:id="301"/>
      <w:bookmarkEnd w:id="302"/>
      <w:bookmarkEnd w:id="303"/>
      <w:bookmarkEnd w:id="304"/>
      <w:bookmarkEnd w:id="305"/>
      <w:r>
        <w:rPr>
          <w:rFonts w:hAnsi="宋体" w:hint="eastAsia"/>
        </w:rPr>
        <w:t xml:space="preserve"> </w:t>
      </w:r>
    </w:p>
    <w:p w:rsidR="003870F3" w:rsidRDefault="003870F3">
      <w:pPr>
        <w:pStyle w:val="XBRLTitle2"/>
        <w:spacing w:before="156" w:line="360" w:lineRule="auto"/>
        <w:ind w:left="454"/>
        <w:rPr>
          <w:rFonts w:hint="eastAsia"/>
        </w:rPr>
      </w:pPr>
      <w:bookmarkStart w:id="306" w:name="_Toc17900000"/>
      <w:bookmarkStart w:id="307" w:name="_Toc512519523"/>
      <w:bookmarkStart w:id="308" w:name="_Toc481075091"/>
      <w:bookmarkStart w:id="309" w:name="_Toc458599606"/>
      <w:bookmarkStart w:id="310" w:name="_Toc490050044"/>
      <w:bookmarkStart w:id="311" w:name="_Toc513295872"/>
      <w:bookmarkStart w:id="312" w:name="_Toc513295935"/>
      <w:r>
        <w:rPr>
          <w:rFonts w:hAnsi="宋体" w:hint="eastAsia"/>
        </w:rPr>
        <w:t>基金管理人持有本基金份额变动情</w:t>
      </w:r>
      <w:r>
        <w:rPr>
          <w:rFonts w:hAnsi="宋体" w:hint="eastAsia"/>
        </w:rPr>
        <w:t>况</w:t>
      </w:r>
      <w:bookmarkEnd w:id="306"/>
      <w:bookmarkEnd w:id="307"/>
      <w:bookmarkEnd w:id="308"/>
      <w:bookmarkEnd w:id="309"/>
      <w:bookmarkEnd w:id="310"/>
      <w:bookmarkEnd w:id="311"/>
      <w:bookmarkEnd w:id="312"/>
      <w:r>
        <w:rPr>
          <w:rFonts w:hAnsi="宋体" w:hint="eastAsia"/>
          <w:lang w:eastAsia="zh-CN"/>
        </w:rPr>
        <w:t xml:space="preserve"> </w:t>
      </w:r>
    </w:p>
    <w:p w:rsidR="003870F3" w:rsidRDefault="003870F3">
      <w:pPr>
        <w:spacing w:line="360" w:lineRule="auto"/>
        <w:ind w:firstLineChars="200" w:firstLine="420"/>
        <w:jc w:val="left"/>
        <w:divId w:val="2077510195"/>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3870F3" w:rsidRDefault="003870F3">
      <w:pPr>
        <w:pStyle w:val="XBRLTitle2"/>
        <w:spacing w:before="156" w:line="360" w:lineRule="auto"/>
        <w:ind w:left="454"/>
      </w:pPr>
      <w:bookmarkStart w:id="313" w:name="_Toc17900001"/>
      <w:bookmarkStart w:id="314" w:name="_Toc512519524"/>
      <w:bookmarkStart w:id="315" w:name="_Toc481075092"/>
      <w:bookmarkStart w:id="316" w:name="_Toc458599607"/>
      <w:bookmarkStart w:id="317" w:name="_Toc490050045"/>
      <w:bookmarkStart w:id="318" w:name="_Toc513295873"/>
      <w:bookmarkStart w:id="319" w:name="_Toc513295936"/>
      <w:r>
        <w:rPr>
          <w:rFonts w:hAnsi="宋体" w:hint="eastAsia"/>
        </w:rPr>
        <w:t>基金管理人运用固有资金投资本基金交易明</w:t>
      </w:r>
      <w:r>
        <w:rPr>
          <w:rFonts w:hAnsi="宋体" w:hint="eastAsia"/>
        </w:rPr>
        <w:t>细</w:t>
      </w:r>
      <w:bookmarkEnd w:id="313"/>
      <w:bookmarkEnd w:id="314"/>
      <w:bookmarkEnd w:id="315"/>
      <w:bookmarkEnd w:id="316"/>
      <w:bookmarkEnd w:id="317"/>
      <w:bookmarkEnd w:id="318"/>
      <w:bookmarkEnd w:id="319"/>
      <w:r>
        <w:rPr>
          <w:rFonts w:hAnsi="宋体" w:hint="eastAsia"/>
          <w:lang w:eastAsia="zh-CN"/>
        </w:rPr>
        <w:t xml:space="preserve"> </w:t>
      </w:r>
    </w:p>
    <w:p w:rsidR="003870F3" w:rsidRDefault="003870F3">
      <w:pPr>
        <w:spacing w:line="360" w:lineRule="auto"/>
        <w:ind w:firstLineChars="200" w:firstLine="420"/>
        <w:jc w:val="left"/>
        <w:divId w:val="607667051"/>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3870F3" w:rsidRDefault="003870F3">
      <w:pPr>
        <w:pStyle w:val="XBRLTitle1"/>
        <w:spacing w:before="156" w:line="360" w:lineRule="auto"/>
        <w:ind w:left="425"/>
      </w:pPr>
      <w:bookmarkStart w:id="320" w:name="_Toc17900003"/>
      <w:bookmarkStart w:id="321" w:name="_Toc512519526"/>
      <w:bookmarkStart w:id="322" w:name="_Toc490050046"/>
      <w:bookmarkStart w:id="323" w:name="_Toc481075094"/>
      <w:bookmarkStart w:id="324" w:name="_Toc479856294"/>
      <w:bookmarkStart w:id="325" w:name="_Toc513295875"/>
      <w:bookmarkStart w:id="326" w:name="_Toc513295938"/>
      <w:bookmarkStart w:id="327" w:name="m701"/>
      <w:r>
        <w:rPr>
          <w:rFonts w:hAnsi="宋体" w:hint="eastAsia"/>
        </w:rPr>
        <w:t>影响投资者决策的其他重要信</w:t>
      </w:r>
      <w:r>
        <w:rPr>
          <w:rFonts w:hAnsi="宋体" w:hint="eastAsia"/>
        </w:rPr>
        <w:t>息</w:t>
      </w:r>
      <w:bookmarkEnd w:id="320"/>
      <w:bookmarkEnd w:id="321"/>
      <w:bookmarkEnd w:id="322"/>
      <w:bookmarkEnd w:id="323"/>
      <w:bookmarkEnd w:id="324"/>
      <w:bookmarkEnd w:id="325"/>
      <w:bookmarkEnd w:id="326"/>
      <w:r>
        <w:rPr>
          <w:rFonts w:hAnsi="宋体" w:hint="eastAsia"/>
          <w:lang w:eastAsia="zh-CN"/>
        </w:rPr>
        <w:t xml:space="preserve"> </w:t>
      </w:r>
    </w:p>
    <w:p w:rsidR="003870F3" w:rsidRDefault="003870F3">
      <w:pPr>
        <w:pStyle w:val="XBRLTitle2"/>
        <w:spacing w:before="156" w:line="360" w:lineRule="auto"/>
        <w:ind w:left="454"/>
        <w:rPr>
          <w:rFonts w:hint="eastAsia"/>
        </w:rPr>
      </w:pPr>
      <w:bookmarkStart w:id="328" w:name="_Toc17900004"/>
      <w:bookmarkStart w:id="329" w:name="_Toc512519527"/>
      <w:bookmarkStart w:id="330" w:name="_Toc481075095"/>
      <w:bookmarkStart w:id="331" w:name="_Toc490050047"/>
      <w:bookmarkStart w:id="332" w:name="_Toc513295876"/>
      <w:bookmarkStart w:id="333"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28"/>
      <w:bookmarkEnd w:id="329"/>
      <w:bookmarkEnd w:id="330"/>
      <w:bookmarkEnd w:id="331"/>
      <w:bookmarkEnd w:id="332"/>
      <w:bookmarkEnd w:id="333"/>
      <w:r>
        <w:rPr>
          <w:rFonts w:hAnsi="宋体" w:hint="eastAsia"/>
          <w:kern w:val="0"/>
          <w:lang w:eastAsia="zh-CN"/>
        </w:rPr>
        <w:t xml:space="preserve"> </w:t>
      </w:r>
    </w:p>
    <w:bookmarkEnd w:id="21"/>
    <w:bookmarkEnd w:id="39"/>
    <w:bookmarkEnd w:id="40"/>
    <w:p w:rsidR="003870F3" w:rsidRDefault="003870F3">
      <w:pPr>
        <w:spacing w:line="360" w:lineRule="auto"/>
        <w:ind w:firstLineChars="200" w:firstLine="420"/>
        <w:divId w:val="1855920819"/>
        <w:rPr>
          <w:rFonts w:ascii="宋体" w:hAnsi="宋体" w:hint="eastAsia"/>
          <w:szCs w:val="21"/>
          <w:lang w:eastAsia="zh-Hans"/>
        </w:rPr>
      </w:pPr>
      <w:r>
        <w:rPr>
          <w:rFonts w:ascii="宋体" w:hAnsi="宋体" w:hint="eastAsia"/>
          <w:szCs w:val="21"/>
          <w:lang w:eastAsia="zh-Hans"/>
        </w:rPr>
        <w:t>无。</w:t>
      </w:r>
    </w:p>
    <w:p w:rsidR="003870F3" w:rsidRDefault="003870F3">
      <w:pPr>
        <w:pStyle w:val="XBRLTitle1"/>
        <w:spacing w:before="156" w:line="360" w:lineRule="auto"/>
        <w:ind w:left="425"/>
        <w:rPr>
          <w:rFonts w:hint="eastAsia"/>
        </w:rPr>
      </w:pPr>
      <w:bookmarkStart w:id="334" w:name="_Toc17900006"/>
      <w:bookmarkStart w:id="335" w:name="_Toc512519529"/>
      <w:bookmarkStart w:id="336" w:name="_Toc490050049"/>
      <w:bookmarkStart w:id="337" w:name="_Toc481075097"/>
      <w:bookmarkStart w:id="338" w:name="_Toc438646481"/>
      <w:bookmarkStart w:id="339" w:name="_Toc513295878"/>
      <w:bookmarkStart w:id="340" w:name="_Toc513295941"/>
      <w:bookmarkEnd w:id="327"/>
      <w:r>
        <w:rPr>
          <w:rFonts w:hAnsi="宋体" w:hint="eastAsia"/>
        </w:rPr>
        <w:t>备查文件目</w:t>
      </w:r>
      <w:r>
        <w:rPr>
          <w:rFonts w:hAnsi="宋体" w:hint="eastAsia"/>
        </w:rPr>
        <w:t>录</w:t>
      </w:r>
      <w:bookmarkEnd w:id="334"/>
      <w:bookmarkEnd w:id="335"/>
      <w:bookmarkEnd w:id="336"/>
      <w:bookmarkEnd w:id="337"/>
      <w:bookmarkEnd w:id="338"/>
      <w:bookmarkEnd w:id="339"/>
      <w:bookmarkEnd w:id="340"/>
      <w:r>
        <w:rPr>
          <w:rFonts w:hAnsi="宋体" w:hint="eastAsia"/>
        </w:rPr>
        <w:t xml:space="preserve"> </w:t>
      </w:r>
    </w:p>
    <w:p w:rsidR="003870F3" w:rsidRDefault="003870F3">
      <w:pPr>
        <w:pStyle w:val="XBRLTitle2"/>
        <w:spacing w:before="156" w:line="360" w:lineRule="auto"/>
        <w:ind w:left="454"/>
        <w:rPr>
          <w:rFonts w:hint="eastAsia"/>
        </w:rPr>
      </w:pPr>
      <w:bookmarkStart w:id="341" w:name="_Toc438646482"/>
      <w:bookmarkStart w:id="342" w:name="_Toc17900007"/>
      <w:bookmarkStart w:id="343" w:name="_Toc512519530"/>
      <w:bookmarkStart w:id="344" w:name="_Toc481075098"/>
      <w:bookmarkStart w:id="345" w:name="_Toc490050050"/>
      <w:bookmarkStart w:id="346" w:name="_Toc513295879"/>
      <w:bookmarkStart w:id="347" w:name="_Toc513295942"/>
      <w:bookmarkStart w:id="348" w:name="m801_01_1733"/>
      <w:r>
        <w:rPr>
          <w:rFonts w:hAnsi="宋体" w:hint="eastAsia"/>
        </w:rPr>
        <w:t>备查文件目</w:t>
      </w:r>
      <w:r>
        <w:rPr>
          <w:rFonts w:hAnsi="宋体" w:hint="eastAsia"/>
        </w:rPr>
        <w:t>录</w:t>
      </w:r>
      <w:bookmarkEnd w:id="341"/>
      <w:bookmarkEnd w:id="342"/>
      <w:bookmarkEnd w:id="343"/>
      <w:bookmarkEnd w:id="344"/>
      <w:bookmarkEnd w:id="345"/>
      <w:bookmarkEnd w:id="346"/>
      <w:bookmarkEnd w:id="347"/>
      <w:r>
        <w:rPr>
          <w:rFonts w:hAnsi="宋体" w:hint="eastAsia"/>
        </w:rPr>
        <w:t xml:space="preserve"> </w:t>
      </w:r>
    </w:p>
    <w:p w:rsidR="003870F3" w:rsidRDefault="003870F3">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摩根锦程均衡养老目标三年持有期混合型基金中基金</w:t>
      </w:r>
      <w:r>
        <w:rPr>
          <w:rFonts w:ascii="宋体" w:hAnsi="宋体" w:cs="宋体" w:hint="eastAsia"/>
          <w:color w:val="000000"/>
          <w:kern w:val="0"/>
        </w:rPr>
        <w:t>(FOF)</w:t>
      </w:r>
      <w:r>
        <w:rPr>
          <w:rFonts w:ascii="宋体" w:hAnsi="宋体" w:cs="宋体" w:hint="eastAsia"/>
          <w:color w:val="000000"/>
          <w:kern w:val="0"/>
        </w:rPr>
        <w:t>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摩根锦程均衡养老目标三年持有期混合型基金中基金</w:t>
      </w:r>
      <w:r>
        <w:rPr>
          <w:rFonts w:ascii="宋体" w:hAnsi="宋体" w:cs="宋体" w:hint="eastAsia"/>
          <w:color w:val="000000"/>
          <w:kern w:val="0"/>
        </w:rPr>
        <w:t>(FOF)</w:t>
      </w:r>
      <w:r>
        <w:rPr>
          <w:rFonts w:ascii="宋体" w:hAnsi="宋体" w:cs="宋体" w:hint="eastAsia"/>
          <w:color w:val="000000"/>
          <w:kern w:val="0"/>
        </w:rPr>
        <w:t>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3870F3" w:rsidRDefault="003870F3">
      <w:pPr>
        <w:pStyle w:val="XBRLTitle2"/>
        <w:spacing w:before="156" w:line="360" w:lineRule="auto"/>
        <w:ind w:left="454"/>
      </w:pPr>
      <w:bookmarkStart w:id="349" w:name="_Toc438646483"/>
      <w:bookmarkStart w:id="350" w:name="_Toc17900008"/>
      <w:bookmarkStart w:id="351" w:name="_Toc512519531"/>
      <w:bookmarkStart w:id="352" w:name="_Toc481075099"/>
      <w:bookmarkStart w:id="353" w:name="_Toc490050051"/>
      <w:bookmarkStart w:id="354" w:name="_Toc513295880"/>
      <w:bookmarkStart w:id="355" w:name="_Toc513295943"/>
      <w:bookmarkStart w:id="356" w:name="m801_01_1734"/>
      <w:bookmarkEnd w:id="348"/>
      <w:r>
        <w:rPr>
          <w:rFonts w:hAnsi="宋体" w:hint="eastAsia"/>
        </w:rPr>
        <w:t>存放地</w:t>
      </w:r>
      <w:r>
        <w:rPr>
          <w:rFonts w:hAnsi="宋体" w:hint="eastAsia"/>
        </w:rPr>
        <w:t>点</w:t>
      </w:r>
      <w:bookmarkEnd w:id="349"/>
      <w:bookmarkEnd w:id="350"/>
      <w:bookmarkEnd w:id="351"/>
      <w:bookmarkEnd w:id="352"/>
      <w:bookmarkEnd w:id="353"/>
      <w:bookmarkEnd w:id="354"/>
      <w:bookmarkEnd w:id="355"/>
      <w:r>
        <w:rPr>
          <w:rFonts w:hAnsi="宋体" w:hint="eastAsia"/>
        </w:rPr>
        <w:t xml:space="preserve"> </w:t>
      </w:r>
    </w:p>
    <w:p w:rsidR="003870F3" w:rsidRDefault="003870F3">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3870F3" w:rsidRDefault="003870F3">
      <w:pPr>
        <w:pStyle w:val="XBRLTitle2"/>
        <w:spacing w:before="156" w:line="360" w:lineRule="auto"/>
        <w:ind w:left="454"/>
      </w:pPr>
      <w:bookmarkStart w:id="357" w:name="_Toc438646484"/>
      <w:bookmarkStart w:id="358" w:name="_Toc17900009"/>
      <w:bookmarkStart w:id="359" w:name="_Toc512519532"/>
      <w:bookmarkStart w:id="360" w:name="_Toc481075100"/>
      <w:bookmarkStart w:id="361" w:name="_Toc490050052"/>
      <w:bookmarkStart w:id="362" w:name="_Toc513295881"/>
      <w:bookmarkStart w:id="363" w:name="_Toc513295944"/>
      <w:bookmarkStart w:id="364" w:name="m801_01_1735"/>
      <w:bookmarkEnd w:id="356"/>
      <w:r>
        <w:rPr>
          <w:rFonts w:hAnsi="宋体" w:hint="eastAsia"/>
        </w:rPr>
        <w:t>查阅方</w:t>
      </w:r>
      <w:r>
        <w:rPr>
          <w:rFonts w:hAnsi="宋体" w:hint="eastAsia"/>
        </w:rPr>
        <w:t>式</w:t>
      </w:r>
      <w:bookmarkEnd w:id="357"/>
      <w:bookmarkEnd w:id="358"/>
      <w:bookmarkEnd w:id="359"/>
      <w:bookmarkEnd w:id="360"/>
      <w:bookmarkEnd w:id="361"/>
      <w:bookmarkEnd w:id="362"/>
      <w:bookmarkEnd w:id="363"/>
      <w:r>
        <w:rPr>
          <w:rFonts w:hAnsi="宋体" w:hint="eastAsia"/>
        </w:rPr>
        <w:t xml:space="preserve"> </w:t>
      </w:r>
    </w:p>
    <w:p w:rsidR="003870F3" w:rsidRDefault="003870F3">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64"/>
    <w:p w:rsidR="003870F3" w:rsidRDefault="003870F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3870F3" w:rsidRDefault="003870F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3870F3" w:rsidRDefault="003870F3">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3870F3" w:rsidRDefault="003870F3">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2"/>
    </w:p>
    <w:sectPr w:rsidR="003870F3">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70F3" w:rsidRDefault="003870F3">
      <w:pPr>
        <w:rPr>
          <w:szCs w:val="21"/>
        </w:rPr>
      </w:pPr>
      <w:r>
        <w:rPr>
          <w:szCs w:val="21"/>
        </w:rPr>
        <w:separator/>
      </w:r>
      <w:r>
        <w:rPr>
          <w:szCs w:val="21"/>
        </w:rPr>
        <w:t xml:space="preserve"> </w:t>
      </w:r>
    </w:p>
  </w:endnote>
  <w:endnote w:type="continuationSeparator" w:id="0">
    <w:p w:rsidR="003870F3" w:rsidRDefault="003870F3">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0F3" w:rsidRDefault="003870F3">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70F3" w:rsidRDefault="003870F3">
      <w:pPr>
        <w:rPr>
          <w:szCs w:val="21"/>
        </w:rPr>
      </w:pPr>
      <w:r>
        <w:rPr>
          <w:szCs w:val="21"/>
        </w:rPr>
        <w:separator/>
      </w:r>
      <w:r>
        <w:rPr>
          <w:szCs w:val="21"/>
        </w:rPr>
        <w:t xml:space="preserve"> </w:t>
      </w:r>
    </w:p>
  </w:footnote>
  <w:footnote w:type="continuationSeparator" w:id="0">
    <w:p w:rsidR="003870F3" w:rsidRDefault="003870F3">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0F3" w:rsidRDefault="003870F3">
    <w:pPr>
      <w:pStyle w:val="a8"/>
      <w:jc w:val="right"/>
    </w:pPr>
    <w:r>
      <w:rPr>
        <w:rFonts w:ascii="宋体" w:hAnsi="宋体" w:hint="eastAsia"/>
      </w:rPr>
      <w:t>摩根锦程均衡养老目标三年持有期混合型基金中基金</w:t>
    </w:r>
    <w:r>
      <w:rPr>
        <w:rFonts w:ascii="宋体" w:hAnsi="宋体" w:hint="eastAsia"/>
      </w:rPr>
      <w:t>(FOF)2026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346325592">
    <w:abstractNumId w:val="0"/>
  </w:num>
  <w:num w:numId="2" w16cid:durableId="333143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46D27"/>
    <w:rsid w:val="003870F3"/>
    <w:rsid w:val="003E0F21"/>
    <w:rsid w:val="00C46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67394-D4AE-4887-8B34-B9472CBD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3010">
      <w:marLeft w:val="0"/>
      <w:marRight w:val="0"/>
      <w:marTop w:val="0"/>
      <w:marBottom w:val="0"/>
      <w:divBdr>
        <w:top w:val="none" w:sz="0" w:space="0" w:color="auto"/>
        <w:left w:val="none" w:sz="0" w:space="0" w:color="auto"/>
        <w:bottom w:val="none" w:sz="0" w:space="0" w:color="auto"/>
        <w:right w:val="none" w:sz="0" w:space="0" w:color="auto"/>
      </w:divBdr>
    </w:div>
    <w:div w:id="206839940">
      <w:marLeft w:val="0"/>
      <w:marRight w:val="0"/>
      <w:marTop w:val="0"/>
      <w:marBottom w:val="0"/>
      <w:divBdr>
        <w:top w:val="none" w:sz="0" w:space="0" w:color="auto"/>
        <w:left w:val="none" w:sz="0" w:space="0" w:color="auto"/>
        <w:bottom w:val="none" w:sz="0" w:space="0" w:color="auto"/>
        <w:right w:val="none" w:sz="0" w:space="0" w:color="auto"/>
      </w:divBdr>
    </w:div>
    <w:div w:id="210192973">
      <w:marLeft w:val="0"/>
      <w:marRight w:val="0"/>
      <w:marTop w:val="0"/>
      <w:marBottom w:val="0"/>
      <w:divBdr>
        <w:top w:val="none" w:sz="0" w:space="0" w:color="auto"/>
        <w:left w:val="none" w:sz="0" w:space="0" w:color="auto"/>
        <w:bottom w:val="none" w:sz="0" w:space="0" w:color="auto"/>
        <w:right w:val="none" w:sz="0" w:space="0" w:color="auto"/>
      </w:divBdr>
    </w:div>
    <w:div w:id="224604618">
      <w:marLeft w:val="0"/>
      <w:marRight w:val="0"/>
      <w:marTop w:val="0"/>
      <w:marBottom w:val="0"/>
      <w:divBdr>
        <w:top w:val="none" w:sz="0" w:space="0" w:color="auto"/>
        <w:left w:val="none" w:sz="0" w:space="0" w:color="auto"/>
        <w:bottom w:val="none" w:sz="0" w:space="0" w:color="auto"/>
        <w:right w:val="none" w:sz="0" w:space="0" w:color="auto"/>
      </w:divBdr>
    </w:div>
    <w:div w:id="258105374">
      <w:marLeft w:val="0"/>
      <w:marRight w:val="0"/>
      <w:marTop w:val="0"/>
      <w:marBottom w:val="0"/>
      <w:divBdr>
        <w:top w:val="none" w:sz="0" w:space="0" w:color="auto"/>
        <w:left w:val="none" w:sz="0" w:space="0" w:color="auto"/>
        <w:bottom w:val="none" w:sz="0" w:space="0" w:color="auto"/>
        <w:right w:val="none" w:sz="0" w:space="0" w:color="auto"/>
      </w:divBdr>
      <w:divsChild>
        <w:div w:id="1089425721">
          <w:marLeft w:val="0"/>
          <w:marRight w:val="0"/>
          <w:marTop w:val="0"/>
          <w:marBottom w:val="0"/>
          <w:divBdr>
            <w:top w:val="none" w:sz="0" w:space="0" w:color="auto"/>
            <w:left w:val="none" w:sz="0" w:space="0" w:color="auto"/>
            <w:bottom w:val="none" w:sz="0" w:space="0" w:color="auto"/>
            <w:right w:val="none" w:sz="0" w:space="0" w:color="auto"/>
          </w:divBdr>
        </w:div>
      </w:divsChild>
    </w:div>
    <w:div w:id="585765814">
      <w:marLeft w:val="0"/>
      <w:marRight w:val="0"/>
      <w:marTop w:val="0"/>
      <w:marBottom w:val="0"/>
      <w:divBdr>
        <w:top w:val="none" w:sz="0" w:space="0" w:color="auto"/>
        <w:left w:val="none" w:sz="0" w:space="0" w:color="auto"/>
        <w:bottom w:val="none" w:sz="0" w:space="0" w:color="auto"/>
        <w:right w:val="none" w:sz="0" w:space="0" w:color="auto"/>
      </w:divBdr>
      <w:divsChild>
        <w:div w:id="595211128">
          <w:marLeft w:val="0"/>
          <w:marRight w:val="0"/>
          <w:marTop w:val="0"/>
          <w:marBottom w:val="0"/>
          <w:divBdr>
            <w:top w:val="none" w:sz="0" w:space="0" w:color="auto"/>
            <w:left w:val="none" w:sz="0" w:space="0" w:color="auto"/>
            <w:bottom w:val="none" w:sz="0" w:space="0" w:color="auto"/>
            <w:right w:val="none" w:sz="0" w:space="0" w:color="auto"/>
          </w:divBdr>
        </w:div>
      </w:divsChild>
    </w:div>
    <w:div w:id="607667051">
      <w:marLeft w:val="0"/>
      <w:marRight w:val="0"/>
      <w:marTop w:val="0"/>
      <w:marBottom w:val="0"/>
      <w:divBdr>
        <w:top w:val="none" w:sz="0" w:space="0" w:color="auto"/>
        <w:left w:val="none" w:sz="0" w:space="0" w:color="auto"/>
        <w:bottom w:val="none" w:sz="0" w:space="0" w:color="auto"/>
        <w:right w:val="none" w:sz="0" w:space="0" w:color="auto"/>
      </w:divBdr>
    </w:div>
    <w:div w:id="661858519">
      <w:marLeft w:val="0"/>
      <w:marRight w:val="0"/>
      <w:marTop w:val="0"/>
      <w:marBottom w:val="0"/>
      <w:divBdr>
        <w:top w:val="none" w:sz="0" w:space="0" w:color="auto"/>
        <w:left w:val="none" w:sz="0" w:space="0" w:color="auto"/>
        <w:bottom w:val="none" w:sz="0" w:space="0" w:color="auto"/>
        <w:right w:val="none" w:sz="0" w:space="0" w:color="auto"/>
      </w:divBdr>
      <w:divsChild>
        <w:div w:id="1860392483">
          <w:marLeft w:val="0"/>
          <w:marRight w:val="0"/>
          <w:marTop w:val="0"/>
          <w:marBottom w:val="0"/>
          <w:divBdr>
            <w:top w:val="none" w:sz="0" w:space="0" w:color="auto"/>
            <w:left w:val="none" w:sz="0" w:space="0" w:color="auto"/>
            <w:bottom w:val="none" w:sz="0" w:space="0" w:color="auto"/>
            <w:right w:val="none" w:sz="0" w:space="0" w:color="auto"/>
          </w:divBdr>
        </w:div>
      </w:divsChild>
    </w:div>
    <w:div w:id="795099180">
      <w:marLeft w:val="0"/>
      <w:marRight w:val="0"/>
      <w:marTop w:val="0"/>
      <w:marBottom w:val="0"/>
      <w:divBdr>
        <w:top w:val="none" w:sz="0" w:space="0" w:color="auto"/>
        <w:left w:val="none" w:sz="0" w:space="0" w:color="auto"/>
        <w:bottom w:val="none" w:sz="0" w:space="0" w:color="auto"/>
        <w:right w:val="none" w:sz="0" w:space="0" w:color="auto"/>
      </w:divBdr>
    </w:div>
    <w:div w:id="828326097">
      <w:marLeft w:val="0"/>
      <w:marRight w:val="0"/>
      <w:marTop w:val="0"/>
      <w:marBottom w:val="0"/>
      <w:divBdr>
        <w:top w:val="none" w:sz="0" w:space="0" w:color="auto"/>
        <w:left w:val="none" w:sz="0" w:space="0" w:color="auto"/>
        <w:bottom w:val="none" w:sz="0" w:space="0" w:color="auto"/>
        <w:right w:val="none" w:sz="0" w:space="0" w:color="auto"/>
      </w:divBdr>
      <w:divsChild>
        <w:div w:id="1581326683">
          <w:marLeft w:val="0"/>
          <w:marRight w:val="0"/>
          <w:marTop w:val="0"/>
          <w:marBottom w:val="0"/>
          <w:divBdr>
            <w:top w:val="none" w:sz="0" w:space="0" w:color="auto"/>
            <w:left w:val="none" w:sz="0" w:space="0" w:color="auto"/>
            <w:bottom w:val="none" w:sz="0" w:space="0" w:color="auto"/>
            <w:right w:val="none" w:sz="0" w:space="0" w:color="auto"/>
          </w:divBdr>
        </w:div>
      </w:divsChild>
    </w:div>
    <w:div w:id="833691474">
      <w:marLeft w:val="0"/>
      <w:marRight w:val="0"/>
      <w:marTop w:val="0"/>
      <w:marBottom w:val="0"/>
      <w:divBdr>
        <w:top w:val="none" w:sz="0" w:space="0" w:color="auto"/>
        <w:left w:val="none" w:sz="0" w:space="0" w:color="auto"/>
        <w:bottom w:val="none" w:sz="0" w:space="0" w:color="auto"/>
        <w:right w:val="none" w:sz="0" w:space="0" w:color="auto"/>
      </w:divBdr>
    </w:div>
    <w:div w:id="1016154847">
      <w:marLeft w:val="0"/>
      <w:marRight w:val="0"/>
      <w:marTop w:val="0"/>
      <w:marBottom w:val="0"/>
      <w:divBdr>
        <w:top w:val="none" w:sz="0" w:space="0" w:color="auto"/>
        <w:left w:val="none" w:sz="0" w:space="0" w:color="auto"/>
        <w:bottom w:val="none" w:sz="0" w:space="0" w:color="auto"/>
        <w:right w:val="none" w:sz="0" w:space="0" w:color="auto"/>
      </w:divBdr>
      <w:divsChild>
        <w:div w:id="596837218">
          <w:marLeft w:val="0"/>
          <w:marRight w:val="0"/>
          <w:marTop w:val="0"/>
          <w:marBottom w:val="0"/>
          <w:divBdr>
            <w:top w:val="none" w:sz="0" w:space="0" w:color="auto"/>
            <w:left w:val="none" w:sz="0" w:space="0" w:color="auto"/>
            <w:bottom w:val="none" w:sz="0" w:space="0" w:color="auto"/>
            <w:right w:val="none" w:sz="0" w:space="0" w:color="auto"/>
          </w:divBdr>
        </w:div>
      </w:divsChild>
    </w:div>
    <w:div w:id="1212377395">
      <w:marLeft w:val="0"/>
      <w:marRight w:val="0"/>
      <w:marTop w:val="0"/>
      <w:marBottom w:val="0"/>
      <w:divBdr>
        <w:top w:val="none" w:sz="0" w:space="0" w:color="auto"/>
        <w:left w:val="none" w:sz="0" w:space="0" w:color="auto"/>
        <w:bottom w:val="none" w:sz="0" w:space="0" w:color="auto"/>
        <w:right w:val="none" w:sz="0" w:space="0" w:color="auto"/>
      </w:divBdr>
    </w:div>
    <w:div w:id="1359771644">
      <w:marLeft w:val="0"/>
      <w:marRight w:val="0"/>
      <w:marTop w:val="0"/>
      <w:marBottom w:val="0"/>
      <w:divBdr>
        <w:top w:val="none" w:sz="0" w:space="0" w:color="auto"/>
        <w:left w:val="none" w:sz="0" w:space="0" w:color="auto"/>
        <w:bottom w:val="none" w:sz="0" w:space="0" w:color="auto"/>
        <w:right w:val="none" w:sz="0" w:space="0" w:color="auto"/>
      </w:divBdr>
    </w:div>
    <w:div w:id="1450705911">
      <w:marLeft w:val="0"/>
      <w:marRight w:val="0"/>
      <w:marTop w:val="0"/>
      <w:marBottom w:val="0"/>
      <w:divBdr>
        <w:top w:val="none" w:sz="0" w:space="0" w:color="auto"/>
        <w:left w:val="none" w:sz="0" w:space="0" w:color="auto"/>
        <w:bottom w:val="none" w:sz="0" w:space="0" w:color="auto"/>
        <w:right w:val="none" w:sz="0" w:space="0" w:color="auto"/>
      </w:divBdr>
    </w:div>
    <w:div w:id="1482311966">
      <w:marLeft w:val="0"/>
      <w:marRight w:val="0"/>
      <w:marTop w:val="0"/>
      <w:marBottom w:val="0"/>
      <w:divBdr>
        <w:top w:val="none" w:sz="0" w:space="0" w:color="auto"/>
        <w:left w:val="none" w:sz="0" w:space="0" w:color="auto"/>
        <w:bottom w:val="none" w:sz="0" w:space="0" w:color="auto"/>
        <w:right w:val="none" w:sz="0" w:space="0" w:color="auto"/>
      </w:divBdr>
      <w:divsChild>
        <w:div w:id="253125187">
          <w:marLeft w:val="0"/>
          <w:marRight w:val="0"/>
          <w:marTop w:val="0"/>
          <w:marBottom w:val="0"/>
          <w:divBdr>
            <w:top w:val="none" w:sz="0" w:space="0" w:color="auto"/>
            <w:left w:val="none" w:sz="0" w:space="0" w:color="auto"/>
            <w:bottom w:val="none" w:sz="0" w:space="0" w:color="auto"/>
            <w:right w:val="none" w:sz="0" w:space="0" w:color="auto"/>
          </w:divBdr>
        </w:div>
      </w:divsChild>
    </w:div>
    <w:div w:id="1579366704">
      <w:marLeft w:val="0"/>
      <w:marRight w:val="0"/>
      <w:marTop w:val="0"/>
      <w:marBottom w:val="0"/>
      <w:divBdr>
        <w:top w:val="none" w:sz="0" w:space="0" w:color="auto"/>
        <w:left w:val="none" w:sz="0" w:space="0" w:color="auto"/>
        <w:bottom w:val="none" w:sz="0" w:space="0" w:color="auto"/>
        <w:right w:val="none" w:sz="0" w:space="0" w:color="auto"/>
      </w:divBdr>
      <w:divsChild>
        <w:div w:id="83844337">
          <w:marLeft w:val="0"/>
          <w:marRight w:val="0"/>
          <w:marTop w:val="0"/>
          <w:marBottom w:val="0"/>
          <w:divBdr>
            <w:top w:val="none" w:sz="0" w:space="0" w:color="auto"/>
            <w:left w:val="none" w:sz="0" w:space="0" w:color="auto"/>
            <w:bottom w:val="none" w:sz="0" w:space="0" w:color="auto"/>
            <w:right w:val="none" w:sz="0" w:space="0" w:color="auto"/>
          </w:divBdr>
        </w:div>
        <w:div w:id="2049798221">
          <w:marLeft w:val="0"/>
          <w:marRight w:val="0"/>
          <w:marTop w:val="0"/>
          <w:marBottom w:val="0"/>
          <w:divBdr>
            <w:top w:val="none" w:sz="0" w:space="0" w:color="auto"/>
            <w:left w:val="none" w:sz="0" w:space="0" w:color="auto"/>
            <w:bottom w:val="none" w:sz="0" w:space="0" w:color="auto"/>
            <w:right w:val="none" w:sz="0" w:space="0" w:color="auto"/>
          </w:divBdr>
        </w:div>
      </w:divsChild>
    </w:div>
    <w:div w:id="1631739136">
      <w:marLeft w:val="0"/>
      <w:marRight w:val="0"/>
      <w:marTop w:val="0"/>
      <w:marBottom w:val="0"/>
      <w:divBdr>
        <w:top w:val="none" w:sz="0" w:space="0" w:color="auto"/>
        <w:left w:val="none" w:sz="0" w:space="0" w:color="auto"/>
        <w:bottom w:val="none" w:sz="0" w:space="0" w:color="auto"/>
        <w:right w:val="none" w:sz="0" w:space="0" w:color="auto"/>
      </w:divBdr>
    </w:div>
    <w:div w:id="1806045306">
      <w:marLeft w:val="0"/>
      <w:marRight w:val="0"/>
      <w:marTop w:val="0"/>
      <w:marBottom w:val="0"/>
      <w:divBdr>
        <w:top w:val="none" w:sz="0" w:space="0" w:color="auto"/>
        <w:left w:val="none" w:sz="0" w:space="0" w:color="auto"/>
        <w:bottom w:val="none" w:sz="0" w:space="0" w:color="auto"/>
        <w:right w:val="none" w:sz="0" w:space="0" w:color="auto"/>
      </w:divBdr>
      <w:divsChild>
        <w:div w:id="1866165045">
          <w:marLeft w:val="0"/>
          <w:marRight w:val="0"/>
          <w:marTop w:val="0"/>
          <w:marBottom w:val="0"/>
          <w:divBdr>
            <w:top w:val="none" w:sz="0" w:space="0" w:color="auto"/>
            <w:left w:val="none" w:sz="0" w:space="0" w:color="auto"/>
            <w:bottom w:val="none" w:sz="0" w:space="0" w:color="auto"/>
            <w:right w:val="none" w:sz="0" w:space="0" w:color="auto"/>
          </w:divBdr>
        </w:div>
      </w:divsChild>
    </w:div>
    <w:div w:id="1840272205">
      <w:marLeft w:val="0"/>
      <w:marRight w:val="0"/>
      <w:marTop w:val="0"/>
      <w:marBottom w:val="0"/>
      <w:divBdr>
        <w:top w:val="none" w:sz="0" w:space="0" w:color="auto"/>
        <w:left w:val="none" w:sz="0" w:space="0" w:color="auto"/>
        <w:bottom w:val="none" w:sz="0" w:space="0" w:color="auto"/>
        <w:right w:val="none" w:sz="0" w:space="0" w:color="auto"/>
      </w:divBdr>
    </w:div>
    <w:div w:id="1855920819">
      <w:marLeft w:val="0"/>
      <w:marRight w:val="0"/>
      <w:marTop w:val="0"/>
      <w:marBottom w:val="0"/>
      <w:divBdr>
        <w:top w:val="none" w:sz="0" w:space="0" w:color="auto"/>
        <w:left w:val="none" w:sz="0" w:space="0" w:color="auto"/>
        <w:bottom w:val="none" w:sz="0" w:space="0" w:color="auto"/>
        <w:right w:val="none" w:sz="0" w:space="0" w:color="auto"/>
      </w:divBdr>
    </w:div>
    <w:div w:id="1921132106">
      <w:marLeft w:val="0"/>
      <w:marRight w:val="0"/>
      <w:marTop w:val="0"/>
      <w:marBottom w:val="0"/>
      <w:divBdr>
        <w:top w:val="none" w:sz="0" w:space="0" w:color="auto"/>
        <w:left w:val="none" w:sz="0" w:space="0" w:color="auto"/>
        <w:bottom w:val="none" w:sz="0" w:space="0" w:color="auto"/>
        <w:right w:val="none" w:sz="0" w:space="0" w:color="auto"/>
      </w:divBdr>
    </w:div>
    <w:div w:id="1931504280">
      <w:marLeft w:val="0"/>
      <w:marRight w:val="0"/>
      <w:marTop w:val="0"/>
      <w:marBottom w:val="0"/>
      <w:divBdr>
        <w:top w:val="none" w:sz="0" w:space="0" w:color="auto"/>
        <w:left w:val="none" w:sz="0" w:space="0" w:color="auto"/>
        <w:bottom w:val="none" w:sz="0" w:space="0" w:color="auto"/>
        <w:right w:val="none" w:sz="0" w:space="0" w:color="auto"/>
      </w:divBdr>
    </w:div>
    <w:div w:id="1962690850">
      <w:marLeft w:val="0"/>
      <w:marRight w:val="0"/>
      <w:marTop w:val="0"/>
      <w:marBottom w:val="0"/>
      <w:divBdr>
        <w:top w:val="none" w:sz="0" w:space="0" w:color="auto"/>
        <w:left w:val="none" w:sz="0" w:space="0" w:color="auto"/>
        <w:bottom w:val="none" w:sz="0" w:space="0" w:color="auto"/>
        <w:right w:val="none" w:sz="0" w:space="0" w:color="auto"/>
      </w:divBdr>
    </w:div>
    <w:div w:id="1993440483">
      <w:marLeft w:val="0"/>
      <w:marRight w:val="0"/>
      <w:marTop w:val="0"/>
      <w:marBottom w:val="0"/>
      <w:divBdr>
        <w:top w:val="none" w:sz="0" w:space="0" w:color="auto"/>
        <w:left w:val="none" w:sz="0" w:space="0" w:color="auto"/>
        <w:bottom w:val="none" w:sz="0" w:space="0" w:color="auto"/>
        <w:right w:val="none" w:sz="0" w:space="0" w:color="auto"/>
      </w:divBdr>
      <w:divsChild>
        <w:div w:id="1983189580">
          <w:marLeft w:val="0"/>
          <w:marRight w:val="0"/>
          <w:marTop w:val="0"/>
          <w:marBottom w:val="0"/>
          <w:divBdr>
            <w:top w:val="none" w:sz="0" w:space="0" w:color="auto"/>
            <w:left w:val="none" w:sz="0" w:space="0" w:color="auto"/>
            <w:bottom w:val="none" w:sz="0" w:space="0" w:color="auto"/>
            <w:right w:val="none" w:sz="0" w:space="0" w:color="auto"/>
          </w:divBdr>
        </w:div>
      </w:divsChild>
    </w:div>
    <w:div w:id="2006081106">
      <w:marLeft w:val="0"/>
      <w:marRight w:val="0"/>
      <w:marTop w:val="0"/>
      <w:marBottom w:val="0"/>
      <w:divBdr>
        <w:top w:val="none" w:sz="0" w:space="0" w:color="auto"/>
        <w:left w:val="none" w:sz="0" w:space="0" w:color="auto"/>
        <w:bottom w:val="none" w:sz="0" w:space="0" w:color="auto"/>
        <w:right w:val="none" w:sz="0" w:space="0" w:color="auto"/>
      </w:divBdr>
    </w:div>
    <w:div w:id="207751019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8EA0-3376-4F03-91DF-4C12AEAD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1458</Words>
  <Characters>8313</Characters>
  <Application>Microsoft Office Word</Application>
  <DocSecurity>4</DocSecurity>
  <Lines>69</Lines>
  <Paragraphs>19</Paragraphs>
  <ScaleCrop>false</ScaleCrop>
  <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