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摩根日本精选股票型证券投资基金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2</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6</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二〇二四年七月十九日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摩根日本精选股票</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007280</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007280</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2019</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1,414,547,956.56</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本基金主要投资于日本上市公司股票，在严格控制风险的前提下追求超越业绩比较基准的回报。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A877E2" w:rsidRDefault="0022522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A877E2" w:rsidRDefault="0022522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日本市场情况，企业基本面、竞争优势等多方面因素，精选优秀的日本企业进行配置以构建股票投资组合。同时，本基金将结合股票、债券等各类资产风险收益特征，确定合适的资产配置比例。</w:t>
            </w:r>
          </w:p>
          <w:p w:rsidR="00A877E2" w:rsidRDefault="0022522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A877E2" w:rsidRDefault="0022522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方面，本基金通过对上市公司的财务状况、业绩持续性、公司治理三个方面的分析对公司投资价值进行评估，主要投资于财务状况良好，业绩增长具有可持续性，公司治理结构合理的公司。根据上述精选出的个股，结合各项定量和定性指标挑选出最具上涨潜力的标的自下而上构建投资组合。</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、其他投资策略：包括债券投资策略、中小企业私募债投资策略、证券公司短期公司债投资策略、资产支持证券投资策略、金融衍生品投资策略。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本基金的业绩比较基准：</w:t>
            </w:r>
            <w:r w:rsidRPr="00A3398F">
              <w:rPr>
                <w:rFonts w:eastAsiaTheme="minorEastAsia"/>
                <w:color w:val="000000" w:themeColor="text1"/>
                <w:kern w:val="0"/>
                <w:szCs w:val="21"/>
              </w:rPr>
              <w:t>90%×</w:t>
            </w:r>
            <w:r w:rsidRPr="00A3398F">
              <w:rPr>
                <w:rFonts w:eastAsiaTheme="minorEastAsia"/>
                <w:color w:val="000000" w:themeColor="text1"/>
                <w:kern w:val="0"/>
                <w:szCs w:val="21"/>
              </w:rPr>
              <w:t>东京证券交易所股价总指数收益率</w:t>
            </w:r>
            <w:r w:rsidRPr="00A3398F">
              <w:rPr>
                <w:rFonts w:eastAsiaTheme="minorEastAsia"/>
                <w:color w:val="000000" w:themeColor="text1"/>
                <w:kern w:val="0"/>
                <w:szCs w:val="21"/>
              </w:rPr>
              <w:t>+ 10%×</w:t>
            </w:r>
            <w:r w:rsidRPr="00A3398F">
              <w:rPr>
                <w:rFonts w:eastAsiaTheme="minorEastAsia"/>
                <w:color w:val="000000" w:themeColor="text1"/>
                <w:kern w:val="0"/>
                <w:szCs w:val="21"/>
              </w:rPr>
              <w:t>税后银行活期存款收益率</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本基金属于股票型基金产品，预期风险和收益水平高于混合型基金、债券型基金和货币市场基金。</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摩根资产管理（亚太）有限公司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007280</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019449</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1,081,293,746.24</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333,254,210.32</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-9,758,249.13</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-4,718,201.36</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-21,708,548.23</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-18,147,767.88</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-0.0201</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-0.0462</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1,742,021,963.24</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536,073,849.92</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1.6111</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1.6086</w:t>
            </w:r>
          </w:p>
        </w:tc>
      </w:tr>
    </w:tbl>
    <w:p w:rsidR="00A877E2" w:rsidRDefault="0022522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摩根日本精选股票</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A877E2">
        <w:tc>
          <w:tcPr>
            <w:tcW w:w="1290" w:type="dxa"/>
            <w:vAlign w:val="center"/>
          </w:tcPr>
          <w:p w:rsidR="00A877E2" w:rsidRDefault="0022522D">
            <w:pPr>
              <w:jc w:val="left"/>
            </w:pPr>
            <w:r>
              <w:rPr>
                <w:rFonts w:eastAsiaTheme="minorEastAsia"/>
                <w:color w:val="000000" w:themeColor="text1"/>
                <w:szCs w:val="21"/>
              </w:rPr>
              <w:t>过去三个月</w:t>
            </w:r>
          </w:p>
        </w:tc>
        <w:tc>
          <w:tcPr>
            <w:tcW w:w="1291" w:type="dxa"/>
            <w:vAlign w:val="center"/>
          </w:tcPr>
          <w:p w:rsidR="00A877E2" w:rsidRDefault="0022522D">
            <w:pPr>
              <w:jc w:val="right"/>
            </w:pPr>
            <w:r>
              <w:rPr>
                <w:rFonts w:eastAsiaTheme="minorEastAsia"/>
                <w:color w:val="000000" w:themeColor="text1"/>
                <w:szCs w:val="21"/>
              </w:rPr>
              <w:t>-0.91%</w:t>
            </w:r>
          </w:p>
        </w:tc>
        <w:tc>
          <w:tcPr>
            <w:tcW w:w="1291" w:type="dxa"/>
            <w:vAlign w:val="center"/>
          </w:tcPr>
          <w:p w:rsidR="00A877E2" w:rsidRDefault="0022522D">
            <w:pPr>
              <w:jc w:val="right"/>
            </w:pPr>
            <w:r>
              <w:rPr>
                <w:rFonts w:eastAsiaTheme="minorEastAsia"/>
                <w:color w:val="000000" w:themeColor="text1"/>
                <w:szCs w:val="21"/>
              </w:rPr>
              <w:t>0.99%</w:t>
            </w:r>
          </w:p>
        </w:tc>
        <w:tc>
          <w:tcPr>
            <w:tcW w:w="1291" w:type="dxa"/>
            <w:vAlign w:val="center"/>
          </w:tcPr>
          <w:p w:rsidR="00A877E2" w:rsidRDefault="0022522D">
            <w:pPr>
              <w:jc w:val="right"/>
            </w:pPr>
            <w:r>
              <w:rPr>
                <w:rFonts w:eastAsiaTheme="minorEastAsia"/>
                <w:color w:val="000000" w:themeColor="text1"/>
                <w:szCs w:val="21"/>
              </w:rPr>
              <w:t>-3.17%</w:t>
            </w:r>
          </w:p>
        </w:tc>
        <w:tc>
          <w:tcPr>
            <w:tcW w:w="1291" w:type="dxa"/>
            <w:vAlign w:val="center"/>
          </w:tcPr>
          <w:p w:rsidR="00A877E2" w:rsidRDefault="0022522D">
            <w:pPr>
              <w:jc w:val="right"/>
            </w:pPr>
            <w:r>
              <w:rPr>
                <w:rFonts w:eastAsiaTheme="minorEastAsia"/>
                <w:color w:val="000000" w:themeColor="text1"/>
                <w:szCs w:val="21"/>
              </w:rPr>
              <w:t>0.89%</w:t>
            </w:r>
          </w:p>
        </w:tc>
        <w:tc>
          <w:tcPr>
            <w:tcW w:w="1291" w:type="dxa"/>
            <w:vAlign w:val="center"/>
          </w:tcPr>
          <w:p w:rsidR="00A877E2" w:rsidRDefault="0022522D">
            <w:pPr>
              <w:jc w:val="right"/>
            </w:pPr>
            <w:r>
              <w:rPr>
                <w:rFonts w:eastAsiaTheme="minorEastAsia"/>
                <w:color w:val="000000" w:themeColor="text1"/>
                <w:szCs w:val="21"/>
              </w:rPr>
              <w:t>2.26%</w:t>
            </w:r>
          </w:p>
        </w:tc>
        <w:tc>
          <w:tcPr>
            <w:tcW w:w="1291" w:type="dxa"/>
            <w:vAlign w:val="center"/>
          </w:tcPr>
          <w:p w:rsidR="00A877E2" w:rsidRDefault="0022522D">
            <w:pPr>
              <w:jc w:val="right"/>
            </w:pPr>
            <w:r>
              <w:rPr>
                <w:rFonts w:eastAsiaTheme="minorEastAsia"/>
                <w:color w:val="000000" w:themeColor="text1"/>
                <w:szCs w:val="21"/>
              </w:rPr>
              <w:t>0.10%</w:t>
            </w:r>
          </w:p>
        </w:tc>
      </w:tr>
      <w:tr w:rsidR="00A877E2">
        <w:tc>
          <w:tcPr>
            <w:tcW w:w="1290" w:type="dxa"/>
            <w:vAlign w:val="center"/>
          </w:tcPr>
          <w:p w:rsidR="00A877E2" w:rsidRDefault="0022522D">
            <w:pPr>
              <w:jc w:val="left"/>
            </w:pPr>
            <w:r>
              <w:rPr>
                <w:rFonts w:eastAsiaTheme="minorEastAsia"/>
                <w:color w:val="000000" w:themeColor="text1"/>
                <w:szCs w:val="21"/>
              </w:rPr>
              <w:t>过去六个月</w:t>
            </w:r>
          </w:p>
        </w:tc>
        <w:tc>
          <w:tcPr>
            <w:tcW w:w="1291" w:type="dxa"/>
            <w:vAlign w:val="center"/>
          </w:tcPr>
          <w:p w:rsidR="00A877E2" w:rsidRDefault="0022522D">
            <w:pPr>
              <w:jc w:val="right"/>
            </w:pPr>
            <w:r>
              <w:rPr>
                <w:rFonts w:eastAsiaTheme="minorEastAsia"/>
                <w:color w:val="000000" w:themeColor="text1"/>
                <w:szCs w:val="21"/>
              </w:rPr>
              <w:t>4.18%</w:t>
            </w:r>
          </w:p>
        </w:tc>
        <w:tc>
          <w:tcPr>
            <w:tcW w:w="1291" w:type="dxa"/>
            <w:vAlign w:val="center"/>
          </w:tcPr>
          <w:p w:rsidR="00A877E2" w:rsidRDefault="0022522D">
            <w:pPr>
              <w:jc w:val="right"/>
            </w:pPr>
            <w:r>
              <w:rPr>
                <w:rFonts w:eastAsiaTheme="minorEastAsia"/>
                <w:color w:val="000000" w:themeColor="text1"/>
                <w:szCs w:val="21"/>
              </w:rPr>
              <w:t>0.87%</w:t>
            </w:r>
          </w:p>
        </w:tc>
        <w:tc>
          <w:tcPr>
            <w:tcW w:w="1291" w:type="dxa"/>
            <w:vAlign w:val="center"/>
          </w:tcPr>
          <w:p w:rsidR="00A877E2" w:rsidRDefault="0022522D">
            <w:pPr>
              <w:jc w:val="right"/>
            </w:pPr>
            <w:r>
              <w:rPr>
                <w:rFonts w:eastAsiaTheme="minorEastAsia"/>
                <w:color w:val="000000" w:themeColor="text1"/>
                <w:szCs w:val="21"/>
              </w:rPr>
              <w:t>6.35%</w:t>
            </w:r>
          </w:p>
        </w:tc>
        <w:tc>
          <w:tcPr>
            <w:tcW w:w="1291" w:type="dxa"/>
            <w:vAlign w:val="center"/>
          </w:tcPr>
          <w:p w:rsidR="00A877E2" w:rsidRDefault="0022522D">
            <w:pPr>
              <w:jc w:val="right"/>
            </w:pPr>
            <w:r>
              <w:rPr>
                <w:rFonts w:eastAsiaTheme="minorEastAsia"/>
                <w:color w:val="000000" w:themeColor="text1"/>
                <w:szCs w:val="21"/>
              </w:rPr>
              <w:t>0.81%</w:t>
            </w:r>
          </w:p>
        </w:tc>
        <w:tc>
          <w:tcPr>
            <w:tcW w:w="1291" w:type="dxa"/>
            <w:vAlign w:val="center"/>
          </w:tcPr>
          <w:p w:rsidR="00A877E2" w:rsidRDefault="0022522D">
            <w:pPr>
              <w:jc w:val="right"/>
            </w:pPr>
            <w:r>
              <w:rPr>
                <w:rFonts w:eastAsiaTheme="minorEastAsia"/>
                <w:color w:val="000000" w:themeColor="text1"/>
                <w:szCs w:val="21"/>
              </w:rPr>
              <w:t>-2.17%</w:t>
            </w:r>
          </w:p>
        </w:tc>
        <w:tc>
          <w:tcPr>
            <w:tcW w:w="1291" w:type="dxa"/>
            <w:vAlign w:val="center"/>
          </w:tcPr>
          <w:p w:rsidR="00A877E2" w:rsidRDefault="0022522D">
            <w:pPr>
              <w:jc w:val="right"/>
            </w:pPr>
            <w:r>
              <w:rPr>
                <w:rFonts w:eastAsiaTheme="minorEastAsia"/>
                <w:color w:val="000000" w:themeColor="text1"/>
                <w:szCs w:val="21"/>
              </w:rPr>
              <w:t>0.06%</w:t>
            </w:r>
          </w:p>
        </w:tc>
      </w:tr>
      <w:tr w:rsidR="00A877E2">
        <w:tc>
          <w:tcPr>
            <w:tcW w:w="1290" w:type="dxa"/>
            <w:vAlign w:val="center"/>
          </w:tcPr>
          <w:p w:rsidR="00A877E2" w:rsidRDefault="0022522D">
            <w:pPr>
              <w:jc w:val="left"/>
            </w:pPr>
            <w:r>
              <w:rPr>
                <w:rFonts w:eastAsiaTheme="minorEastAsia"/>
                <w:color w:val="000000" w:themeColor="text1"/>
                <w:szCs w:val="21"/>
              </w:rPr>
              <w:t>过去一年</w:t>
            </w:r>
          </w:p>
        </w:tc>
        <w:tc>
          <w:tcPr>
            <w:tcW w:w="1291" w:type="dxa"/>
            <w:vAlign w:val="center"/>
          </w:tcPr>
          <w:p w:rsidR="00A877E2" w:rsidRDefault="0022522D">
            <w:pPr>
              <w:jc w:val="right"/>
            </w:pPr>
            <w:r>
              <w:rPr>
                <w:rFonts w:eastAsiaTheme="minorEastAsia"/>
                <w:color w:val="000000" w:themeColor="text1"/>
                <w:szCs w:val="21"/>
              </w:rPr>
              <w:t>4.71%</w:t>
            </w:r>
          </w:p>
        </w:tc>
        <w:tc>
          <w:tcPr>
            <w:tcW w:w="1291" w:type="dxa"/>
            <w:vAlign w:val="center"/>
          </w:tcPr>
          <w:p w:rsidR="00A877E2" w:rsidRDefault="0022522D">
            <w:pPr>
              <w:jc w:val="right"/>
            </w:pPr>
            <w:r>
              <w:rPr>
                <w:rFonts w:eastAsiaTheme="minorEastAsia"/>
                <w:color w:val="000000" w:themeColor="text1"/>
                <w:szCs w:val="21"/>
              </w:rPr>
              <w:t>0.86%</w:t>
            </w:r>
          </w:p>
        </w:tc>
        <w:tc>
          <w:tcPr>
            <w:tcW w:w="1291" w:type="dxa"/>
            <w:vAlign w:val="center"/>
          </w:tcPr>
          <w:p w:rsidR="00A877E2" w:rsidRDefault="0022522D">
            <w:pPr>
              <w:jc w:val="right"/>
            </w:pPr>
            <w:r>
              <w:rPr>
                <w:rFonts w:eastAsiaTheme="minorEastAsia"/>
                <w:color w:val="000000" w:themeColor="text1"/>
                <w:szCs w:val="21"/>
              </w:rPr>
              <w:t>10.98%</w:t>
            </w:r>
          </w:p>
        </w:tc>
        <w:tc>
          <w:tcPr>
            <w:tcW w:w="1291" w:type="dxa"/>
            <w:vAlign w:val="center"/>
          </w:tcPr>
          <w:p w:rsidR="00A877E2" w:rsidRDefault="0022522D">
            <w:pPr>
              <w:jc w:val="right"/>
            </w:pPr>
            <w:r>
              <w:rPr>
                <w:rFonts w:eastAsiaTheme="minorEastAsia"/>
                <w:color w:val="000000" w:themeColor="text1"/>
                <w:szCs w:val="21"/>
              </w:rPr>
              <w:t>0.79%</w:t>
            </w:r>
          </w:p>
        </w:tc>
        <w:tc>
          <w:tcPr>
            <w:tcW w:w="1291" w:type="dxa"/>
            <w:vAlign w:val="center"/>
          </w:tcPr>
          <w:p w:rsidR="00A877E2" w:rsidRDefault="0022522D">
            <w:pPr>
              <w:jc w:val="right"/>
            </w:pPr>
            <w:r>
              <w:rPr>
                <w:rFonts w:eastAsiaTheme="minorEastAsia"/>
                <w:color w:val="000000" w:themeColor="text1"/>
                <w:szCs w:val="21"/>
              </w:rPr>
              <w:t>-6.27%</w:t>
            </w:r>
          </w:p>
        </w:tc>
        <w:tc>
          <w:tcPr>
            <w:tcW w:w="1291" w:type="dxa"/>
            <w:vAlign w:val="center"/>
          </w:tcPr>
          <w:p w:rsidR="00A877E2" w:rsidRDefault="0022522D">
            <w:pPr>
              <w:jc w:val="right"/>
            </w:pPr>
            <w:r>
              <w:rPr>
                <w:rFonts w:eastAsiaTheme="minorEastAsia"/>
                <w:color w:val="000000" w:themeColor="text1"/>
                <w:szCs w:val="21"/>
              </w:rPr>
              <w:t>0.07%</w:t>
            </w:r>
          </w:p>
        </w:tc>
      </w:tr>
      <w:tr w:rsidR="00A877E2">
        <w:tc>
          <w:tcPr>
            <w:tcW w:w="1290" w:type="dxa"/>
            <w:vAlign w:val="center"/>
          </w:tcPr>
          <w:p w:rsidR="00A877E2" w:rsidRDefault="0022522D">
            <w:pPr>
              <w:jc w:val="left"/>
            </w:pPr>
            <w:r>
              <w:rPr>
                <w:rFonts w:eastAsiaTheme="minorEastAsia"/>
                <w:color w:val="000000" w:themeColor="text1"/>
                <w:szCs w:val="21"/>
              </w:rPr>
              <w:t>过去三年</w:t>
            </w:r>
          </w:p>
        </w:tc>
        <w:tc>
          <w:tcPr>
            <w:tcW w:w="1291" w:type="dxa"/>
            <w:vAlign w:val="center"/>
          </w:tcPr>
          <w:p w:rsidR="00A877E2" w:rsidRDefault="0022522D">
            <w:pPr>
              <w:jc w:val="right"/>
            </w:pPr>
            <w:r>
              <w:rPr>
                <w:rFonts w:eastAsiaTheme="minorEastAsia"/>
                <w:color w:val="000000" w:themeColor="text1"/>
                <w:szCs w:val="21"/>
              </w:rPr>
              <w:t>18.70%</w:t>
            </w:r>
          </w:p>
        </w:tc>
        <w:tc>
          <w:tcPr>
            <w:tcW w:w="1291" w:type="dxa"/>
            <w:vAlign w:val="center"/>
          </w:tcPr>
          <w:p w:rsidR="00A877E2" w:rsidRDefault="0022522D">
            <w:pPr>
              <w:jc w:val="right"/>
            </w:pPr>
            <w:r>
              <w:rPr>
                <w:rFonts w:eastAsiaTheme="minorEastAsia"/>
                <w:color w:val="000000" w:themeColor="text1"/>
                <w:szCs w:val="21"/>
              </w:rPr>
              <w:t>1.17%</w:t>
            </w:r>
          </w:p>
        </w:tc>
        <w:tc>
          <w:tcPr>
            <w:tcW w:w="1291" w:type="dxa"/>
            <w:vAlign w:val="center"/>
          </w:tcPr>
          <w:p w:rsidR="00A877E2" w:rsidRDefault="0022522D">
            <w:pPr>
              <w:jc w:val="right"/>
            </w:pPr>
            <w:r>
              <w:rPr>
                <w:rFonts w:eastAsiaTheme="minorEastAsia"/>
                <w:color w:val="000000" w:themeColor="text1"/>
                <w:szCs w:val="21"/>
              </w:rPr>
              <w:t>17.34%</w:t>
            </w:r>
          </w:p>
        </w:tc>
        <w:tc>
          <w:tcPr>
            <w:tcW w:w="1291" w:type="dxa"/>
            <w:vAlign w:val="center"/>
          </w:tcPr>
          <w:p w:rsidR="00A877E2" w:rsidRDefault="0022522D">
            <w:pPr>
              <w:jc w:val="right"/>
            </w:pPr>
            <w:r>
              <w:rPr>
                <w:rFonts w:eastAsiaTheme="minorEastAsia"/>
                <w:color w:val="000000" w:themeColor="text1"/>
                <w:szCs w:val="21"/>
              </w:rPr>
              <w:t>0.92%</w:t>
            </w:r>
          </w:p>
        </w:tc>
        <w:tc>
          <w:tcPr>
            <w:tcW w:w="1291" w:type="dxa"/>
            <w:vAlign w:val="center"/>
          </w:tcPr>
          <w:p w:rsidR="00A877E2" w:rsidRDefault="0022522D">
            <w:pPr>
              <w:jc w:val="right"/>
            </w:pPr>
            <w:r>
              <w:rPr>
                <w:rFonts w:eastAsiaTheme="minorEastAsia"/>
                <w:color w:val="000000" w:themeColor="text1"/>
                <w:szCs w:val="21"/>
              </w:rPr>
              <w:t>1.36%</w:t>
            </w:r>
          </w:p>
        </w:tc>
        <w:tc>
          <w:tcPr>
            <w:tcW w:w="1291" w:type="dxa"/>
            <w:vAlign w:val="center"/>
          </w:tcPr>
          <w:p w:rsidR="00A877E2" w:rsidRDefault="0022522D">
            <w:pPr>
              <w:jc w:val="right"/>
            </w:pPr>
            <w:r>
              <w:rPr>
                <w:rFonts w:eastAsiaTheme="minorEastAsia"/>
                <w:color w:val="000000" w:themeColor="text1"/>
                <w:szCs w:val="21"/>
              </w:rPr>
              <w:t>0.25%</w:t>
            </w:r>
          </w:p>
        </w:tc>
      </w:tr>
      <w:tr w:rsidR="00A877E2">
        <w:tc>
          <w:tcPr>
            <w:tcW w:w="1290" w:type="dxa"/>
            <w:vAlign w:val="center"/>
          </w:tcPr>
          <w:p w:rsidR="00A877E2" w:rsidRDefault="0022522D">
            <w:pPr>
              <w:jc w:val="left"/>
            </w:pPr>
            <w:r>
              <w:rPr>
                <w:rFonts w:eastAsiaTheme="minorEastAsia"/>
                <w:color w:val="000000" w:themeColor="text1"/>
                <w:szCs w:val="21"/>
              </w:rPr>
              <w:t>过去五年</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r>
      <w:tr w:rsidR="00A877E2">
        <w:tc>
          <w:tcPr>
            <w:tcW w:w="1290" w:type="dxa"/>
            <w:vAlign w:val="center"/>
          </w:tcPr>
          <w:p w:rsidR="00A877E2" w:rsidRDefault="0022522D">
            <w:pPr>
              <w:jc w:val="left"/>
            </w:pPr>
            <w:r>
              <w:rPr>
                <w:rFonts w:eastAsiaTheme="minorEastAsia"/>
                <w:color w:val="000000" w:themeColor="text1"/>
                <w:szCs w:val="21"/>
              </w:rPr>
              <w:t>自基金合同生效起至今</w:t>
            </w:r>
          </w:p>
        </w:tc>
        <w:tc>
          <w:tcPr>
            <w:tcW w:w="1291" w:type="dxa"/>
            <w:vAlign w:val="center"/>
          </w:tcPr>
          <w:p w:rsidR="00A877E2" w:rsidRDefault="0022522D">
            <w:pPr>
              <w:jc w:val="right"/>
            </w:pPr>
            <w:r>
              <w:rPr>
                <w:rFonts w:eastAsiaTheme="minorEastAsia"/>
                <w:color w:val="000000" w:themeColor="text1"/>
                <w:szCs w:val="21"/>
              </w:rPr>
              <w:t>61.11%</w:t>
            </w:r>
          </w:p>
        </w:tc>
        <w:tc>
          <w:tcPr>
            <w:tcW w:w="1291" w:type="dxa"/>
            <w:vAlign w:val="center"/>
          </w:tcPr>
          <w:p w:rsidR="00A877E2" w:rsidRDefault="0022522D">
            <w:pPr>
              <w:jc w:val="right"/>
            </w:pPr>
            <w:r>
              <w:rPr>
                <w:rFonts w:eastAsiaTheme="minorEastAsia"/>
                <w:color w:val="000000" w:themeColor="text1"/>
                <w:szCs w:val="21"/>
              </w:rPr>
              <w:t>1.23%</w:t>
            </w:r>
          </w:p>
        </w:tc>
        <w:tc>
          <w:tcPr>
            <w:tcW w:w="1291" w:type="dxa"/>
            <w:vAlign w:val="center"/>
          </w:tcPr>
          <w:p w:rsidR="00A877E2" w:rsidRDefault="0022522D">
            <w:pPr>
              <w:jc w:val="right"/>
            </w:pPr>
            <w:r>
              <w:rPr>
                <w:rFonts w:eastAsiaTheme="minorEastAsia"/>
                <w:color w:val="000000" w:themeColor="text1"/>
                <w:szCs w:val="21"/>
              </w:rPr>
              <w:t>38.14%</w:t>
            </w:r>
          </w:p>
        </w:tc>
        <w:tc>
          <w:tcPr>
            <w:tcW w:w="1291" w:type="dxa"/>
            <w:vAlign w:val="center"/>
          </w:tcPr>
          <w:p w:rsidR="00A877E2" w:rsidRDefault="0022522D">
            <w:pPr>
              <w:jc w:val="right"/>
            </w:pPr>
            <w:r>
              <w:rPr>
                <w:rFonts w:eastAsiaTheme="minorEastAsia"/>
                <w:color w:val="000000" w:themeColor="text1"/>
                <w:szCs w:val="21"/>
              </w:rPr>
              <w:t>0.98%</w:t>
            </w:r>
          </w:p>
        </w:tc>
        <w:tc>
          <w:tcPr>
            <w:tcW w:w="1291" w:type="dxa"/>
            <w:vAlign w:val="center"/>
          </w:tcPr>
          <w:p w:rsidR="00A877E2" w:rsidRDefault="0022522D">
            <w:pPr>
              <w:jc w:val="right"/>
            </w:pPr>
            <w:r>
              <w:rPr>
                <w:rFonts w:eastAsiaTheme="minorEastAsia"/>
                <w:color w:val="000000" w:themeColor="text1"/>
                <w:szCs w:val="21"/>
              </w:rPr>
              <w:t>22.97%</w:t>
            </w:r>
          </w:p>
        </w:tc>
        <w:tc>
          <w:tcPr>
            <w:tcW w:w="1291" w:type="dxa"/>
            <w:vAlign w:val="center"/>
          </w:tcPr>
          <w:p w:rsidR="00A877E2" w:rsidRDefault="0022522D">
            <w:pPr>
              <w:jc w:val="right"/>
            </w:pPr>
            <w:r>
              <w:rPr>
                <w:rFonts w:eastAsiaTheme="minorEastAsia"/>
                <w:color w:val="000000" w:themeColor="text1"/>
                <w:szCs w:val="21"/>
              </w:rPr>
              <w:t>0.25%</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摩根日本精选股票</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lastRenderedPageBreak/>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A877E2">
        <w:tc>
          <w:tcPr>
            <w:tcW w:w="1290" w:type="dxa"/>
            <w:vAlign w:val="center"/>
          </w:tcPr>
          <w:p w:rsidR="00A877E2" w:rsidRDefault="0022522D">
            <w:pPr>
              <w:jc w:val="left"/>
            </w:pPr>
            <w:r>
              <w:rPr>
                <w:rFonts w:eastAsiaTheme="minorEastAsia"/>
                <w:color w:val="000000" w:themeColor="text1"/>
                <w:szCs w:val="21"/>
              </w:rPr>
              <w:t>过去三个月</w:t>
            </w:r>
          </w:p>
        </w:tc>
        <w:tc>
          <w:tcPr>
            <w:tcW w:w="1291" w:type="dxa"/>
            <w:vAlign w:val="center"/>
          </w:tcPr>
          <w:p w:rsidR="00A877E2" w:rsidRDefault="0022522D">
            <w:pPr>
              <w:jc w:val="right"/>
            </w:pPr>
            <w:r>
              <w:rPr>
                <w:rFonts w:eastAsiaTheme="minorEastAsia"/>
                <w:color w:val="000000" w:themeColor="text1"/>
                <w:szCs w:val="21"/>
              </w:rPr>
              <w:t>-1.02%</w:t>
            </w:r>
          </w:p>
        </w:tc>
        <w:tc>
          <w:tcPr>
            <w:tcW w:w="1291" w:type="dxa"/>
            <w:vAlign w:val="center"/>
          </w:tcPr>
          <w:p w:rsidR="00A877E2" w:rsidRDefault="0022522D">
            <w:pPr>
              <w:jc w:val="right"/>
            </w:pPr>
            <w:r>
              <w:rPr>
                <w:rFonts w:eastAsiaTheme="minorEastAsia"/>
                <w:color w:val="000000" w:themeColor="text1"/>
                <w:szCs w:val="21"/>
              </w:rPr>
              <w:t>0.99%</w:t>
            </w:r>
          </w:p>
        </w:tc>
        <w:tc>
          <w:tcPr>
            <w:tcW w:w="1291" w:type="dxa"/>
            <w:vAlign w:val="center"/>
          </w:tcPr>
          <w:p w:rsidR="00A877E2" w:rsidRDefault="0022522D">
            <w:pPr>
              <w:jc w:val="right"/>
            </w:pPr>
            <w:r>
              <w:rPr>
                <w:rFonts w:eastAsiaTheme="minorEastAsia"/>
                <w:color w:val="000000" w:themeColor="text1"/>
                <w:szCs w:val="21"/>
              </w:rPr>
              <w:t>-3.17%</w:t>
            </w:r>
          </w:p>
        </w:tc>
        <w:tc>
          <w:tcPr>
            <w:tcW w:w="1291" w:type="dxa"/>
            <w:vAlign w:val="center"/>
          </w:tcPr>
          <w:p w:rsidR="00A877E2" w:rsidRDefault="0022522D">
            <w:pPr>
              <w:jc w:val="right"/>
            </w:pPr>
            <w:r>
              <w:rPr>
                <w:rFonts w:eastAsiaTheme="minorEastAsia"/>
                <w:color w:val="000000" w:themeColor="text1"/>
                <w:szCs w:val="21"/>
              </w:rPr>
              <w:t>0.89%</w:t>
            </w:r>
          </w:p>
        </w:tc>
        <w:tc>
          <w:tcPr>
            <w:tcW w:w="1291" w:type="dxa"/>
            <w:vAlign w:val="center"/>
          </w:tcPr>
          <w:p w:rsidR="00A877E2" w:rsidRDefault="0022522D">
            <w:pPr>
              <w:jc w:val="right"/>
            </w:pPr>
            <w:r>
              <w:rPr>
                <w:rFonts w:eastAsiaTheme="minorEastAsia"/>
                <w:color w:val="000000" w:themeColor="text1"/>
                <w:szCs w:val="21"/>
              </w:rPr>
              <w:t>2.15%</w:t>
            </w:r>
          </w:p>
        </w:tc>
        <w:tc>
          <w:tcPr>
            <w:tcW w:w="1291" w:type="dxa"/>
            <w:vAlign w:val="center"/>
          </w:tcPr>
          <w:p w:rsidR="00A877E2" w:rsidRDefault="0022522D">
            <w:pPr>
              <w:jc w:val="right"/>
            </w:pPr>
            <w:r>
              <w:rPr>
                <w:rFonts w:eastAsiaTheme="minorEastAsia"/>
                <w:color w:val="000000" w:themeColor="text1"/>
                <w:szCs w:val="21"/>
              </w:rPr>
              <w:t>0.10%</w:t>
            </w:r>
          </w:p>
        </w:tc>
      </w:tr>
      <w:tr w:rsidR="00A877E2">
        <w:tc>
          <w:tcPr>
            <w:tcW w:w="1290" w:type="dxa"/>
            <w:vAlign w:val="center"/>
          </w:tcPr>
          <w:p w:rsidR="00A877E2" w:rsidRDefault="0022522D">
            <w:pPr>
              <w:jc w:val="left"/>
            </w:pPr>
            <w:r>
              <w:rPr>
                <w:rFonts w:eastAsiaTheme="minorEastAsia"/>
                <w:color w:val="000000" w:themeColor="text1"/>
                <w:szCs w:val="21"/>
              </w:rPr>
              <w:t>过去六个月</w:t>
            </w:r>
          </w:p>
        </w:tc>
        <w:tc>
          <w:tcPr>
            <w:tcW w:w="1291" w:type="dxa"/>
            <w:vAlign w:val="center"/>
          </w:tcPr>
          <w:p w:rsidR="00A877E2" w:rsidRDefault="0022522D">
            <w:pPr>
              <w:jc w:val="right"/>
            </w:pPr>
            <w:r>
              <w:rPr>
                <w:rFonts w:eastAsiaTheme="minorEastAsia"/>
                <w:color w:val="000000" w:themeColor="text1"/>
                <w:szCs w:val="21"/>
              </w:rPr>
              <w:t>3.95%</w:t>
            </w:r>
          </w:p>
        </w:tc>
        <w:tc>
          <w:tcPr>
            <w:tcW w:w="1291" w:type="dxa"/>
            <w:vAlign w:val="center"/>
          </w:tcPr>
          <w:p w:rsidR="00A877E2" w:rsidRDefault="0022522D">
            <w:pPr>
              <w:jc w:val="right"/>
            </w:pPr>
            <w:r>
              <w:rPr>
                <w:rFonts w:eastAsiaTheme="minorEastAsia"/>
                <w:color w:val="000000" w:themeColor="text1"/>
                <w:szCs w:val="21"/>
              </w:rPr>
              <w:t>0.87%</w:t>
            </w:r>
          </w:p>
        </w:tc>
        <w:tc>
          <w:tcPr>
            <w:tcW w:w="1291" w:type="dxa"/>
            <w:vAlign w:val="center"/>
          </w:tcPr>
          <w:p w:rsidR="00A877E2" w:rsidRDefault="0022522D">
            <w:pPr>
              <w:jc w:val="right"/>
            </w:pPr>
            <w:r>
              <w:rPr>
                <w:rFonts w:eastAsiaTheme="minorEastAsia"/>
                <w:color w:val="000000" w:themeColor="text1"/>
                <w:szCs w:val="21"/>
              </w:rPr>
              <w:t>6.35%</w:t>
            </w:r>
          </w:p>
        </w:tc>
        <w:tc>
          <w:tcPr>
            <w:tcW w:w="1291" w:type="dxa"/>
            <w:vAlign w:val="center"/>
          </w:tcPr>
          <w:p w:rsidR="00A877E2" w:rsidRDefault="0022522D">
            <w:pPr>
              <w:jc w:val="right"/>
            </w:pPr>
            <w:r>
              <w:rPr>
                <w:rFonts w:eastAsiaTheme="minorEastAsia"/>
                <w:color w:val="000000" w:themeColor="text1"/>
                <w:szCs w:val="21"/>
              </w:rPr>
              <w:t>0.81%</w:t>
            </w:r>
          </w:p>
        </w:tc>
        <w:tc>
          <w:tcPr>
            <w:tcW w:w="1291" w:type="dxa"/>
            <w:vAlign w:val="center"/>
          </w:tcPr>
          <w:p w:rsidR="00A877E2" w:rsidRDefault="0022522D">
            <w:pPr>
              <w:jc w:val="right"/>
            </w:pPr>
            <w:r>
              <w:rPr>
                <w:rFonts w:eastAsiaTheme="minorEastAsia"/>
                <w:color w:val="000000" w:themeColor="text1"/>
                <w:szCs w:val="21"/>
              </w:rPr>
              <w:t>-2.40%</w:t>
            </w:r>
          </w:p>
        </w:tc>
        <w:tc>
          <w:tcPr>
            <w:tcW w:w="1291" w:type="dxa"/>
            <w:vAlign w:val="center"/>
          </w:tcPr>
          <w:p w:rsidR="00A877E2" w:rsidRDefault="0022522D">
            <w:pPr>
              <w:jc w:val="right"/>
            </w:pPr>
            <w:r>
              <w:rPr>
                <w:rFonts w:eastAsiaTheme="minorEastAsia"/>
                <w:color w:val="000000" w:themeColor="text1"/>
                <w:szCs w:val="21"/>
              </w:rPr>
              <w:t>0.06%</w:t>
            </w:r>
          </w:p>
        </w:tc>
      </w:tr>
      <w:tr w:rsidR="00A877E2">
        <w:tc>
          <w:tcPr>
            <w:tcW w:w="1290" w:type="dxa"/>
            <w:vAlign w:val="center"/>
          </w:tcPr>
          <w:p w:rsidR="00A877E2" w:rsidRDefault="0022522D">
            <w:pPr>
              <w:jc w:val="left"/>
            </w:pPr>
            <w:r>
              <w:rPr>
                <w:rFonts w:eastAsiaTheme="minorEastAsia"/>
                <w:color w:val="000000" w:themeColor="text1"/>
                <w:szCs w:val="21"/>
              </w:rPr>
              <w:t>过去一年</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r>
      <w:tr w:rsidR="00A877E2">
        <w:tc>
          <w:tcPr>
            <w:tcW w:w="1290" w:type="dxa"/>
            <w:vAlign w:val="center"/>
          </w:tcPr>
          <w:p w:rsidR="00A877E2" w:rsidRDefault="0022522D">
            <w:pPr>
              <w:jc w:val="left"/>
            </w:pPr>
            <w:r>
              <w:rPr>
                <w:rFonts w:eastAsiaTheme="minorEastAsia"/>
                <w:color w:val="000000" w:themeColor="text1"/>
                <w:szCs w:val="21"/>
              </w:rPr>
              <w:t>过去三年</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r>
      <w:tr w:rsidR="00A877E2">
        <w:tc>
          <w:tcPr>
            <w:tcW w:w="1290" w:type="dxa"/>
            <w:vAlign w:val="center"/>
          </w:tcPr>
          <w:p w:rsidR="00A877E2" w:rsidRDefault="0022522D">
            <w:pPr>
              <w:jc w:val="left"/>
            </w:pPr>
            <w:r>
              <w:rPr>
                <w:rFonts w:eastAsiaTheme="minorEastAsia"/>
                <w:color w:val="000000" w:themeColor="text1"/>
                <w:szCs w:val="21"/>
              </w:rPr>
              <w:t>过去五年</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c>
          <w:tcPr>
            <w:tcW w:w="1291" w:type="dxa"/>
            <w:vAlign w:val="center"/>
          </w:tcPr>
          <w:p w:rsidR="00A877E2" w:rsidRDefault="0022522D">
            <w:pPr>
              <w:jc w:val="right"/>
            </w:pPr>
            <w:r>
              <w:rPr>
                <w:rFonts w:eastAsiaTheme="minorEastAsia"/>
                <w:color w:val="000000" w:themeColor="text1"/>
                <w:szCs w:val="21"/>
              </w:rPr>
              <w:t>-</w:t>
            </w:r>
          </w:p>
        </w:tc>
      </w:tr>
      <w:tr w:rsidR="00A877E2">
        <w:tc>
          <w:tcPr>
            <w:tcW w:w="1290" w:type="dxa"/>
            <w:vAlign w:val="center"/>
          </w:tcPr>
          <w:p w:rsidR="00A877E2" w:rsidRDefault="0022522D">
            <w:pPr>
              <w:jc w:val="left"/>
            </w:pPr>
            <w:r>
              <w:rPr>
                <w:rFonts w:eastAsiaTheme="minorEastAsia"/>
                <w:color w:val="000000" w:themeColor="text1"/>
                <w:szCs w:val="21"/>
              </w:rPr>
              <w:t>自基金合同生效起至今</w:t>
            </w:r>
          </w:p>
        </w:tc>
        <w:tc>
          <w:tcPr>
            <w:tcW w:w="1291" w:type="dxa"/>
            <w:vAlign w:val="center"/>
          </w:tcPr>
          <w:p w:rsidR="00A877E2" w:rsidRDefault="0022522D">
            <w:pPr>
              <w:jc w:val="right"/>
            </w:pPr>
            <w:r>
              <w:rPr>
                <w:rFonts w:eastAsiaTheme="minorEastAsia"/>
                <w:color w:val="000000" w:themeColor="text1"/>
                <w:szCs w:val="21"/>
              </w:rPr>
              <w:t>5.94%</w:t>
            </w:r>
          </w:p>
        </w:tc>
        <w:tc>
          <w:tcPr>
            <w:tcW w:w="1291" w:type="dxa"/>
            <w:vAlign w:val="center"/>
          </w:tcPr>
          <w:p w:rsidR="00A877E2" w:rsidRDefault="0022522D">
            <w:pPr>
              <w:jc w:val="right"/>
            </w:pPr>
            <w:r>
              <w:rPr>
                <w:rFonts w:eastAsiaTheme="minorEastAsia"/>
                <w:color w:val="000000" w:themeColor="text1"/>
                <w:szCs w:val="21"/>
              </w:rPr>
              <w:t>0.87%</w:t>
            </w:r>
          </w:p>
        </w:tc>
        <w:tc>
          <w:tcPr>
            <w:tcW w:w="1291" w:type="dxa"/>
            <w:vAlign w:val="center"/>
          </w:tcPr>
          <w:p w:rsidR="00A877E2" w:rsidRDefault="0022522D">
            <w:pPr>
              <w:jc w:val="right"/>
            </w:pPr>
            <w:r>
              <w:rPr>
                <w:rFonts w:eastAsiaTheme="minorEastAsia"/>
                <w:color w:val="000000" w:themeColor="text1"/>
                <w:szCs w:val="21"/>
              </w:rPr>
              <w:t>8.60%</w:t>
            </w:r>
          </w:p>
        </w:tc>
        <w:tc>
          <w:tcPr>
            <w:tcW w:w="1291" w:type="dxa"/>
            <w:vAlign w:val="center"/>
          </w:tcPr>
          <w:p w:rsidR="00A877E2" w:rsidRDefault="0022522D">
            <w:pPr>
              <w:jc w:val="right"/>
            </w:pPr>
            <w:r>
              <w:rPr>
                <w:rFonts w:eastAsiaTheme="minorEastAsia"/>
                <w:color w:val="000000" w:themeColor="text1"/>
                <w:szCs w:val="21"/>
              </w:rPr>
              <w:t>0.80%</w:t>
            </w:r>
          </w:p>
        </w:tc>
        <w:tc>
          <w:tcPr>
            <w:tcW w:w="1291" w:type="dxa"/>
            <w:vAlign w:val="center"/>
          </w:tcPr>
          <w:p w:rsidR="00A877E2" w:rsidRDefault="0022522D">
            <w:pPr>
              <w:jc w:val="right"/>
            </w:pPr>
            <w:r>
              <w:rPr>
                <w:rFonts w:eastAsiaTheme="minorEastAsia"/>
                <w:color w:val="000000" w:themeColor="text1"/>
                <w:szCs w:val="21"/>
              </w:rPr>
              <w:t>-2.66%</w:t>
            </w:r>
          </w:p>
        </w:tc>
        <w:tc>
          <w:tcPr>
            <w:tcW w:w="1291" w:type="dxa"/>
            <w:vAlign w:val="center"/>
          </w:tcPr>
          <w:p w:rsidR="00A877E2" w:rsidRDefault="0022522D">
            <w:pPr>
              <w:jc w:val="right"/>
            </w:pPr>
            <w:r>
              <w:rPr>
                <w:rFonts w:eastAsiaTheme="minorEastAsia"/>
                <w:color w:val="000000" w:themeColor="text1"/>
                <w:szCs w:val="21"/>
              </w:rPr>
              <w:t>0.07%</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摩根日本精选股票型证券投资基金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2019</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7</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31</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6</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．摩根日本精选股票</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．摩根日本精选股票</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A877E2">
        <w:tc>
          <w:tcPr>
            <w:tcW w:w="851" w:type="dxa"/>
            <w:vAlign w:val="center"/>
          </w:tcPr>
          <w:p w:rsidR="00A877E2" w:rsidRDefault="0022522D">
            <w:pPr>
              <w:jc w:val="center"/>
            </w:pPr>
            <w:r>
              <w:rPr>
                <w:rFonts w:eastAsiaTheme="minorEastAsia"/>
                <w:color w:val="000000" w:themeColor="text1"/>
                <w:szCs w:val="21"/>
              </w:rPr>
              <w:t>张军</w:t>
            </w:r>
          </w:p>
        </w:tc>
        <w:tc>
          <w:tcPr>
            <w:tcW w:w="850" w:type="dxa"/>
            <w:vAlign w:val="center"/>
          </w:tcPr>
          <w:p w:rsidR="00A877E2" w:rsidRDefault="0022522D">
            <w:pPr>
              <w:jc w:val="center"/>
            </w:pPr>
            <w:r>
              <w:rPr>
                <w:rFonts w:eastAsiaTheme="minorEastAsia"/>
                <w:color w:val="000000" w:themeColor="text1"/>
                <w:szCs w:val="21"/>
              </w:rPr>
              <w:t>本基金基金经理</w:t>
            </w:r>
          </w:p>
        </w:tc>
        <w:tc>
          <w:tcPr>
            <w:tcW w:w="1560" w:type="dxa"/>
            <w:vAlign w:val="center"/>
          </w:tcPr>
          <w:p w:rsidR="00A877E2" w:rsidRDefault="0022522D">
            <w:pPr>
              <w:jc w:val="center"/>
            </w:pPr>
            <w:r>
              <w:rPr>
                <w:rFonts w:eastAsiaTheme="minorEastAsia"/>
                <w:color w:val="000000" w:themeColor="text1"/>
                <w:szCs w:val="21"/>
              </w:rPr>
              <w:t>2019-07-31</w:t>
            </w:r>
          </w:p>
        </w:tc>
        <w:tc>
          <w:tcPr>
            <w:tcW w:w="1559" w:type="dxa"/>
            <w:vAlign w:val="center"/>
          </w:tcPr>
          <w:p w:rsidR="00A877E2" w:rsidRDefault="0022522D">
            <w:pPr>
              <w:jc w:val="center"/>
            </w:pPr>
            <w:r>
              <w:rPr>
                <w:rFonts w:eastAsiaTheme="minorEastAsia"/>
                <w:color w:val="000000" w:themeColor="text1"/>
                <w:szCs w:val="21"/>
              </w:rPr>
              <w:t>-</w:t>
            </w:r>
          </w:p>
        </w:tc>
        <w:tc>
          <w:tcPr>
            <w:tcW w:w="1417" w:type="dxa"/>
            <w:vAlign w:val="center"/>
          </w:tcPr>
          <w:p w:rsidR="00A877E2" w:rsidRDefault="0022522D">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rsidR="00A877E2" w:rsidRDefault="0022522D">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A877E2" w:rsidRDefault="0022522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A877E2" w:rsidRDefault="0022522D">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张军先生为本基金首任基金经理，其任职日期为本基金基金合同生效之日；</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1" w:name="_Hlk44921484"/>
      <w:bookmarkStart w:id="2"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9,007,066,137.55</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26,610,604.74</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9,033,676,742.29</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2"/>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867"/>
        <w:gridCol w:w="2231"/>
        <w:gridCol w:w="619"/>
        <w:gridCol w:w="4796"/>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A877E2">
        <w:tc>
          <w:tcPr>
            <w:tcW w:w="0" w:type="auto"/>
            <w:vAlign w:val="center"/>
          </w:tcPr>
          <w:p w:rsidR="00A877E2" w:rsidRDefault="0022522D">
            <w:pPr>
              <w:jc w:val="center"/>
            </w:pPr>
            <w:r>
              <w:rPr>
                <w:rFonts w:eastAsiaTheme="minorEastAsia"/>
                <w:color w:val="000000" w:themeColor="text1"/>
                <w:szCs w:val="21"/>
              </w:rPr>
              <w:t>水泽祥一</w:t>
            </w:r>
          </w:p>
        </w:tc>
        <w:tc>
          <w:tcPr>
            <w:tcW w:w="0" w:type="auto"/>
            <w:vAlign w:val="center"/>
          </w:tcPr>
          <w:p w:rsidR="00A877E2" w:rsidRDefault="0022522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董事总经理，日本股票专家，新兴市场和亚太地区（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w:t>
            </w:r>
          </w:p>
        </w:tc>
        <w:tc>
          <w:tcPr>
            <w:tcW w:w="0" w:type="auto"/>
            <w:vAlign w:val="center"/>
          </w:tcPr>
          <w:p w:rsidR="00A877E2" w:rsidRDefault="0022522D">
            <w:pPr>
              <w:jc w:val="center"/>
            </w:pPr>
            <w:r>
              <w:rPr>
                <w:rFonts w:eastAsiaTheme="minorEastAsia"/>
                <w:color w:val="000000" w:themeColor="text1"/>
                <w:szCs w:val="21"/>
              </w:rPr>
              <w:t>31</w:t>
            </w:r>
            <w:r>
              <w:rPr>
                <w:rFonts w:eastAsiaTheme="minorEastAsia"/>
                <w:color w:val="000000" w:themeColor="text1"/>
                <w:szCs w:val="21"/>
              </w:rPr>
              <w:t>年</w:t>
            </w:r>
          </w:p>
        </w:tc>
        <w:tc>
          <w:tcPr>
            <w:tcW w:w="0" w:type="auto"/>
            <w:vAlign w:val="center"/>
          </w:tcPr>
          <w:p w:rsidR="00A877E2" w:rsidRDefault="0022522D">
            <w:pPr>
              <w:jc w:val="left"/>
            </w:pPr>
            <w:r>
              <w:rPr>
                <w:rFonts w:eastAsiaTheme="minorEastAsia"/>
                <w:color w:val="000000" w:themeColor="text1"/>
                <w:szCs w:val="21"/>
              </w:rPr>
              <w:t>水泽祥一，董事总经理，是日本股票专家，也是新兴市场和亚太地区（</w:t>
            </w:r>
            <w:r>
              <w:rPr>
                <w:rFonts w:eastAsiaTheme="minorEastAsia"/>
                <w:color w:val="000000" w:themeColor="text1"/>
                <w:szCs w:val="21"/>
              </w:rPr>
              <w:t>EMAP</w:t>
            </w:r>
            <w:r>
              <w:rPr>
                <w:rFonts w:eastAsiaTheme="minorEastAsia"/>
                <w:color w:val="000000" w:themeColor="text1"/>
                <w:szCs w:val="21"/>
              </w:rPr>
              <w:t>）股票团队中日本股票团队的负责人。他常驻日本，负责管理在香港和东京的日本股票投资组合管理团队。水泽祥一于</w:t>
            </w:r>
            <w:r>
              <w:rPr>
                <w:rFonts w:eastAsiaTheme="minorEastAsia"/>
                <w:color w:val="000000" w:themeColor="text1"/>
                <w:szCs w:val="21"/>
              </w:rPr>
              <w:t>1997</w:t>
            </w:r>
            <w:r>
              <w:rPr>
                <w:rFonts w:eastAsiaTheme="minorEastAsia"/>
                <w:color w:val="000000" w:themeColor="text1"/>
                <w:szCs w:val="21"/>
              </w:rPr>
              <w:t>年加入公司，担任负责日本养老金基金的市场经理。他于</w:t>
            </w:r>
            <w:r>
              <w:rPr>
                <w:rFonts w:eastAsiaTheme="minorEastAsia"/>
                <w:color w:val="000000" w:themeColor="text1"/>
                <w:szCs w:val="21"/>
              </w:rPr>
              <w:t>2000</w:t>
            </w:r>
            <w:r>
              <w:rPr>
                <w:rFonts w:eastAsiaTheme="minorEastAsia"/>
                <w:color w:val="000000" w:themeColor="text1"/>
                <w:szCs w:val="21"/>
              </w:rPr>
              <w:t>年调入日本投资组合团队，并于</w:t>
            </w:r>
            <w:r>
              <w:rPr>
                <w:rFonts w:eastAsiaTheme="minorEastAsia"/>
                <w:color w:val="000000" w:themeColor="text1"/>
                <w:szCs w:val="21"/>
              </w:rPr>
              <w:t>2010</w:t>
            </w:r>
            <w:r>
              <w:rPr>
                <w:rFonts w:eastAsiaTheme="minorEastAsia"/>
                <w:color w:val="000000" w:themeColor="text1"/>
                <w:szCs w:val="21"/>
              </w:rPr>
              <w:t>年担任现职。在加入公司之前，水泽祥一在芬兰邮政银行（</w:t>
            </w:r>
            <w:r>
              <w:rPr>
                <w:rFonts w:eastAsiaTheme="minorEastAsia"/>
                <w:color w:val="000000" w:themeColor="text1"/>
                <w:szCs w:val="21"/>
              </w:rPr>
              <w:t>Postipankki</w:t>
            </w:r>
            <w:r>
              <w:rPr>
                <w:rFonts w:eastAsiaTheme="minorEastAsia"/>
                <w:color w:val="000000" w:themeColor="text1"/>
                <w:szCs w:val="21"/>
              </w:rPr>
              <w:t>）担任了四年的东京资本市场代表。他于</w:t>
            </w:r>
            <w:r>
              <w:rPr>
                <w:rFonts w:eastAsiaTheme="minorEastAsia"/>
                <w:color w:val="000000" w:themeColor="text1"/>
                <w:szCs w:val="21"/>
              </w:rPr>
              <w:t>1989</w:t>
            </w:r>
            <w:r>
              <w:rPr>
                <w:rFonts w:eastAsiaTheme="minorEastAsia"/>
                <w:color w:val="000000" w:themeColor="text1"/>
                <w:szCs w:val="21"/>
              </w:rPr>
              <w:t>年在三菱汽车公司开始其职业生涯。水泽祥一获得了早稻田大学（</w:t>
            </w:r>
            <w:r>
              <w:rPr>
                <w:rFonts w:eastAsiaTheme="minorEastAsia"/>
                <w:color w:val="000000" w:themeColor="text1"/>
                <w:szCs w:val="21"/>
              </w:rPr>
              <w:t>Waseda University</w:t>
            </w:r>
            <w:r>
              <w:rPr>
                <w:rFonts w:eastAsiaTheme="minorEastAsia"/>
                <w:color w:val="000000" w:themeColor="text1"/>
                <w:szCs w:val="21"/>
              </w:rPr>
              <w:t>）政治科学和经济学学士学位，以及西蒙弗雷泽大学（</w:t>
            </w:r>
            <w:r>
              <w:rPr>
                <w:rFonts w:eastAsiaTheme="minorEastAsia"/>
                <w:color w:val="000000" w:themeColor="text1"/>
                <w:szCs w:val="21"/>
              </w:rPr>
              <w:t>Simon Fraser University</w:t>
            </w:r>
            <w:r>
              <w:rPr>
                <w:rFonts w:eastAsiaTheme="minorEastAsia"/>
                <w:color w:val="000000" w:themeColor="text1"/>
                <w:szCs w:val="21"/>
              </w:rPr>
              <w:t>）的工商管理硕士学位。</w:t>
            </w:r>
          </w:p>
        </w:tc>
      </w:tr>
      <w:tr w:rsidR="00A877E2">
        <w:tc>
          <w:tcPr>
            <w:tcW w:w="0" w:type="auto"/>
            <w:vAlign w:val="center"/>
          </w:tcPr>
          <w:p w:rsidR="00A877E2" w:rsidRDefault="0022522D">
            <w:pPr>
              <w:jc w:val="center"/>
            </w:pPr>
            <w:r>
              <w:rPr>
                <w:rFonts w:eastAsiaTheme="minorEastAsia"/>
                <w:color w:val="000000" w:themeColor="text1"/>
                <w:szCs w:val="21"/>
              </w:rPr>
              <w:t>Julian Wong</w:t>
            </w:r>
          </w:p>
        </w:tc>
        <w:tc>
          <w:tcPr>
            <w:tcW w:w="0" w:type="auto"/>
            <w:vAlign w:val="center"/>
          </w:tcPr>
          <w:p w:rsidR="00A877E2" w:rsidRDefault="0022522D">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A877E2" w:rsidRDefault="0022522D">
            <w:pPr>
              <w:jc w:val="center"/>
            </w:pPr>
            <w:r>
              <w:rPr>
                <w:rFonts w:eastAsiaTheme="minorEastAsia"/>
                <w:color w:val="000000" w:themeColor="text1"/>
                <w:szCs w:val="21"/>
              </w:rPr>
              <w:t>14</w:t>
            </w:r>
            <w:r>
              <w:rPr>
                <w:rFonts w:eastAsiaTheme="minorEastAsia"/>
                <w:color w:val="000000" w:themeColor="text1"/>
                <w:szCs w:val="21"/>
              </w:rPr>
              <w:t>年</w:t>
            </w:r>
          </w:p>
        </w:tc>
        <w:tc>
          <w:tcPr>
            <w:tcW w:w="0" w:type="auto"/>
            <w:vAlign w:val="center"/>
          </w:tcPr>
          <w:p w:rsidR="00A877E2" w:rsidRDefault="0022522D">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 xml:space="preserve">4.5 </w:t>
      </w:r>
      <w:r w:rsidRPr="00A3398F">
        <w:rPr>
          <w:rFonts w:eastAsiaTheme="minorEastAsia"/>
          <w:b/>
          <w:color w:val="000000" w:themeColor="text1"/>
          <w:kern w:val="0"/>
          <w:sz w:val="24"/>
        </w:rPr>
        <w:t>报告期内基金的投资策略和业绩表现说明</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日本股票指数在报告期内以日元计价小幅上涨，但是折合人民币计价的指数下跌，日元兑人民币贬值拖累了基金表现。</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报告期内，投资者关注到</w:t>
      </w:r>
      <w:r>
        <w:rPr>
          <w:rFonts w:eastAsiaTheme="minorEastAsia"/>
          <w:color w:val="000000" w:themeColor="text1"/>
          <w:szCs w:val="21"/>
        </w:rPr>
        <w:t>1</w:t>
      </w:r>
      <w:r>
        <w:rPr>
          <w:rFonts w:eastAsiaTheme="minorEastAsia"/>
          <w:color w:val="000000" w:themeColor="text1"/>
          <w:szCs w:val="21"/>
        </w:rPr>
        <w:t>）部分上市公司对东京证券交易所要求的回应取得进展；</w:t>
      </w:r>
      <w:r>
        <w:rPr>
          <w:rFonts w:eastAsiaTheme="minorEastAsia"/>
          <w:color w:val="000000" w:themeColor="text1"/>
          <w:szCs w:val="21"/>
        </w:rPr>
        <w:t>2</w:t>
      </w:r>
      <w:r>
        <w:rPr>
          <w:rFonts w:eastAsiaTheme="minorEastAsia"/>
          <w:color w:val="000000" w:themeColor="text1"/>
          <w:szCs w:val="21"/>
        </w:rPr>
        <w:t>）春季工资谈判后工资上涨超过</w:t>
      </w:r>
      <w:r>
        <w:rPr>
          <w:rFonts w:eastAsiaTheme="minorEastAsia"/>
          <w:color w:val="000000" w:themeColor="text1"/>
          <w:szCs w:val="21"/>
        </w:rPr>
        <w:t xml:space="preserve"> 5%</w:t>
      </w: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日元进一步贬值；</w:t>
      </w:r>
      <w:r>
        <w:rPr>
          <w:rFonts w:eastAsiaTheme="minorEastAsia"/>
          <w:color w:val="000000" w:themeColor="text1"/>
          <w:szCs w:val="21"/>
        </w:rPr>
        <w:t>4</w:t>
      </w:r>
      <w:r>
        <w:rPr>
          <w:rFonts w:eastAsiaTheme="minorEastAsia"/>
          <w:color w:val="000000" w:themeColor="text1"/>
          <w:szCs w:val="21"/>
        </w:rPr>
        <w:t>）股东回报增加（交叉持股解除）和通过</w:t>
      </w:r>
      <w:r>
        <w:rPr>
          <w:rFonts w:eastAsiaTheme="minorEastAsia"/>
          <w:color w:val="000000" w:themeColor="text1"/>
          <w:szCs w:val="21"/>
        </w:rPr>
        <w:t xml:space="preserve"> NISA </w:t>
      </w:r>
      <w:r>
        <w:rPr>
          <w:rFonts w:eastAsiaTheme="minorEastAsia"/>
          <w:color w:val="000000" w:themeColor="text1"/>
          <w:szCs w:val="21"/>
        </w:rPr>
        <w:t>账户的资金流入。</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展望后市，支持日本股市上涨的三个中长期因素包括：</w:t>
      </w:r>
      <w:r>
        <w:rPr>
          <w:rFonts w:eastAsiaTheme="minorEastAsia"/>
          <w:color w:val="000000" w:themeColor="text1"/>
          <w:szCs w:val="21"/>
        </w:rPr>
        <w:t>1</w:t>
      </w:r>
      <w:r>
        <w:rPr>
          <w:rFonts w:eastAsiaTheme="minorEastAsia"/>
          <w:color w:val="000000" w:themeColor="text1"/>
          <w:szCs w:val="21"/>
        </w:rPr>
        <w:t>）日本走出通缩时代。通胀价格指数已经连续</w:t>
      </w:r>
      <w:r>
        <w:rPr>
          <w:rFonts w:eastAsiaTheme="minorEastAsia"/>
          <w:color w:val="000000" w:themeColor="text1"/>
          <w:szCs w:val="21"/>
        </w:rPr>
        <w:t>22</w:t>
      </w:r>
      <w:r>
        <w:rPr>
          <w:rFonts w:eastAsiaTheme="minorEastAsia"/>
          <w:color w:val="000000" w:themeColor="text1"/>
          <w:szCs w:val="21"/>
        </w:rPr>
        <w:t>个月维持在</w:t>
      </w:r>
      <w:r>
        <w:rPr>
          <w:rFonts w:eastAsiaTheme="minorEastAsia"/>
          <w:color w:val="000000" w:themeColor="text1"/>
          <w:szCs w:val="21"/>
        </w:rPr>
        <w:t>2%</w:t>
      </w:r>
      <w:r>
        <w:rPr>
          <w:rFonts w:eastAsiaTheme="minorEastAsia"/>
          <w:color w:val="000000" w:themeColor="text1"/>
          <w:szCs w:val="21"/>
        </w:rPr>
        <w:t>以上，且今年的涨薪幅度超预期，有望支撑住未来的物价。</w:t>
      </w:r>
      <w:r>
        <w:rPr>
          <w:rFonts w:eastAsiaTheme="minorEastAsia"/>
          <w:color w:val="000000" w:themeColor="text1"/>
          <w:szCs w:val="21"/>
        </w:rPr>
        <w:t>2</w:t>
      </w:r>
      <w:r>
        <w:rPr>
          <w:rFonts w:eastAsiaTheme="minorEastAsia"/>
          <w:color w:val="000000" w:themeColor="text1"/>
          <w:szCs w:val="21"/>
        </w:rPr>
        <w:t>）全球投资者对日本股市有分散风险的配置需求。从稳定的美日关系和抵御通胀的角度来看，日本股市仍有吸引力，或也可从分散风险中受益。</w:t>
      </w:r>
      <w:r>
        <w:rPr>
          <w:rFonts w:eastAsiaTheme="minorEastAsia"/>
          <w:color w:val="000000" w:themeColor="text1"/>
          <w:szCs w:val="21"/>
        </w:rPr>
        <w:t>3</w:t>
      </w:r>
      <w:r>
        <w:rPr>
          <w:rFonts w:eastAsiaTheme="minorEastAsia"/>
          <w:color w:val="000000" w:themeColor="text1"/>
          <w:szCs w:val="21"/>
        </w:rPr>
        <w:t>）公司治理改革在加快步伐。日本四家主要的非人寿保险公司发布了业务改善命令，并发布了一系列有关计划完全解除其交叉持股的计划的公告。东京证券交易所正致力于推进更多的公司解决交叉持股。我们预计交叉持股的解除将刺激股票回购并提高公司的资本效率，从而对日本股票产生积极的长期影响。</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我们也将关注一些短期因素，包括：</w:t>
      </w:r>
      <w:r>
        <w:rPr>
          <w:rFonts w:eastAsiaTheme="minorEastAsia"/>
          <w:color w:val="000000" w:themeColor="text1"/>
          <w:szCs w:val="21"/>
        </w:rPr>
        <w:t>1</w:t>
      </w:r>
      <w:r>
        <w:rPr>
          <w:rFonts w:eastAsiaTheme="minorEastAsia"/>
          <w:color w:val="000000" w:themeColor="text1"/>
          <w:szCs w:val="21"/>
        </w:rPr>
        <w:t>）实际工资上涨情况；</w:t>
      </w:r>
      <w:r>
        <w:rPr>
          <w:rFonts w:eastAsiaTheme="minorEastAsia"/>
          <w:color w:val="000000" w:themeColor="text1"/>
          <w:szCs w:val="21"/>
        </w:rPr>
        <w:t>2</w:t>
      </w:r>
      <w:r>
        <w:rPr>
          <w:rFonts w:eastAsiaTheme="minorEastAsia"/>
          <w:color w:val="000000" w:themeColor="text1"/>
          <w:szCs w:val="21"/>
        </w:rPr>
        <w:t>）上市公司对原先谨慎指引的上调；</w:t>
      </w:r>
      <w:r>
        <w:rPr>
          <w:rFonts w:eastAsiaTheme="minorEastAsia"/>
          <w:color w:val="000000" w:themeColor="text1"/>
          <w:szCs w:val="21"/>
        </w:rPr>
        <w:t>3</w:t>
      </w:r>
      <w:r>
        <w:rPr>
          <w:rFonts w:eastAsiaTheme="minorEastAsia"/>
          <w:color w:val="000000" w:themeColor="text1"/>
          <w:szCs w:val="21"/>
        </w:rPr>
        <w:t>）公司治理改革超出了</w:t>
      </w:r>
      <w:r>
        <w:rPr>
          <w:rFonts w:eastAsiaTheme="minorEastAsia"/>
          <w:color w:val="000000" w:themeColor="text1"/>
          <w:szCs w:val="21"/>
        </w:rPr>
        <w:t>8%</w:t>
      </w:r>
      <w:r>
        <w:rPr>
          <w:rFonts w:eastAsiaTheme="minorEastAsia"/>
          <w:color w:val="000000" w:themeColor="text1"/>
          <w:szCs w:val="21"/>
        </w:rPr>
        <w:t>的</w:t>
      </w:r>
      <w:r>
        <w:rPr>
          <w:rFonts w:eastAsiaTheme="minorEastAsia"/>
          <w:color w:val="000000" w:themeColor="text1"/>
          <w:szCs w:val="21"/>
        </w:rPr>
        <w:t>ROE</w:t>
      </w:r>
      <w:r>
        <w:rPr>
          <w:rFonts w:eastAsiaTheme="minorEastAsia"/>
          <w:color w:val="000000" w:themeColor="text1"/>
          <w:szCs w:val="21"/>
        </w:rPr>
        <w:t>目标，以及交叉持股现象改善的进程；（</w:t>
      </w:r>
      <w:r>
        <w:rPr>
          <w:rFonts w:eastAsiaTheme="minorEastAsia"/>
          <w:color w:val="000000" w:themeColor="text1"/>
          <w:szCs w:val="21"/>
        </w:rPr>
        <w:t>4</w:t>
      </w:r>
      <w:r>
        <w:rPr>
          <w:rFonts w:eastAsiaTheme="minorEastAsia"/>
          <w:color w:val="000000" w:themeColor="text1"/>
          <w:szCs w:val="21"/>
        </w:rPr>
        <w:t>）日本央行如何避免仓促退出宽松货币（随着日本经济增长和美国经济实现软着陆，日元将小幅升值的可能性）；</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从投资结构上，我们认为，投资日本股市，选股非常关键。短期看，经济复苏将有利于那些聚焦内需或旅游的公司；而那些具备强劲技术和创新资本的企业，则会有更长期的增长潜力。</w:t>
      </w:r>
    </w:p>
    <w:p w:rsidR="00A877E2" w:rsidRDefault="00A877E2">
      <w:pPr>
        <w:spacing w:line="360" w:lineRule="auto"/>
        <w:ind w:firstLineChars="200" w:firstLine="420"/>
        <w:rPr>
          <w:rFonts w:eastAsiaTheme="minorEastAsia"/>
          <w:color w:val="000000" w:themeColor="text1"/>
          <w:szCs w:val="21"/>
        </w:rPr>
      </w:pP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:-0.91%</w:t>
      </w:r>
      <w:r>
        <w:rPr>
          <w:rFonts w:eastAsiaTheme="minorEastAsia"/>
          <w:color w:val="000000" w:themeColor="text1"/>
          <w:szCs w:val="21"/>
        </w:rPr>
        <w:t>，同期业绩比较基准收益率为</w:t>
      </w:r>
      <w:r>
        <w:rPr>
          <w:rFonts w:eastAsiaTheme="minorEastAsia"/>
          <w:color w:val="000000" w:themeColor="text1"/>
          <w:szCs w:val="21"/>
        </w:rPr>
        <w:t>:-3.17%</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:-1.02%</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:-3.17%</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2,120,385,910.58</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90.29</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2,120,385,910.58</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90.29</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209,326,171.35</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8.91</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18,723,738.36</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0.80</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2,348,435,820.29</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A877E2">
        <w:trPr>
          <w:jc w:val="center"/>
        </w:trPr>
        <w:tc>
          <w:tcPr>
            <w:tcW w:w="2410" w:type="dxa"/>
            <w:vAlign w:val="center"/>
          </w:tcPr>
          <w:p w:rsidR="00A877E2" w:rsidRDefault="0022522D">
            <w:pPr>
              <w:jc w:val="left"/>
            </w:pPr>
            <w:r>
              <w:rPr>
                <w:rFonts w:eastAsiaTheme="minorEastAsia"/>
                <w:color w:val="000000" w:themeColor="text1"/>
                <w:szCs w:val="21"/>
              </w:rPr>
              <w:lastRenderedPageBreak/>
              <w:t>日本</w:t>
            </w:r>
          </w:p>
        </w:tc>
        <w:tc>
          <w:tcPr>
            <w:tcW w:w="3118" w:type="dxa"/>
            <w:vAlign w:val="center"/>
          </w:tcPr>
          <w:p w:rsidR="00A877E2" w:rsidRDefault="0022522D">
            <w:pPr>
              <w:jc w:val="right"/>
            </w:pPr>
            <w:r>
              <w:rPr>
                <w:rFonts w:eastAsiaTheme="minorEastAsia"/>
                <w:color w:val="000000" w:themeColor="text1"/>
                <w:szCs w:val="21"/>
              </w:rPr>
              <w:t>2,120,385,910.58</w:t>
            </w:r>
          </w:p>
        </w:tc>
        <w:tc>
          <w:tcPr>
            <w:tcW w:w="3076" w:type="dxa"/>
            <w:vAlign w:val="center"/>
          </w:tcPr>
          <w:p w:rsidR="00A877E2" w:rsidRDefault="0022522D">
            <w:pPr>
              <w:jc w:val="right"/>
            </w:pPr>
            <w:r>
              <w:rPr>
                <w:rFonts w:eastAsiaTheme="minorEastAsia"/>
                <w:color w:val="000000" w:themeColor="text1"/>
                <w:szCs w:val="21"/>
              </w:rPr>
              <w:t>93.08</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2,120,385,910.58</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93.08</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A877E2">
        <w:tc>
          <w:tcPr>
            <w:tcW w:w="2787" w:type="dxa"/>
            <w:vAlign w:val="center"/>
          </w:tcPr>
          <w:p w:rsidR="00A877E2" w:rsidRDefault="0022522D">
            <w:pPr>
              <w:jc w:val="left"/>
            </w:pPr>
            <w:r>
              <w:rPr>
                <w:rFonts w:eastAsiaTheme="minorEastAsia"/>
                <w:color w:val="000000" w:themeColor="text1"/>
                <w:szCs w:val="21"/>
              </w:rPr>
              <w:t>工业</w:t>
            </w:r>
          </w:p>
        </w:tc>
        <w:tc>
          <w:tcPr>
            <w:tcW w:w="2551" w:type="dxa"/>
            <w:vAlign w:val="center"/>
          </w:tcPr>
          <w:p w:rsidR="00A877E2" w:rsidRDefault="0022522D">
            <w:pPr>
              <w:jc w:val="right"/>
            </w:pPr>
            <w:r>
              <w:rPr>
                <w:rFonts w:eastAsiaTheme="minorEastAsia"/>
                <w:color w:val="000000" w:themeColor="text1"/>
                <w:szCs w:val="21"/>
              </w:rPr>
              <w:t>507,342,489.04</w:t>
            </w:r>
          </w:p>
        </w:tc>
        <w:tc>
          <w:tcPr>
            <w:tcW w:w="3175" w:type="dxa"/>
            <w:vAlign w:val="center"/>
          </w:tcPr>
          <w:p w:rsidR="00A877E2" w:rsidRDefault="0022522D">
            <w:pPr>
              <w:jc w:val="right"/>
            </w:pPr>
            <w:r>
              <w:rPr>
                <w:rFonts w:eastAsiaTheme="minorEastAsia"/>
                <w:color w:val="000000" w:themeColor="text1"/>
                <w:szCs w:val="21"/>
              </w:rPr>
              <w:t>22.27</w:t>
            </w:r>
          </w:p>
        </w:tc>
      </w:tr>
      <w:tr w:rsidR="00A877E2">
        <w:tc>
          <w:tcPr>
            <w:tcW w:w="2787" w:type="dxa"/>
            <w:vAlign w:val="center"/>
          </w:tcPr>
          <w:p w:rsidR="00A877E2" w:rsidRDefault="0022522D">
            <w:pPr>
              <w:jc w:val="left"/>
            </w:pPr>
            <w:r>
              <w:rPr>
                <w:rFonts w:eastAsiaTheme="minorEastAsia"/>
                <w:color w:val="000000" w:themeColor="text1"/>
                <w:szCs w:val="21"/>
              </w:rPr>
              <w:t>金融</w:t>
            </w:r>
          </w:p>
        </w:tc>
        <w:tc>
          <w:tcPr>
            <w:tcW w:w="2551" w:type="dxa"/>
            <w:vAlign w:val="center"/>
          </w:tcPr>
          <w:p w:rsidR="00A877E2" w:rsidRDefault="0022522D">
            <w:pPr>
              <w:jc w:val="right"/>
            </w:pPr>
            <w:r>
              <w:rPr>
                <w:rFonts w:eastAsiaTheme="minorEastAsia"/>
                <w:color w:val="000000" w:themeColor="text1"/>
                <w:szCs w:val="21"/>
              </w:rPr>
              <w:t>438,857,437.85</w:t>
            </w:r>
          </w:p>
        </w:tc>
        <w:tc>
          <w:tcPr>
            <w:tcW w:w="3175" w:type="dxa"/>
            <w:vAlign w:val="center"/>
          </w:tcPr>
          <w:p w:rsidR="00A877E2" w:rsidRDefault="0022522D">
            <w:pPr>
              <w:jc w:val="right"/>
            </w:pPr>
            <w:r>
              <w:rPr>
                <w:rFonts w:eastAsiaTheme="minorEastAsia"/>
                <w:color w:val="000000" w:themeColor="text1"/>
                <w:szCs w:val="21"/>
              </w:rPr>
              <w:t>19.26</w:t>
            </w:r>
          </w:p>
        </w:tc>
      </w:tr>
      <w:tr w:rsidR="00A877E2">
        <w:tc>
          <w:tcPr>
            <w:tcW w:w="2787" w:type="dxa"/>
            <w:vAlign w:val="center"/>
          </w:tcPr>
          <w:p w:rsidR="00A877E2" w:rsidRDefault="0022522D">
            <w:pPr>
              <w:jc w:val="left"/>
            </w:pPr>
            <w:r>
              <w:rPr>
                <w:rFonts w:eastAsiaTheme="minorEastAsia"/>
                <w:color w:val="000000" w:themeColor="text1"/>
                <w:szCs w:val="21"/>
              </w:rPr>
              <w:t>消费者非必需品</w:t>
            </w:r>
          </w:p>
        </w:tc>
        <w:tc>
          <w:tcPr>
            <w:tcW w:w="2551" w:type="dxa"/>
            <w:vAlign w:val="center"/>
          </w:tcPr>
          <w:p w:rsidR="00A877E2" w:rsidRDefault="0022522D">
            <w:pPr>
              <w:jc w:val="right"/>
            </w:pPr>
            <w:r>
              <w:rPr>
                <w:rFonts w:eastAsiaTheme="minorEastAsia"/>
                <w:color w:val="000000" w:themeColor="text1"/>
                <w:szCs w:val="21"/>
              </w:rPr>
              <w:t>294,217,157.47</w:t>
            </w:r>
          </w:p>
        </w:tc>
        <w:tc>
          <w:tcPr>
            <w:tcW w:w="3175" w:type="dxa"/>
            <w:vAlign w:val="center"/>
          </w:tcPr>
          <w:p w:rsidR="00A877E2" w:rsidRDefault="0022522D">
            <w:pPr>
              <w:jc w:val="right"/>
            </w:pPr>
            <w:r>
              <w:rPr>
                <w:rFonts w:eastAsiaTheme="minorEastAsia"/>
                <w:color w:val="000000" w:themeColor="text1"/>
                <w:szCs w:val="21"/>
              </w:rPr>
              <w:t>12.92</w:t>
            </w:r>
          </w:p>
        </w:tc>
      </w:tr>
      <w:tr w:rsidR="00A877E2">
        <w:tc>
          <w:tcPr>
            <w:tcW w:w="2787" w:type="dxa"/>
            <w:vAlign w:val="center"/>
          </w:tcPr>
          <w:p w:rsidR="00A877E2" w:rsidRDefault="0022522D">
            <w:pPr>
              <w:jc w:val="left"/>
            </w:pPr>
            <w:r>
              <w:rPr>
                <w:rFonts w:eastAsiaTheme="minorEastAsia"/>
                <w:color w:val="000000" w:themeColor="text1"/>
                <w:szCs w:val="21"/>
              </w:rPr>
              <w:t>信息技术</w:t>
            </w:r>
          </w:p>
        </w:tc>
        <w:tc>
          <w:tcPr>
            <w:tcW w:w="2551" w:type="dxa"/>
            <w:vAlign w:val="center"/>
          </w:tcPr>
          <w:p w:rsidR="00A877E2" w:rsidRDefault="0022522D">
            <w:pPr>
              <w:jc w:val="right"/>
            </w:pPr>
            <w:r>
              <w:rPr>
                <w:rFonts w:eastAsiaTheme="minorEastAsia"/>
                <w:color w:val="000000" w:themeColor="text1"/>
                <w:szCs w:val="21"/>
              </w:rPr>
              <w:t>231,839,823.04</w:t>
            </w:r>
          </w:p>
        </w:tc>
        <w:tc>
          <w:tcPr>
            <w:tcW w:w="3175" w:type="dxa"/>
            <w:vAlign w:val="center"/>
          </w:tcPr>
          <w:p w:rsidR="00A877E2" w:rsidRDefault="0022522D">
            <w:pPr>
              <w:jc w:val="right"/>
            </w:pPr>
            <w:r>
              <w:rPr>
                <w:rFonts w:eastAsiaTheme="minorEastAsia"/>
                <w:color w:val="000000" w:themeColor="text1"/>
                <w:szCs w:val="21"/>
              </w:rPr>
              <w:t>10.18</w:t>
            </w:r>
          </w:p>
        </w:tc>
      </w:tr>
      <w:tr w:rsidR="00A877E2">
        <w:tc>
          <w:tcPr>
            <w:tcW w:w="2787" w:type="dxa"/>
            <w:vAlign w:val="center"/>
          </w:tcPr>
          <w:p w:rsidR="00A877E2" w:rsidRDefault="0022522D">
            <w:pPr>
              <w:jc w:val="left"/>
            </w:pPr>
            <w:r>
              <w:rPr>
                <w:rFonts w:eastAsiaTheme="minorEastAsia"/>
                <w:color w:val="000000" w:themeColor="text1"/>
                <w:szCs w:val="21"/>
              </w:rPr>
              <w:t>基础材料</w:t>
            </w:r>
          </w:p>
        </w:tc>
        <w:tc>
          <w:tcPr>
            <w:tcW w:w="2551" w:type="dxa"/>
            <w:vAlign w:val="center"/>
          </w:tcPr>
          <w:p w:rsidR="00A877E2" w:rsidRDefault="0022522D">
            <w:pPr>
              <w:jc w:val="right"/>
            </w:pPr>
            <w:r>
              <w:rPr>
                <w:rFonts w:eastAsiaTheme="minorEastAsia"/>
                <w:color w:val="000000" w:themeColor="text1"/>
                <w:szCs w:val="21"/>
              </w:rPr>
              <w:t>207,715,567.87</w:t>
            </w:r>
          </w:p>
        </w:tc>
        <w:tc>
          <w:tcPr>
            <w:tcW w:w="3175" w:type="dxa"/>
            <w:vAlign w:val="center"/>
          </w:tcPr>
          <w:p w:rsidR="00A877E2" w:rsidRDefault="0022522D">
            <w:pPr>
              <w:jc w:val="right"/>
            </w:pPr>
            <w:r>
              <w:rPr>
                <w:rFonts w:eastAsiaTheme="minorEastAsia"/>
                <w:color w:val="000000" w:themeColor="text1"/>
                <w:szCs w:val="21"/>
              </w:rPr>
              <w:t>9.12</w:t>
            </w:r>
          </w:p>
        </w:tc>
      </w:tr>
      <w:tr w:rsidR="00A877E2">
        <w:tc>
          <w:tcPr>
            <w:tcW w:w="2787" w:type="dxa"/>
            <w:vAlign w:val="center"/>
          </w:tcPr>
          <w:p w:rsidR="00A877E2" w:rsidRDefault="0022522D">
            <w:pPr>
              <w:jc w:val="left"/>
            </w:pPr>
            <w:r>
              <w:rPr>
                <w:rFonts w:eastAsiaTheme="minorEastAsia"/>
                <w:color w:val="000000" w:themeColor="text1"/>
                <w:szCs w:val="21"/>
              </w:rPr>
              <w:t>电信服务</w:t>
            </w:r>
          </w:p>
        </w:tc>
        <w:tc>
          <w:tcPr>
            <w:tcW w:w="2551" w:type="dxa"/>
            <w:vAlign w:val="center"/>
          </w:tcPr>
          <w:p w:rsidR="00A877E2" w:rsidRDefault="0022522D">
            <w:pPr>
              <w:jc w:val="right"/>
            </w:pPr>
            <w:r>
              <w:rPr>
                <w:rFonts w:eastAsiaTheme="minorEastAsia"/>
                <w:color w:val="000000" w:themeColor="text1"/>
                <w:szCs w:val="21"/>
              </w:rPr>
              <w:t>191,578,692.95</w:t>
            </w:r>
          </w:p>
        </w:tc>
        <w:tc>
          <w:tcPr>
            <w:tcW w:w="3175" w:type="dxa"/>
            <w:vAlign w:val="center"/>
          </w:tcPr>
          <w:p w:rsidR="00A877E2" w:rsidRDefault="0022522D">
            <w:pPr>
              <w:jc w:val="right"/>
            </w:pPr>
            <w:r>
              <w:rPr>
                <w:rFonts w:eastAsiaTheme="minorEastAsia"/>
                <w:color w:val="000000" w:themeColor="text1"/>
                <w:szCs w:val="21"/>
              </w:rPr>
              <w:t>8.41</w:t>
            </w:r>
          </w:p>
        </w:tc>
      </w:tr>
      <w:tr w:rsidR="00A877E2">
        <w:tc>
          <w:tcPr>
            <w:tcW w:w="2787" w:type="dxa"/>
            <w:vAlign w:val="center"/>
          </w:tcPr>
          <w:p w:rsidR="00A877E2" w:rsidRDefault="0022522D">
            <w:pPr>
              <w:jc w:val="left"/>
            </w:pPr>
            <w:r>
              <w:rPr>
                <w:rFonts w:eastAsiaTheme="minorEastAsia"/>
                <w:color w:val="000000" w:themeColor="text1"/>
                <w:szCs w:val="21"/>
              </w:rPr>
              <w:t>医疗保健</w:t>
            </w:r>
          </w:p>
        </w:tc>
        <w:tc>
          <w:tcPr>
            <w:tcW w:w="2551" w:type="dxa"/>
            <w:vAlign w:val="center"/>
          </w:tcPr>
          <w:p w:rsidR="00A877E2" w:rsidRDefault="0022522D">
            <w:pPr>
              <w:jc w:val="right"/>
            </w:pPr>
            <w:r>
              <w:rPr>
                <w:rFonts w:eastAsiaTheme="minorEastAsia"/>
                <w:color w:val="000000" w:themeColor="text1"/>
                <w:szCs w:val="21"/>
              </w:rPr>
              <w:t>165,690,896.25</w:t>
            </w:r>
          </w:p>
        </w:tc>
        <w:tc>
          <w:tcPr>
            <w:tcW w:w="3175" w:type="dxa"/>
            <w:vAlign w:val="center"/>
          </w:tcPr>
          <w:p w:rsidR="00A877E2" w:rsidRDefault="0022522D">
            <w:pPr>
              <w:jc w:val="right"/>
            </w:pPr>
            <w:r>
              <w:rPr>
                <w:rFonts w:eastAsiaTheme="minorEastAsia"/>
                <w:color w:val="000000" w:themeColor="text1"/>
                <w:szCs w:val="21"/>
              </w:rPr>
              <w:t>7.27</w:t>
            </w:r>
          </w:p>
        </w:tc>
      </w:tr>
      <w:tr w:rsidR="00A877E2">
        <w:tc>
          <w:tcPr>
            <w:tcW w:w="2787" w:type="dxa"/>
            <w:vAlign w:val="center"/>
          </w:tcPr>
          <w:p w:rsidR="00A877E2" w:rsidRDefault="0022522D">
            <w:pPr>
              <w:jc w:val="left"/>
            </w:pPr>
            <w:r>
              <w:rPr>
                <w:rFonts w:eastAsiaTheme="minorEastAsia"/>
                <w:color w:val="000000" w:themeColor="text1"/>
                <w:szCs w:val="21"/>
              </w:rPr>
              <w:t>消费者常用品</w:t>
            </w:r>
          </w:p>
        </w:tc>
        <w:tc>
          <w:tcPr>
            <w:tcW w:w="2551" w:type="dxa"/>
            <w:vAlign w:val="center"/>
          </w:tcPr>
          <w:p w:rsidR="00A877E2" w:rsidRDefault="0022522D">
            <w:pPr>
              <w:jc w:val="right"/>
            </w:pPr>
            <w:r>
              <w:rPr>
                <w:rFonts w:eastAsiaTheme="minorEastAsia"/>
                <w:color w:val="000000" w:themeColor="text1"/>
                <w:szCs w:val="21"/>
              </w:rPr>
              <w:t>83,143,846.11</w:t>
            </w:r>
          </w:p>
        </w:tc>
        <w:tc>
          <w:tcPr>
            <w:tcW w:w="3175" w:type="dxa"/>
            <w:vAlign w:val="center"/>
          </w:tcPr>
          <w:p w:rsidR="00A877E2" w:rsidRDefault="0022522D">
            <w:pPr>
              <w:jc w:val="right"/>
            </w:pPr>
            <w:r>
              <w:rPr>
                <w:rFonts w:eastAsiaTheme="minorEastAsia"/>
                <w:color w:val="000000" w:themeColor="text1"/>
                <w:szCs w:val="21"/>
              </w:rPr>
              <w:t>3.65</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2,120,385,910.58</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93.08</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56"/>
        <w:gridCol w:w="1521"/>
        <w:gridCol w:w="1278"/>
        <w:gridCol w:w="639"/>
        <w:gridCol w:w="493"/>
        <w:gridCol w:w="664"/>
        <w:gridCol w:w="1060"/>
        <w:gridCol w:w="1529"/>
        <w:gridCol w:w="873"/>
      </w:tblGrid>
      <w:tr w:rsidR="00A3398F" w:rsidRPr="00A3398F" w:rsidTr="001C7D5D">
        <w:tc>
          <w:tcPr>
            <w:tcW w:w="79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A877E2">
        <w:tc>
          <w:tcPr>
            <w:tcW w:w="0" w:type="auto"/>
            <w:vAlign w:val="center"/>
          </w:tcPr>
          <w:p w:rsidR="00A877E2" w:rsidRDefault="0022522D">
            <w:pPr>
              <w:jc w:val="center"/>
            </w:pPr>
            <w:r>
              <w:rPr>
                <w:rFonts w:eastAsiaTheme="minorEastAsia"/>
                <w:szCs w:val="21"/>
              </w:rPr>
              <w:t>1</w:t>
            </w:r>
          </w:p>
        </w:tc>
        <w:tc>
          <w:tcPr>
            <w:tcW w:w="0" w:type="auto"/>
            <w:vAlign w:val="center"/>
          </w:tcPr>
          <w:p w:rsidR="00A877E2" w:rsidRDefault="0022522D">
            <w:pPr>
              <w:jc w:val="center"/>
            </w:pPr>
            <w:r>
              <w:rPr>
                <w:rFonts w:eastAsiaTheme="minorEastAsia"/>
                <w:szCs w:val="21"/>
              </w:rPr>
              <w:t>HITACHI LTD</w:t>
            </w:r>
          </w:p>
        </w:tc>
        <w:tc>
          <w:tcPr>
            <w:tcW w:w="0" w:type="auto"/>
            <w:vAlign w:val="center"/>
          </w:tcPr>
          <w:p w:rsidR="00A877E2" w:rsidRDefault="0022522D">
            <w:pPr>
              <w:jc w:val="center"/>
            </w:pPr>
            <w:r>
              <w:rPr>
                <w:rFonts w:eastAsiaTheme="minorEastAsia"/>
                <w:szCs w:val="21"/>
              </w:rPr>
              <w:t>日立</w:t>
            </w:r>
          </w:p>
        </w:tc>
        <w:tc>
          <w:tcPr>
            <w:tcW w:w="0" w:type="auto"/>
            <w:vAlign w:val="center"/>
          </w:tcPr>
          <w:p w:rsidR="00A877E2" w:rsidRDefault="0022522D">
            <w:pPr>
              <w:jc w:val="center"/>
            </w:pPr>
            <w:r>
              <w:rPr>
                <w:rFonts w:eastAsiaTheme="minorEastAsia"/>
                <w:szCs w:val="21"/>
              </w:rPr>
              <w:t>6501</w:t>
            </w:r>
          </w:p>
        </w:tc>
        <w:tc>
          <w:tcPr>
            <w:tcW w:w="0" w:type="auto"/>
            <w:vAlign w:val="center"/>
          </w:tcPr>
          <w:p w:rsidR="00A877E2" w:rsidRDefault="0022522D">
            <w:pPr>
              <w:jc w:val="center"/>
            </w:pPr>
            <w:r>
              <w:rPr>
                <w:rFonts w:eastAsiaTheme="minorEastAsia"/>
                <w:szCs w:val="21"/>
              </w:rPr>
              <w:t>日本证券交易所</w:t>
            </w:r>
          </w:p>
        </w:tc>
        <w:tc>
          <w:tcPr>
            <w:tcW w:w="0" w:type="auto"/>
            <w:vAlign w:val="center"/>
          </w:tcPr>
          <w:p w:rsidR="00A877E2" w:rsidRDefault="0022522D">
            <w:pPr>
              <w:jc w:val="center"/>
            </w:pPr>
            <w:r>
              <w:rPr>
                <w:rFonts w:eastAsiaTheme="minorEastAsia"/>
                <w:szCs w:val="21"/>
              </w:rPr>
              <w:t>日本</w:t>
            </w:r>
          </w:p>
        </w:tc>
        <w:tc>
          <w:tcPr>
            <w:tcW w:w="0" w:type="auto"/>
            <w:vAlign w:val="center"/>
          </w:tcPr>
          <w:p w:rsidR="00A877E2" w:rsidRDefault="0022522D">
            <w:pPr>
              <w:jc w:val="right"/>
            </w:pPr>
            <w:r>
              <w:rPr>
                <w:rFonts w:eastAsiaTheme="minorEastAsia"/>
                <w:szCs w:val="21"/>
              </w:rPr>
              <w:t>780,500</w:t>
            </w:r>
          </w:p>
        </w:tc>
        <w:tc>
          <w:tcPr>
            <w:tcW w:w="0" w:type="auto"/>
            <w:vAlign w:val="center"/>
          </w:tcPr>
          <w:p w:rsidR="00A877E2" w:rsidRDefault="0022522D">
            <w:pPr>
              <w:jc w:val="right"/>
            </w:pPr>
            <w:r>
              <w:rPr>
                <w:rFonts w:eastAsiaTheme="minorEastAsia"/>
                <w:szCs w:val="21"/>
              </w:rPr>
              <w:t>125,739,750.41</w:t>
            </w:r>
          </w:p>
        </w:tc>
        <w:tc>
          <w:tcPr>
            <w:tcW w:w="0" w:type="auto"/>
            <w:vAlign w:val="center"/>
          </w:tcPr>
          <w:p w:rsidR="00A877E2" w:rsidRDefault="0022522D">
            <w:pPr>
              <w:jc w:val="right"/>
            </w:pPr>
            <w:r>
              <w:rPr>
                <w:rFonts w:eastAsiaTheme="minorEastAsia"/>
                <w:szCs w:val="21"/>
              </w:rPr>
              <w:t>5.52</w:t>
            </w:r>
          </w:p>
        </w:tc>
      </w:tr>
      <w:tr w:rsidR="00A877E2">
        <w:tc>
          <w:tcPr>
            <w:tcW w:w="0" w:type="auto"/>
            <w:vAlign w:val="center"/>
          </w:tcPr>
          <w:p w:rsidR="00A877E2" w:rsidRDefault="0022522D">
            <w:pPr>
              <w:jc w:val="center"/>
            </w:pPr>
            <w:r>
              <w:rPr>
                <w:rFonts w:eastAsiaTheme="minorEastAsia"/>
                <w:szCs w:val="21"/>
              </w:rPr>
              <w:t>2</w:t>
            </w:r>
          </w:p>
        </w:tc>
        <w:tc>
          <w:tcPr>
            <w:tcW w:w="0" w:type="auto"/>
            <w:vAlign w:val="center"/>
          </w:tcPr>
          <w:p w:rsidR="00A877E2" w:rsidRDefault="0022522D">
            <w:pPr>
              <w:jc w:val="center"/>
            </w:pPr>
            <w:r>
              <w:rPr>
                <w:rFonts w:eastAsiaTheme="minorEastAsia"/>
                <w:szCs w:val="21"/>
              </w:rPr>
              <w:t xml:space="preserve">MS&amp;AD INSURANCE </w:t>
            </w:r>
            <w:r>
              <w:rPr>
                <w:rFonts w:eastAsiaTheme="minorEastAsia"/>
                <w:szCs w:val="21"/>
              </w:rPr>
              <w:lastRenderedPageBreak/>
              <w:t>GROUP HOLDIN</w:t>
            </w:r>
          </w:p>
        </w:tc>
        <w:tc>
          <w:tcPr>
            <w:tcW w:w="0" w:type="auto"/>
            <w:vAlign w:val="center"/>
          </w:tcPr>
          <w:p w:rsidR="00A877E2" w:rsidRDefault="0022522D">
            <w:pPr>
              <w:jc w:val="center"/>
            </w:pPr>
            <w:r>
              <w:rPr>
                <w:rFonts w:eastAsiaTheme="minorEastAsia"/>
                <w:szCs w:val="21"/>
              </w:rPr>
              <w:lastRenderedPageBreak/>
              <w:t>MS&amp;AD</w:t>
            </w:r>
            <w:r>
              <w:rPr>
                <w:rFonts w:eastAsiaTheme="minorEastAsia"/>
                <w:szCs w:val="21"/>
              </w:rPr>
              <w:t>保险集团控股</w:t>
            </w:r>
            <w:r>
              <w:rPr>
                <w:rFonts w:eastAsiaTheme="minorEastAsia"/>
                <w:szCs w:val="21"/>
              </w:rPr>
              <w:lastRenderedPageBreak/>
              <w:t>株式会社</w:t>
            </w:r>
          </w:p>
        </w:tc>
        <w:tc>
          <w:tcPr>
            <w:tcW w:w="0" w:type="auto"/>
            <w:vAlign w:val="center"/>
          </w:tcPr>
          <w:p w:rsidR="00A877E2" w:rsidRDefault="0022522D">
            <w:pPr>
              <w:jc w:val="center"/>
            </w:pPr>
            <w:r>
              <w:rPr>
                <w:rFonts w:eastAsiaTheme="minorEastAsia"/>
                <w:szCs w:val="21"/>
              </w:rPr>
              <w:lastRenderedPageBreak/>
              <w:t>8725</w:t>
            </w:r>
          </w:p>
        </w:tc>
        <w:tc>
          <w:tcPr>
            <w:tcW w:w="0" w:type="auto"/>
            <w:vAlign w:val="center"/>
          </w:tcPr>
          <w:p w:rsidR="00A877E2" w:rsidRDefault="0022522D">
            <w:pPr>
              <w:jc w:val="center"/>
            </w:pPr>
            <w:r>
              <w:rPr>
                <w:rFonts w:eastAsiaTheme="minorEastAsia"/>
                <w:szCs w:val="21"/>
              </w:rPr>
              <w:t>日本</w:t>
            </w:r>
            <w:r>
              <w:rPr>
                <w:rFonts w:eastAsiaTheme="minorEastAsia"/>
                <w:szCs w:val="21"/>
              </w:rPr>
              <w:lastRenderedPageBreak/>
              <w:t>证券交易所</w:t>
            </w:r>
          </w:p>
        </w:tc>
        <w:tc>
          <w:tcPr>
            <w:tcW w:w="0" w:type="auto"/>
            <w:vAlign w:val="center"/>
          </w:tcPr>
          <w:p w:rsidR="00A877E2" w:rsidRDefault="0022522D">
            <w:pPr>
              <w:jc w:val="center"/>
            </w:pPr>
            <w:r>
              <w:rPr>
                <w:rFonts w:eastAsiaTheme="minorEastAsia"/>
                <w:szCs w:val="21"/>
              </w:rPr>
              <w:lastRenderedPageBreak/>
              <w:t>日本</w:t>
            </w:r>
          </w:p>
        </w:tc>
        <w:tc>
          <w:tcPr>
            <w:tcW w:w="0" w:type="auto"/>
            <w:vAlign w:val="center"/>
          </w:tcPr>
          <w:p w:rsidR="00A877E2" w:rsidRDefault="0022522D">
            <w:pPr>
              <w:jc w:val="right"/>
            </w:pPr>
            <w:r>
              <w:rPr>
                <w:rFonts w:eastAsiaTheme="minorEastAsia"/>
                <w:szCs w:val="21"/>
              </w:rPr>
              <w:t>697,900</w:t>
            </w:r>
          </w:p>
        </w:tc>
        <w:tc>
          <w:tcPr>
            <w:tcW w:w="0" w:type="auto"/>
            <w:vAlign w:val="center"/>
          </w:tcPr>
          <w:p w:rsidR="00A877E2" w:rsidRDefault="0022522D">
            <w:pPr>
              <w:jc w:val="right"/>
            </w:pPr>
            <w:r>
              <w:rPr>
                <w:rFonts w:eastAsiaTheme="minorEastAsia"/>
                <w:szCs w:val="21"/>
              </w:rPr>
              <w:t>111,620,974.47</w:t>
            </w:r>
          </w:p>
        </w:tc>
        <w:tc>
          <w:tcPr>
            <w:tcW w:w="0" w:type="auto"/>
            <w:vAlign w:val="center"/>
          </w:tcPr>
          <w:p w:rsidR="00A877E2" w:rsidRDefault="0022522D">
            <w:pPr>
              <w:jc w:val="right"/>
            </w:pPr>
            <w:r>
              <w:rPr>
                <w:rFonts w:eastAsiaTheme="minorEastAsia"/>
                <w:szCs w:val="21"/>
              </w:rPr>
              <w:t>4.90</w:t>
            </w:r>
          </w:p>
        </w:tc>
      </w:tr>
      <w:tr w:rsidR="00A877E2">
        <w:tc>
          <w:tcPr>
            <w:tcW w:w="0" w:type="auto"/>
            <w:vAlign w:val="center"/>
          </w:tcPr>
          <w:p w:rsidR="00A877E2" w:rsidRDefault="0022522D">
            <w:pPr>
              <w:jc w:val="center"/>
            </w:pPr>
            <w:r>
              <w:rPr>
                <w:rFonts w:eastAsiaTheme="minorEastAsia"/>
                <w:szCs w:val="21"/>
              </w:rPr>
              <w:t>3</w:t>
            </w:r>
          </w:p>
        </w:tc>
        <w:tc>
          <w:tcPr>
            <w:tcW w:w="0" w:type="auto"/>
            <w:vAlign w:val="center"/>
          </w:tcPr>
          <w:p w:rsidR="00A877E2" w:rsidRDefault="0022522D">
            <w:pPr>
              <w:jc w:val="center"/>
            </w:pPr>
            <w:r>
              <w:rPr>
                <w:rFonts w:eastAsiaTheme="minorEastAsia"/>
                <w:szCs w:val="21"/>
              </w:rPr>
              <w:t>TOKIO MARINE HOLDINGS INC</w:t>
            </w:r>
          </w:p>
        </w:tc>
        <w:tc>
          <w:tcPr>
            <w:tcW w:w="0" w:type="auto"/>
            <w:vAlign w:val="center"/>
          </w:tcPr>
          <w:p w:rsidR="00A877E2" w:rsidRDefault="0022522D">
            <w:pPr>
              <w:jc w:val="center"/>
            </w:pPr>
            <w:r>
              <w:rPr>
                <w:rFonts w:eastAsiaTheme="minorEastAsia"/>
                <w:szCs w:val="21"/>
              </w:rPr>
              <w:t>东京海上控股株式会社</w:t>
            </w:r>
          </w:p>
        </w:tc>
        <w:tc>
          <w:tcPr>
            <w:tcW w:w="0" w:type="auto"/>
            <w:vAlign w:val="center"/>
          </w:tcPr>
          <w:p w:rsidR="00A877E2" w:rsidRDefault="0022522D">
            <w:pPr>
              <w:jc w:val="center"/>
            </w:pPr>
            <w:r>
              <w:rPr>
                <w:rFonts w:eastAsiaTheme="minorEastAsia"/>
                <w:szCs w:val="21"/>
              </w:rPr>
              <w:t>8766</w:t>
            </w:r>
          </w:p>
        </w:tc>
        <w:tc>
          <w:tcPr>
            <w:tcW w:w="0" w:type="auto"/>
            <w:vAlign w:val="center"/>
          </w:tcPr>
          <w:p w:rsidR="00A877E2" w:rsidRDefault="0022522D">
            <w:pPr>
              <w:jc w:val="center"/>
            </w:pPr>
            <w:r>
              <w:rPr>
                <w:rFonts w:eastAsiaTheme="minorEastAsia"/>
                <w:szCs w:val="21"/>
              </w:rPr>
              <w:t>日本证券交易所</w:t>
            </w:r>
          </w:p>
        </w:tc>
        <w:tc>
          <w:tcPr>
            <w:tcW w:w="0" w:type="auto"/>
            <w:vAlign w:val="center"/>
          </w:tcPr>
          <w:p w:rsidR="00A877E2" w:rsidRDefault="0022522D">
            <w:pPr>
              <w:jc w:val="center"/>
            </w:pPr>
            <w:r>
              <w:rPr>
                <w:rFonts w:eastAsiaTheme="minorEastAsia"/>
                <w:szCs w:val="21"/>
              </w:rPr>
              <w:t>日本</w:t>
            </w:r>
          </w:p>
        </w:tc>
        <w:tc>
          <w:tcPr>
            <w:tcW w:w="0" w:type="auto"/>
            <w:vAlign w:val="center"/>
          </w:tcPr>
          <w:p w:rsidR="00A877E2" w:rsidRDefault="0022522D">
            <w:pPr>
              <w:jc w:val="right"/>
            </w:pPr>
            <w:r>
              <w:rPr>
                <w:rFonts w:eastAsiaTheme="minorEastAsia"/>
                <w:szCs w:val="21"/>
              </w:rPr>
              <w:t>395,600</w:t>
            </w:r>
          </w:p>
        </w:tc>
        <w:tc>
          <w:tcPr>
            <w:tcW w:w="0" w:type="auto"/>
            <w:vAlign w:val="center"/>
          </w:tcPr>
          <w:p w:rsidR="00A877E2" w:rsidRDefault="0022522D">
            <w:pPr>
              <w:jc w:val="right"/>
            </w:pPr>
            <w:r>
              <w:rPr>
                <w:rFonts w:eastAsiaTheme="minorEastAsia"/>
                <w:szCs w:val="21"/>
              </w:rPr>
              <w:t>106,278,608.56</w:t>
            </w:r>
          </w:p>
        </w:tc>
        <w:tc>
          <w:tcPr>
            <w:tcW w:w="0" w:type="auto"/>
            <w:vAlign w:val="center"/>
          </w:tcPr>
          <w:p w:rsidR="00A877E2" w:rsidRDefault="0022522D">
            <w:pPr>
              <w:jc w:val="right"/>
            </w:pPr>
            <w:r>
              <w:rPr>
                <w:rFonts w:eastAsiaTheme="minorEastAsia"/>
                <w:szCs w:val="21"/>
              </w:rPr>
              <w:t>4.67</w:t>
            </w:r>
          </w:p>
        </w:tc>
      </w:tr>
      <w:tr w:rsidR="00A877E2">
        <w:tc>
          <w:tcPr>
            <w:tcW w:w="0" w:type="auto"/>
            <w:vAlign w:val="center"/>
          </w:tcPr>
          <w:p w:rsidR="00A877E2" w:rsidRDefault="0022522D">
            <w:pPr>
              <w:jc w:val="center"/>
            </w:pPr>
            <w:r>
              <w:rPr>
                <w:rFonts w:eastAsiaTheme="minorEastAsia"/>
                <w:szCs w:val="21"/>
              </w:rPr>
              <w:t>4</w:t>
            </w:r>
          </w:p>
        </w:tc>
        <w:tc>
          <w:tcPr>
            <w:tcW w:w="0" w:type="auto"/>
            <w:vAlign w:val="center"/>
          </w:tcPr>
          <w:p w:rsidR="00A877E2" w:rsidRDefault="0022522D">
            <w:pPr>
              <w:jc w:val="center"/>
            </w:pPr>
            <w:r>
              <w:rPr>
                <w:rFonts w:eastAsiaTheme="minorEastAsia"/>
                <w:szCs w:val="21"/>
              </w:rPr>
              <w:t>ITOCHU CORP</w:t>
            </w:r>
          </w:p>
        </w:tc>
        <w:tc>
          <w:tcPr>
            <w:tcW w:w="0" w:type="auto"/>
            <w:vAlign w:val="center"/>
          </w:tcPr>
          <w:p w:rsidR="00A877E2" w:rsidRDefault="0022522D">
            <w:pPr>
              <w:jc w:val="center"/>
            </w:pPr>
            <w:r>
              <w:rPr>
                <w:rFonts w:eastAsiaTheme="minorEastAsia"/>
                <w:szCs w:val="21"/>
              </w:rPr>
              <w:t>伊藤忠商事</w:t>
            </w:r>
          </w:p>
        </w:tc>
        <w:tc>
          <w:tcPr>
            <w:tcW w:w="0" w:type="auto"/>
            <w:vAlign w:val="center"/>
          </w:tcPr>
          <w:p w:rsidR="00A877E2" w:rsidRDefault="0022522D">
            <w:pPr>
              <w:jc w:val="center"/>
            </w:pPr>
            <w:r>
              <w:rPr>
                <w:rFonts w:eastAsiaTheme="minorEastAsia"/>
                <w:szCs w:val="21"/>
              </w:rPr>
              <w:t>8001</w:t>
            </w:r>
          </w:p>
        </w:tc>
        <w:tc>
          <w:tcPr>
            <w:tcW w:w="0" w:type="auto"/>
            <w:vAlign w:val="center"/>
          </w:tcPr>
          <w:p w:rsidR="00A877E2" w:rsidRDefault="0022522D">
            <w:pPr>
              <w:jc w:val="center"/>
            </w:pPr>
            <w:r>
              <w:rPr>
                <w:rFonts w:eastAsiaTheme="minorEastAsia"/>
                <w:szCs w:val="21"/>
              </w:rPr>
              <w:t>日本证券交易所</w:t>
            </w:r>
          </w:p>
        </w:tc>
        <w:tc>
          <w:tcPr>
            <w:tcW w:w="0" w:type="auto"/>
            <w:vAlign w:val="center"/>
          </w:tcPr>
          <w:p w:rsidR="00A877E2" w:rsidRDefault="0022522D">
            <w:pPr>
              <w:jc w:val="center"/>
            </w:pPr>
            <w:r>
              <w:rPr>
                <w:rFonts w:eastAsiaTheme="minorEastAsia"/>
                <w:szCs w:val="21"/>
              </w:rPr>
              <w:t>日本</w:t>
            </w:r>
          </w:p>
        </w:tc>
        <w:tc>
          <w:tcPr>
            <w:tcW w:w="0" w:type="auto"/>
            <w:vAlign w:val="center"/>
          </w:tcPr>
          <w:p w:rsidR="00A877E2" w:rsidRDefault="0022522D">
            <w:pPr>
              <w:jc w:val="right"/>
            </w:pPr>
            <w:r>
              <w:rPr>
                <w:rFonts w:eastAsiaTheme="minorEastAsia"/>
                <w:szCs w:val="21"/>
              </w:rPr>
              <w:t>276,400</w:t>
            </w:r>
          </w:p>
        </w:tc>
        <w:tc>
          <w:tcPr>
            <w:tcW w:w="0" w:type="auto"/>
            <w:vAlign w:val="center"/>
          </w:tcPr>
          <w:p w:rsidR="00A877E2" w:rsidRDefault="0022522D">
            <w:pPr>
              <w:jc w:val="right"/>
            </w:pPr>
            <w:r>
              <w:rPr>
                <w:rFonts w:eastAsiaTheme="minorEastAsia"/>
                <w:szCs w:val="21"/>
              </w:rPr>
              <w:t>97,119,290.45</w:t>
            </w:r>
          </w:p>
        </w:tc>
        <w:tc>
          <w:tcPr>
            <w:tcW w:w="0" w:type="auto"/>
            <w:vAlign w:val="center"/>
          </w:tcPr>
          <w:p w:rsidR="00A877E2" w:rsidRDefault="0022522D">
            <w:pPr>
              <w:jc w:val="right"/>
            </w:pPr>
            <w:r>
              <w:rPr>
                <w:rFonts w:eastAsiaTheme="minorEastAsia"/>
                <w:szCs w:val="21"/>
              </w:rPr>
              <w:t>4.26</w:t>
            </w:r>
          </w:p>
        </w:tc>
      </w:tr>
      <w:tr w:rsidR="00A877E2">
        <w:tc>
          <w:tcPr>
            <w:tcW w:w="0" w:type="auto"/>
            <w:vAlign w:val="center"/>
          </w:tcPr>
          <w:p w:rsidR="00A877E2" w:rsidRDefault="0022522D">
            <w:pPr>
              <w:jc w:val="center"/>
            </w:pPr>
            <w:r>
              <w:rPr>
                <w:rFonts w:eastAsiaTheme="minorEastAsia"/>
                <w:szCs w:val="21"/>
              </w:rPr>
              <w:t>5</w:t>
            </w:r>
          </w:p>
        </w:tc>
        <w:tc>
          <w:tcPr>
            <w:tcW w:w="0" w:type="auto"/>
            <w:vAlign w:val="center"/>
          </w:tcPr>
          <w:p w:rsidR="00A877E2" w:rsidRDefault="0022522D">
            <w:pPr>
              <w:jc w:val="center"/>
            </w:pPr>
            <w:r>
              <w:rPr>
                <w:rFonts w:eastAsiaTheme="minorEastAsia"/>
                <w:szCs w:val="21"/>
              </w:rPr>
              <w:t>MITSUBISHI UFJ FINANCIAL GRO</w:t>
            </w:r>
          </w:p>
        </w:tc>
        <w:tc>
          <w:tcPr>
            <w:tcW w:w="0" w:type="auto"/>
            <w:vAlign w:val="center"/>
          </w:tcPr>
          <w:p w:rsidR="00A877E2" w:rsidRDefault="0022522D">
            <w:pPr>
              <w:jc w:val="center"/>
            </w:pPr>
            <w:r>
              <w:rPr>
                <w:rFonts w:eastAsiaTheme="minorEastAsia"/>
                <w:szCs w:val="21"/>
              </w:rPr>
              <w:t>三菱日联金融集团</w:t>
            </w:r>
          </w:p>
        </w:tc>
        <w:tc>
          <w:tcPr>
            <w:tcW w:w="0" w:type="auto"/>
            <w:vAlign w:val="center"/>
          </w:tcPr>
          <w:p w:rsidR="00A877E2" w:rsidRDefault="0022522D">
            <w:pPr>
              <w:jc w:val="center"/>
            </w:pPr>
            <w:r>
              <w:rPr>
                <w:rFonts w:eastAsiaTheme="minorEastAsia"/>
                <w:szCs w:val="21"/>
              </w:rPr>
              <w:t>8306</w:t>
            </w:r>
          </w:p>
        </w:tc>
        <w:tc>
          <w:tcPr>
            <w:tcW w:w="0" w:type="auto"/>
            <w:vAlign w:val="center"/>
          </w:tcPr>
          <w:p w:rsidR="00A877E2" w:rsidRDefault="0022522D">
            <w:pPr>
              <w:jc w:val="center"/>
            </w:pPr>
            <w:r>
              <w:rPr>
                <w:rFonts w:eastAsiaTheme="minorEastAsia"/>
                <w:szCs w:val="21"/>
              </w:rPr>
              <w:t>日本证券交易所</w:t>
            </w:r>
          </w:p>
        </w:tc>
        <w:tc>
          <w:tcPr>
            <w:tcW w:w="0" w:type="auto"/>
            <w:vAlign w:val="center"/>
          </w:tcPr>
          <w:p w:rsidR="00A877E2" w:rsidRDefault="0022522D">
            <w:pPr>
              <w:jc w:val="center"/>
            </w:pPr>
            <w:r>
              <w:rPr>
                <w:rFonts w:eastAsiaTheme="minorEastAsia"/>
                <w:szCs w:val="21"/>
              </w:rPr>
              <w:t>日本</w:t>
            </w:r>
          </w:p>
        </w:tc>
        <w:tc>
          <w:tcPr>
            <w:tcW w:w="0" w:type="auto"/>
            <w:vAlign w:val="center"/>
          </w:tcPr>
          <w:p w:rsidR="00A877E2" w:rsidRDefault="0022522D">
            <w:pPr>
              <w:jc w:val="right"/>
            </w:pPr>
            <w:r>
              <w:rPr>
                <w:rFonts w:eastAsiaTheme="minorEastAsia"/>
                <w:szCs w:val="21"/>
              </w:rPr>
              <w:t>1,162,900</w:t>
            </w:r>
          </w:p>
        </w:tc>
        <w:tc>
          <w:tcPr>
            <w:tcW w:w="0" w:type="auto"/>
            <w:vAlign w:val="center"/>
          </w:tcPr>
          <w:p w:rsidR="00A877E2" w:rsidRDefault="0022522D">
            <w:pPr>
              <w:jc w:val="right"/>
            </w:pPr>
            <w:r>
              <w:rPr>
                <w:rFonts w:eastAsiaTheme="minorEastAsia"/>
                <w:szCs w:val="21"/>
              </w:rPr>
              <w:t>89,952,643.13</w:t>
            </w:r>
          </w:p>
        </w:tc>
        <w:tc>
          <w:tcPr>
            <w:tcW w:w="0" w:type="auto"/>
            <w:vAlign w:val="center"/>
          </w:tcPr>
          <w:p w:rsidR="00A877E2" w:rsidRDefault="0022522D">
            <w:pPr>
              <w:jc w:val="right"/>
            </w:pPr>
            <w:r>
              <w:rPr>
                <w:rFonts w:eastAsiaTheme="minorEastAsia"/>
                <w:szCs w:val="21"/>
              </w:rPr>
              <w:t>3.95</w:t>
            </w:r>
          </w:p>
        </w:tc>
      </w:tr>
      <w:tr w:rsidR="00A877E2">
        <w:tc>
          <w:tcPr>
            <w:tcW w:w="0" w:type="auto"/>
            <w:vAlign w:val="center"/>
          </w:tcPr>
          <w:p w:rsidR="00A877E2" w:rsidRDefault="0022522D">
            <w:pPr>
              <w:jc w:val="center"/>
            </w:pPr>
            <w:r>
              <w:rPr>
                <w:rFonts w:eastAsiaTheme="minorEastAsia"/>
                <w:szCs w:val="21"/>
              </w:rPr>
              <w:t>6</w:t>
            </w:r>
          </w:p>
        </w:tc>
        <w:tc>
          <w:tcPr>
            <w:tcW w:w="0" w:type="auto"/>
            <w:vAlign w:val="center"/>
          </w:tcPr>
          <w:p w:rsidR="00A877E2" w:rsidRDefault="0022522D">
            <w:pPr>
              <w:jc w:val="center"/>
            </w:pPr>
            <w:r>
              <w:rPr>
                <w:rFonts w:eastAsiaTheme="minorEastAsia"/>
                <w:szCs w:val="21"/>
              </w:rPr>
              <w:t>RECRUIT HOLDINGS CO LTD</w:t>
            </w:r>
          </w:p>
        </w:tc>
        <w:tc>
          <w:tcPr>
            <w:tcW w:w="0" w:type="auto"/>
            <w:vAlign w:val="center"/>
          </w:tcPr>
          <w:p w:rsidR="00A877E2" w:rsidRDefault="0022522D">
            <w:pPr>
              <w:jc w:val="center"/>
            </w:pPr>
            <w:r>
              <w:rPr>
                <w:rFonts w:eastAsiaTheme="minorEastAsia"/>
                <w:szCs w:val="21"/>
              </w:rPr>
              <w:t>Recruit Holdings</w:t>
            </w:r>
            <w:r>
              <w:rPr>
                <w:rFonts w:eastAsiaTheme="minorEastAsia"/>
                <w:szCs w:val="21"/>
              </w:rPr>
              <w:t>株式会社</w:t>
            </w:r>
          </w:p>
        </w:tc>
        <w:tc>
          <w:tcPr>
            <w:tcW w:w="0" w:type="auto"/>
            <w:vAlign w:val="center"/>
          </w:tcPr>
          <w:p w:rsidR="00A877E2" w:rsidRDefault="0022522D">
            <w:pPr>
              <w:jc w:val="center"/>
            </w:pPr>
            <w:r>
              <w:rPr>
                <w:rFonts w:eastAsiaTheme="minorEastAsia"/>
                <w:szCs w:val="21"/>
              </w:rPr>
              <w:t>6098</w:t>
            </w:r>
          </w:p>
        </w:tc>
        <w:tc>
          <w:tcPr>
            <w:tcW w:w="0" w:type="auto"/>
            <w:vAlign w:val="center"/>
          </w:tcPr>
          <w:p w:rsidR="00A877E2" w:rsidRDefault="0022522D">
            <w:pPr>
              <w:jc w:val="center"/>
            </w:pPr>
            <w:r>
              <w:rPr>
                <w:rFonts w:eastAsiaTheme="minorEastAsia"/>
                <w:szCs w:val="21"/>
              </w:rPr>
              <w:t>日本证券交易所</w:t>
            </w:r>
          </w:p>
        </w:tc>
        <w:tc>
          <w:tcPr>
            <w:tcW w:w="0" w:type="auto"/>
            <w:vAlign w:val="center"/>
          </w:tcPr>
          <w:p w:rsidR="00A877E2" w:rsidRDefault="0022522D">
            <w:pPr>
              <w:jc w:val="center"/>
            </w:pPr>
            <w:r>
              <w:rPr>
                <w:rFonts w:eastAsiaTheme="minorEastAsia"/>
                <w:szCs w:val="21"/>
              </w:rPr>
              <w:t>日本</w:t>
            </w:r>
          </w:p>
        </w:tc>
        <w:tc>
          <w:tcPr>
            <w:tcW w:w="0" w:type="auto"/>
            <w:vAlign w:val="center"/>
          </w:tcPr>
          <w:p w:rsidR="00A877E2" w:rsidRDefault="0022522D">
            <w:pPr>
              <w:jc w:val="right"/>
            </w:pPr>
            <w:r>
              <w:rPr>
                <w:rFonts w:eastAsiaTheme="minorEastAsia"/>
                <w:szCs w:val="21"/>
              </w:rPr>
              <w:t>225,600</w:t>
            </w:r>
          </w:p>
        </w:tc>
        <w:tc>
          <w:tcPr>
            <w:tcW w:w="0" w:type="auto"/>
            <w:vAlign w:val="center"/>
          </w:tcPr>
          <w:p w:rsidR="00A877E2" w:rsidRDefault="0022522D">
            <w:pPr>
              <w:jc w:val="right"/>
            </w:pPr>
            <w:r>
              <w:rPr>
                <w:rFonts w:eastAsiaTheme="minorEastAsia"/>
                <w:szCs w:val="21"/>
              </w:rPr>
              <w:t>86,869,528.33</w:t>
            </w:r>
          </w:p>
        </w:tc>
        <w:tc>
          <w:tcPr>
            <w:tcW w:w="0" w:type="auto"/>
            <w:vAlign w:val="center"/>
          </w:tcPr>
          <w:p w:rsidR="00A877E2" w:rsidRDefault="0022522D">
            <w:pPr>
              <w:jc w:val="right"/>
            </w:pPr>
            <w:r>
              <w:rPr>
                <w:rFonts w:eastAsiaTheme="minorEastAsia"/>
                <w:szCs w:val="21"/>
              </w:rPr>
              <w:t>3.81</w:t>
            </w:r>
          </w:p>
        </w:tc>
      </w:tr>
      <w:tr w:rsidR="00A877E2">
        <w:tc>
          <w:tcPr>
            <w:tcW w:w="0" w:type="auto"/>
            <w:vAlign w:val="center"/>
          </w:tcPr>
          <w:p w:rsidR="00A877E2" w:rsidRDefault="0022522D">
            <w:pPr>
              <w:jc w:val="center"/>
            </w:pPr>
            <w:r>
              <w:rPr>
                <w:rFonts w:eastAsiaTheme="minorEastAsia"/>
                <w:szCs w:val="21"/>
              </w:rPr>
              <w:t>7</w:t>
            </w:r>
          </w:p>
        </w:tc>
        <w:tc>
          <w:tcPr>
            <w:tcW w:w="0" w:type="auto"/>
            <w:vAlign w:val="center"/>
          </w:tcPr>
          <w:p w:rsidR="00A877E2" w:rsidRDefault="0022522D">
            <w:pPr>
              <w:jc w:val="center"/>
            </w:pPr>
            <w:r>
              <w:rPr>
                <w:rFonts w:eastAsiaTheme="minorEastAsia"/>
                <w:szCs w:val="21"/>
              </w:rPr>
              <w:t>SHIN-ETSU CHEMICAL CO LTD</w:t>
            </w:r>
          </w:p>
        </w:tc>
        <w:tc>
          <w:tcPr>
            <w:tcW w:w="0" w:type="auto"/>
            <w:vAlign w:val="center"/>
          </w:tcPr>
          <w:p w:rsidR="00A877E2" w:rsidRDefault="0022522D">
            <w:pPr>
              <w:jc w:val="center"/>
            </w:pPr>
            <w:r>
              <w:rPr>
                <w:rFonts w:eastAsiaTheme="minorEastAsia"/>
                <w:szCs w:val="21"/>
              </w:rPr>
              <w:t>信越化学工业</w:t>
            </w:r>
          </w:p>
        </w:tc>
        <w:tc>
          <w:tcPr>
            <w:tcW w:w="0" w:type="auto"/>
            <w:vAlign w:val="center"/>
          </w:tcPr>
          <w:p w:rsidR="00A877E2" w:rsidRDefault="0022522D">
            <w:pPr>
              <w:jc w:val="center"/>
            </w:pPr>
            <w:r>
              <w:rPr>
                <w:rFonts w:eastAsiaTheme="minorEastAsia"/>
                <w:szCs w:val="21"/>
              </w:rPr>
              <w:t>4063</w:t>
            </w:r>
          </w:p>
        </w:tc>
        <w:tc>
          <w:tcPr>
            <w:tcW w:w="0" w:type="auto"/>
            <w:vAlign w:val="center"/>
          </w:tcPr>
          <w:p w:rsidR="00A877E2" w:rsidRDefault="0022522D">
            <w:pPr>
              <w:jc w:val="center"/>
            </w:pPr>
            <w:r>
              <w:rPr>
                <w:rFonts w:eastAsiaTheme="minorEastAsia"/>
                <w:szCs w:val="21"/>
              </w:rPr>
              <w:t>日本证券交易所</w:t>
            </w:r>
          </w:p>
        </w:tc>
        <w:tc>
          <w:tcPr>
            <w:tcW w:w="0" w:type="auto"/>
            <w:vAlign w:val="center"/>
          </w:tcPr>
          <w:p w:rsidR="00A877E2" w:rsidRDefault="0022522D">
            <w:pPr>
              <w:jc w:val="center"/>
            </w:pPr>
            <w:r>
              <w:rPr>
                <w:rFonts w:eastAsiaTheme="minorEastAsia"/>
                <w:szCs w:val="21"/>
              </w:rPr>
              <w:t>日本</w:t>
            </w:r>
          </w:p>
        </w:tc>
        <w:tc>
          <w:tcPr>
            <w:tcW w:w="0" w:type="auto"/>
            <w:vAlign w:val="center"/>
          </w:tcPr>
          <w:p w:rsidR="00A877E2" w:rsidRDefault="0022522D">
            <w:pPr>
              <w:jc w:val="right"/>
            </w:pPr>
            <w:r>
              <w:rPr>
                <w:rFonts w:eastAsiaTheme="minorEastAsia"/>
                <w:szCs w:val="21"/>
              </w:rPr>
              <w:t>300,900</w:t>
            </w:r>
          </w:p>
        </w:tc>
        <w:tc>
          <w:tcPr>
            <w:tcW w:w="0" w:type="auto"/>
            <w:vAlign w:val="center"/>
          </w:tcPr>
          <w:p w:rsidR="00A877E2" w:rsidRDefault="0022522D">
            <w:pPr>
              <w:jc w:val="right"/>
            </w:pPr>
            <w:r>
              <w:rPr>
                <w:rFonts w:eastAsiaTheme="minorEastAsia"/>
                <w:szCs w:val="21"/>
              </w:rPr>
              <w:t>83,973,861.28</w:t>
            </w:r>
          </w:p>
        </w:tc>
        <w:tc>
          <w:tcPr>
            <w:tcW w:w="0" w:type="auto"/>
            <w:vAlign w:val="center"/>
          </w:tcPr>
          <w:p w:rsidR="00A877E2" w:rsidRDefault="0022522D">
            <w:pPr>
              <w:jc w:val="right"/>
            </w:pPr>
            <w:r>
              <w:rPr>
                <w:rFonts w:eastAsiaTheme="minorEastAsia"/>
                <w:szCs w:val="21"/>
              </w:rPr>
              <w:t>3.69</w:t>
            </w:r>
          </w:p>
        </w:tc>
      </w:tr>
      <w:tr w:rsidR="00A877E2">
        <w:tc>
          <w:tcPr>
            <w:tcW w:w="0" w:type="auto"/>
            <w:vAlign w:val="center"/>
          </w:tcPr>
          <w:p w:rsidR="00A877E2" w:rsidRDefault="0022522D">
            <w:pPr>
              <w:jc w:val="center"/>
            </w:pPr>
            <w:r>
              <w:rPr>
                <w:rFonts w:eastAsiaTheme="minorEastAsia"/>
                <w:szCs w:val="21"/>
              </w:rPr>
              <w:t>8</w:t>
            </w:r>
          </w:p>
        </w:tc>
        <w:tc>
          <w:tcPr>
            <w:tcW w:w="0" w:type="auto"/>
            <w:vAlign w:val="center"/>
          </w:tcPr>
          <w:p w:rsidR="00A877E2" w:rsidRDefault="0022522D">
            <w:pPr>
              <w:jc w:val="center"/>
            </w:pPr>
            <w:r>
              <w:rPr>
                <w:rFonts w:eastAsiaTheme="minorEastAsia"/>
                <w:szCs w:val="21"/>
              </w:rPr>
              <w:t>KEYENCE CORP</w:t>
            </w:r>
          </w:p>
        </w:tc>
        <w:tc>
          <w:tcPr>
            <w:tcW w:w="0" w:type="auto"/>
            <w:vAlign w:val="center"/>
          </w:tcPr>
          <w:p w:rsidR="00A877E2" w:rsidRDefault="0022522D">
            <w:pPr>
              <w:jc w:val="center"/>
            </w:pPr>
            <w:r>
              <w:rPr>
                <w:rFonts w:eastAsiaTheme="minorEastAsia"/>
                <w:szCs w:val="21"/>
              </w:rPr>
              <w:t>株式会社</w:t>
            </w:r>
            <w:r>
              <w:rPr>
                <w:rFonts w:eastAsiaTheme="minorEastAsia"/>
                <w:szCs w:val="21"/>
              </w:rPr>
              <w:t xml:space="preserve"> KEYENCE</w:t>
            </w:r>
          </w:p>
        </w:tc>
        <w:tc>
          <w:tcPr>
            <w:tcW w:w="0" w:type="auto"/>
            <w:vAlign w:val="center"/>
          </w:tcPr>
          <w:p w:rsidR="00A877E2" w:rsidRDefault="0022522D">
            <w:pPr>
              <w:jc w:val="center"/>
            </w:pPr>
            <w:r>
              <w:rPr>
                <w:rFonts w:eastAsiaTheme="minorEastAsia"/>
                <w:szCs w:val="21"/>
              </w:rPr>
              <w:t>6861</w:t>
            </w:r>
          </w:p>
        </w:tc>
        <w:tc>
          <w:tcPr>
            <w:tcW w:w="0" w:type="auto"/>
            <w:vAlign w:val="center"/>
          </w:tcPr>
          <w:p w:rsidR="00A877E2" w:rsidRDefault="0022522D">
            <w:pPr>
              <w:jc w:val="center"/>
            </w:pPr>
            <w:r>
              <w:rPr>
                <w:rFonts w:eastAsiaTheme="minorEastAsia"/>
                <w:szCs w:val="21"/>
              </w:rPr>
              <w:t>日本证券</w:t>
            </w:r>
            <w:r>
              <w:rPr>
                <w:rFonts w:eastAsiaTheme="minorEastAsia"/>
                <w:szCs w:val="21"/>
              </w:rPr>
              <w:lastRenderedPageBreak/>
              <w:t>交易所</w:t>
            </w:r>
          </w:p>
        </w:tc>
        <w:tc>
          <w:tcPr>
            <w:tcW w:w="0" w:type="auto"/>
            <w:vAlign w:val="center"/>
          </w:tcPr>
          <w:p w:rsidR="00A877E2" w:rsidRDefault="0022522D">
            <w:pPr>
              <w:jc w:val="center"/>
            </w:pPr>
            <w:r>
              <w:rPr>
                <w:rFonts w:eastAsiaTheme="minorEastAsia"/>
                <w:szCs w:val="21"/>
              </w:rPr>
              <w:lastRenderedPageBreak/>
              <w:t>日本</w:t>
            </w:r>
          </w:p>
        </w:tc>
        <w:tc>
          <w:tcPr>
            <w:tcW w:w="0" w:type="auto"/>
            <w:vAlign w:val="center"/>
          </w:tcPr>
          <w:p w:rsidR="00A877E2" w:rsidRDefault="0022522D">
            <w:pPr>
              <w:jc w:val="right"/>
            </w:pPr>
            <w:r>
              <w:rPr>
                <w:rFonts w:eastAsiaTheme="minorEastAsia"/>
                <w:szCs w:val="21"/>
              </w:rPr>
              <w:t>26,400</w:t>
            </w:r>
          </w:p>
        </w:tc>
        <w:tc>
          <w:tcPr>
            <w:tcW w:w="0" w:type="auto"/>
            <w:vAlign w:val="center"/>
          </w:tcPr>
          <w:p w:rsidR="00A877E2" w:rsidRDefault="0022522D">
            <w:pPr>
              <w:jc w:val="right"/>
            </w:pPr>
            <w:r>
              <w:rPr>
                <w:rFonts w:eastAsiaTheme="minorEastAsia"/>
                <w:szCs w:val="21"/>
              </w:rPr>
              <w:t>83,325,419.76</w:t>
            </w:r>
          </w:p>
        </w:tc>
        <w:tc>
          <w:tcPr>
            <w:tcW w:w="0" w:type="auto"/>
            <w:vAlign w:val="center"/>
          </w:tcPr>
          <w:p w:rsidR="00A877E2" w:rsidRDefault="0022522D">
            <w:pPr>
              <w:jc w:val="right"/>
            </w:pPr>
            <w:r>
              <w:rPr>
                <w:rFonts w:eastAsiaTheme="minorEastAsia"/>
                <w:szCs w:val="21"/>
              </w:rPr>
              <w:t>3.66</w:t>
            </w:r>
          </w:p>
        </w:tc>
      </w:tr>
      <w:tr w:rsidR="00A877E2">
        <w:tc>
          <w:tcPr>
            <w:tcW w:w="0" w:type="auto"/>
            <w:vAlign w:val="center"/>
          </w:tcPr>
          <w:p w:rsidR="00A877E2" w:rsidRDefault="0022522D">
            <w:pPr>
              <w:jc w:val="center"/>
            </w:pPr>
            <w:r>
              <w:rPr>
                <w:rFonts w:eastAsiaTheme="minorEastAsia"/>
                <w:szCs w:val="21"/>
              </w:rPr>
              <w:t>9</w:t>
            </w:r>
          </w:p>
        </w:tc>
        <w:tc>
          <w:tcPr>
            <w:tcW w:w="0" w:type="auto"/>
            <w:vAlign w:val="center"/>
          </w:tcPr>
          <w:p w:rsidR="00A877E2" w:rsidRDefault="0022522D">
            <w:pPr>
              <w:jc w:val="center"/>
            </w:pPr>
            <w:r>
              <w:rPr>
                <w:rFonts w:eastAsiaTheme="minorEastAsia"/>
                <w:szCs w:val="21"/>
              </w:rPr>
              <w:t>SOFTBANK GROUP CORP</w:t>
            </w:r>
          </w:p>
        </w:tc>
        <w:tc>
          <w:tcPr>
            <w:tcW w:w="0" w:type="auto"/>
            <w:vAlign w:val="center"/>
          </w:tcPr>
          <w:p w:rsidR="00A877E2" w:rsidRDefault="0022522D">
            <w:pPr>
              <w:jc w:val="center"/>
            </w:pPr>
            <w:r>
              <w:rPr>
                <w:rFonts w:eastAsiaTheme="minorEastAsia"/>
                <w:szCs w:val="21"/>
              </w:rPr>
              <w:t>软银集团股份有限公司</w:t>
            </w:r>
          </w:p>
        </w:tc>
        <w:tc>
          <w:tcPr>
            <w:tcW w:w="0" w:type="auto"/>
            <w:vAlign w:val="center"/>
          </w:tcPr>
          <w:p w:rsidR="00A877E2" w:rsidRDefault="0022522D">
            <w:pPr>
              <w:jc w:val="center"/>
            </w:pPr>
            <w:r>
              <w:rPr>
                <w:rFonts w:eastAsiaTheme="minorEastAsia"/>
                <w:szCs w:val="21"/>
              </w:rPr>
              <w:t>9984</w:t>
            </w:r>
          </w:p>
        </w:tc>
        <w:tc>
          <w:tcPr>
            <w:tcW w:w="0" w:type="auto"/>
            <w:vAlign w:val="center"/>
          </w:tcPr>
          <w:p w:rsidR="00A877E2" w:rsidRDefault="0022522D">
            <w:pPr>
              <w:jc w:val="center"/>
            </w:pPr>
            <w:r>
              <w:rPr>
                <w:rFonts w:eastAsiaTheme="minorEastAsia"/>
                <w:szCs w:val="21"/>
              </w:rPr>
              <w:t>日本证券交易所</w:t>
            </w:r>
          </w:p>
        </w:tc>
        <w:tc>
          <w:tcPr>
            <w:tcW w:w="0" w:type="auto"/>
            <w:vAlign w:val="center"/>
          </w:tcPr>
          <w:p w:rsidR="00A877E2" w:rsidRDefault="0022522D">
            <w:pPr>
              <w:jc w:val="center"/>
            </w:pPr>
            <w:r>
              <w:rPr>
                <w:rFonts w:eastAsiaTheme="minorEastAsia"/>
                <w:szCs w:val="21"/>
              </w:rPr>
              <w:t>日本</w:t>
            </w:r>
          </w:p>
        </w:tc>
        <w:tc>
          <w:tcPr>
            <w:tcW w:w="0" w:type="auto"/>
            <w:vAlign w:val="center"/>
          </w:tcPr>
          <w:p w:rsidR="00A877E2" w:rsidRDefault="0022522D">
            <w:pPr>
              <w:jc w:val="right"/>
            </w:pPr>
            <w:r>
              <w:rPr>
                <w:rFonts w:eastAsiaTheme="minorEastAsia"/>
                <w:szCs w:val="21"/>
              </w:rPr>
              <w:t>175,600</w:t>
            </w:r>
          </w:p>
        </w:tc>
        <w:tc>
          <w:tcPr>
            <w:tcW w:w="0" w:type="auto"/>
            <w:vAlign w:val="center"/>
          </w:tcPr>
          <w:p w:rsidR="00A877E2" w:rsidRDefault="0022522D">
            <w:pPr>
              <w:jc w:val="right"/>
            </w:pPr>
            <w:r>
              <w:rPr>
                <w:rFonts w:eastAsiaTheme="minorEastAsia"/>
                <w:szCs w:val="21"/>
              </w:rPr>
              <w:t>81,623,765.19</w:t>
            </w:r>
          </w:p>
        </w:tc>
        <w:tc>
          <w:tcPr>
            <w:tcW w:w="0" w:type="auto"/>
            <w:vAlign w:val="center"/>
          </w:tcPr>
          <w:p w:rsidR="00A877E2" w:rsidRDefault="0022522D">
            <w:pPr>
              <w:jc w:val="right"/>
            </w:pPr>
            <w:r>
              <w:rPr>
                <w:rFonts w:eastAsiaTheme="minorEastAsia"/>
                <w:szCs w:val="21"/>
              </w:rPr>
              <w:t>3.58</w:t>
            </w:r>
          </w:p>
        </w:tc>
      </w:tr>
      <w:tr w:rsidR="00A877E2">
        <w:tc>
          <w:tcPr>
            <w:tcW w:w="0" w:type="auto"/>
            <w:vAlign w:val="center"/>
          </w:tcPr>
          <w:p w:rsidR="00A877E2" w:rsidRDefault="0022522D">
            <w:pPr>
              <w:jc w:val="center"/>
            </w:pPr>
            <w:r>
              <w:rPr>
                <w:rFonts w:eastAsiaTheme="minorEastAsia"/>
                <w:szCs w:val="21"/>
              </w:rPr>
              <w:t>10</w:t>
            </w:r>
          </w:p>
        </w:tc>
        <w:tc>
          <w:tcPr>
            <w:tcW w:w="0" w:type="auto"/>
            <w:vAlign w:val="center"/>
          </w:tcPr>
          <w:p w:rsidR="00A877E2" w:rsidRDefault="0022522D">
            <w:pPr>
              <w:jc w:val="center"/>
            </w:pPr>
            <w:r>
              <w:rPr>
                <w:rFonts w:eastAsiaTheme="minorEastAsia"/>
                <w:szCs w:val="21"/>
              </w:rPr>
              <w:t>SUMITOMO MITSUI FINANCIAL GR</w:t>
            </w:r>
          </w:p>
        </w:tc>
        <w:tc>
          <w:tcPr>
            <w:tcW w:w="0" w:type="auto"/>
            <w:vAlign w:val="center"/>
          </w:tcPr>
          <w:p w:rsidR="00A877E2" w:rsidRDefault="0022522D">
            <w:pPr>
              <w:jc w:val="center"/>
            </w:pPr>
            <w:r>
              <w:rPr>
                <w:rFonts w:eastAsiaTheme="minorEastAsia"/>
                <w:szCs w:val="21"/>
              </w:rPr>
              <w:t>三井住友金融集团</w:t>
            </w:r>
          </w:p>
        </w:tc>
        <w:tc>
          <w:tcPr>
            <w:tcW w:w="0" w:type="auto"/>
            <w:vAlign w:val="center"/>
          </w:tcPr>
          <w:p w:rsidR="00A877E2" w:rsidRDefault="0022522D">
            <w:pPr>
              <w:jc w:val="center"/>
            </w:pPr>
            <w:r>
              <w:rPr>
                <w:rFonts w:eastAsiaTheme="minorEastAsia"/>
                <w:szCs w:val="21"/>
              </w:rPr>
              <w:t>8316</w:t>
            </w:r>
          </w:p>
        </w:tc>
        <w:tc>
          <w:tcPr>
            <w:tcW w:w="0" w:type="auto"/>
            <w:vAlign w:val="center"/>
          </w:tcPr>
          <w:p w:rsidR="00A877E2" w:rsidRDefault="0022522D">
            <w:pPr>
              <w:jc w:val="center"/>
            </w:pPr>
            <w:r>
              <w:rPr>
                <w:rFonts w:eastAsiaTheme="minorEastAsia"/>
                <w:szCs w:val="21"/>
              </w:rPr>
              <w:t>日本证券交易所</w:t>
            </w:r>
          </w:p>
        </w:tc>
        <w:tc>
          <w:tcPr>
            <w:tcW w:w="0" w:type="auto"/>
            <w:vAlign w:val="center"/>
          </w:tcPr>
          <w:p w:rsidR="00A877E2" w:rsidRDefault="0022522D">
            <w:pPr>
              <w:jc w:val="center"/>
            </w:pPr>
            <w:r>
              <w:rPr>
                <w:rFonts w:eastAsiaTheme="minorEastAsia"/>
                <w:szCs w:val="21"/>
              </w:rPr>
              <w:t>日本</w:t>
            </w:r>
          </w:p>
        </w:tc>
        <w:tc>
          <w:tcPr>
            <w:tcW w:w="0" w:type="auto"/>
            <w:vAlign w:val="center"/>
          </w:tcPr>
          <w:p w:rsidR="00A877E2" w:rsidRDefault="0022522D">
            <w:pPr>
              <w:jc w:val="right"/>
            </w:pPr>
            <w:r>
              <w:rPr>
                <w:rFonts w:eastAsiaTheme="minorEastAsia"/>
                <w:szCs w:val="21"/>
              </w:rPr>
              <w:t>156,600</w:t>
            </w:r>
          </w:p>
        </w:tc>
        <w:tc>
          <w:tcPr>
            <w:tcW w:w="0" w:type="auto"/>
            <w:vAlign w:val="center"/>
          </w:tcPr>
          <w:p w:rsidR="00A877E2" w:rsidRDefault="0022522D">
            <w:pPr>
              <w:jc w:val="right"/>
            </w:pPr>
            <w:r>
              <w:rPr>
                <w:rFonts w:eastAsiaTheme="minorEastAsia"/>
                <w:szCs w:val="21"/>
              </w:rPr>
              <w:t>75,139,036.83</w:t>
            </w:r>
          </w:p>
        </w:tc>
        <w:tc>
          <w:tcPr>
            <w:tcW w:w="0" w:type="auto"/>
            <w:vAlign w:val="center"/>
          </w:tcPr>
          <w:p w:rsidR="00A877E2" w:rsidRDefault="0022522D">
            <w:pPr>
              <w:jc w:val="right"/>
            </w:pPr>
            <w:r>
              <w:rPr>
                <w:rFonts w:eastAsiaTheme="minorEastAsia"/>
                <w:szCs w:val="21"/>
              </w:rPr>
              <w:t>3.30</w:t>
            </w:r>
          </w:p>
        </w:tc>
      </w:tr>
    </w:tbl>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160,905.96</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6,570,670.05</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11,992,162.35</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18,723,738.36</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摩根日本精选股票</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1,111,579,036.50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529,228,721.19</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258,639,024.55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157,215,725.53</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288,924,314.81</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353,190,236.40</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1,081,293,746.24</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333,254,210.32</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rsidTr="00D769A5">
        <w:trPr>
          <w:trHeight w:val="248"/>
        </w:trPr>
        <w:tc>
          <w:tcPr>
            <w:tcW w:w="3167" w:type="dxa"/>
            <w:vAlign w:val="center"/>
          </w:tcPr>
          <w:p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D678E4" w:rsidRPr="00FA472B" w:rsidRDefault="00D678E4" w:rsidP="00D769A5">
            <w:pPr>
              <w:jc w:val="center"/>
              <w:rPr>
                <w:sz w:val="24"/>
              </w:rPr>
            </w:pPr>
            <w:r w:rsidRPr="00FA472B">
              <w:rPr>
                <w:sz w:val="24"/>
              </w:rPr>
              <w:t>摩根日本精选股票</w:t>
            </w:r>
            <w:r w:rsidRPr="00FA472B">
              <w:rPr>
                <w:sz w:val="24"/>
              </w:rPr>
              <w:t>(QDII)A</w:t>
            </w:r>
          </w:p>
        </w:tc>
        <w:tc>
          <w:tcPr>
            <w:tcW w:w="2631" w:type="dxa"/>
            <w:vAlign w:val="bottom"/>
          </w:tcPr>
          <w:p w:rsidR="00D678E4" w:rsidRPr="00FA472B" w:rsidRDefault="00D678E4" w:rsidP="00D769A5">
            <w:pPr>
              <w:jc w:val="center"/>
              <w:rPr>
                <w:sz w:val="24"/>
              </w:rPr>
            </w:pPr>
            <w:r w:rsidRPr="00FA472B">
              <w:rPr>
                <w:sz w:val="24"/>
              </w:rPr>
              <w:t>摩根日本精选股票</w:t>
            </w:r>
            <w:r w:rsidRPr="00FA472B">
              <w:rPr>
                <w:sz w:val="24"/>
              </w:rPr>
              <w:t>(QDII)C</w:t>
            </w:r>
          </w:p>
        </w:tc>
      </w:tr>
      <w:tr w:rsidR="00D678E4" w:rsidRPr="00E90B39" w:rsidTr="00D769A5">
        <w:trPr>
          <w:trHeight w:val="247"/>
        </w:trPr>
        <w:tc>
          <w:tcPr>
            <w:tcW w:w="3167" w:type="dxa"/>
            <w:vAlign w:val="center"/>
          </w:tcPr>
          <w:p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67,011.43</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67,011.43</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D678E4" w:rsidRPr="00FA472B" w:rsidRDefault="00D678E4" w:rsidP="00D769A5">
            <w:pPr>
              <w:jc w:val="right"/>
              <w:rPr>
                <w:color w:val="000000"/>
                <w:kern w:val="0"/>
                <w:sz w:val="24"/>
              </w:rPr>
            </w:pPr>
            <w:r w:rsidRPr="00FA472B">
              <w:rPr>
                <w:color w:val="000000"/>
                <w:sz w:val="24"/>
              </w:rPr>
              <w:t>0.00</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bl>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BB5F3D" w:rsidRPr="00A3398F" w:rsidTr="00AF14A6">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BB5F3D" w:rsidRPr="00A3398F" w:rsidRDefault="00BB5F3D" w:rsidP="003376D5">
            <w:pPr>
              <w:pStyle w:val="af"/>
              <w:adjustRightInd w:val="0"/>
              <w:snapToGrid w:val="0"/>
              <w:spacing w:line="360" w:lineRule="exact"/>
              <w:jc w:val="center"/>
              <w:rPr>
                <w:rFonts w:eastAsiaTheme="minorEastAsia"/>
                <w:color w:val="000000" w:themeColor="text1"/>
                <w:sz w:val="21"/>
                <w:szCs w:val="21"/>
              </w:rPr>
            </w:pPr>
            <w:r w:rsidRPr="00A3398F">
              <w:rPr>
                <w:rFonts w:eastAsiaTheme="minorEastAsia"/>
                <w:color w:val="000000" w:themeColor="text1"/>
                <w:sz w:val="21"/>
                <w:szCs w:val="21"/>
              </w:rPr>
              <w:t>序号</w:t>
            </w:r>
          </w:p>
        </w:tc>
        <w:tc>
          <w:tcPr>
            <w:tcW w:w="1850" w:type="dxa"/>
            <w:tcBorders>
              <w:top w:val="single" w:sz="4" w:space="0" w:color="auto"/>
              <w:left w:val="single" w:sz="4" w:space="0" w:color="auto"/>
              <w:bottom w:val="single" w:sz="4" w:space="0" w:color="auto"/>
              <w:right w:val="single" w:sz="4" w:space="0" w:color="auto"/>
            </w:tcBorders>
            <w:hideMark/>
          </w:tcPr>
          <w:p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交易方式</w:t>
            </w:r>
          </w:p>
        </w:tc>
        <w:tc>
          <w:tcPr>
            <w:tcW w:w="1369" w:type="dxa"/>
            <w:tcBorders>
              <w:top w:val="single" w:sz="4" w:space="0" w:color="auto"/>
              <w:left w:val="single" w:sz="4" w:space="0" w:color="auto"/>
              <w:bottom w:val="single" w:sz="4" w:space="0" w:color="auto"/>
              <w:right w:val="single" w:sz="4" w:space="0" w:color="auto"/>
            </w:tcBorders>
            <w:hideMark/>
          </w:tcPr>
          <w:p w:rsidR="00BB5F3D" w:rsidRPr="00A3398F" w:rsidRDefault="00BB5F3D" w:rsidP="003376D5">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交易日期</w:t>
            </w:r>
          </w:p>
        </w:tc>
        <w:tc>
          <w:tcPr>
            <w:tcW w:w="1700" w:type="dxa"/>
            <w:tcBorders>
              <w:top w:val="single" w:sz="4" w:space="0" w:color="auto"/>
              <w:left w:val="single" w:sz="4" w:space="0" w:color="auto"/>
              <w:bottom w:val="single" w:sz="4" w:space="0" w:color="auto"/>
              <w:right w:val="single" w:sz="4" w:space="0" w:color="auto"/>
            </w:tcBorders>
            <w:hideMark/>
          </w:tcPr>
          <w:p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交易份额（份）</w:t>
            </w:r>
          </w:p>
        </w:tc>
        <w:tc>
          <w:tcPr>
            <w:tcW w:w="1841" w:type="dxa"/>
            <w:tcBorders>
              <w:top w:val="single" w:sz="4" w:space="0" w:color="auto"/>
              <w:left w:val="single" w:sz="4" w:space="0" w:color="auto"/>
              <w:bottom w:val="single" w:sz="4" w:space="0" w:color="auto"/>
              <w:right w:val="single" w:sz="4" w:space="0" w:color="auto"/>
            </w:tcBorders>
            <w:hideMark/>
          </w:tcPr>
          <w:p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交易金额（元）</w:t>
            </w:r>
          </w:p>
        </w:tc>
        <w:tc>
          <w:tcPr>
            <w:tcW w:w="1396" w:type="dxa"/>
            <w:tcBorders>
              <w:top w:val="single" w:sz="4" w:space="0" w:color="auto"/>
              <w:left w:val="single" w:sz="4" w:space="0" w:color="auto"/>
              <w:bottom w:val="single" w:sz="4" w:space="0" w:color="auto"/>
              <w:right w:val="single" w:sz="4" w:space="0" w:color="auto"/>
            </w:tcBorders>
            <w:vAlign w:val="center"/>
            <w:hideMark/>
          </w:tcPr>
          <w:p w:rsidR="00BB5F3D" w:rsidRPr="00A3398F" w:rsidRDefault="00BB5F3D" w:rsidP="003376D5">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适用费率</w:t>
            </w:r>
          </w:p>
        </w:tc>
      </w:tr>
      <w:tr w:rsidR="00A877E2">
        <w:trPr>
          <w:jc w:val="center"/>
        </w:trPr>
        <w:tc>
          <w:tcPr>
            <w:tcW w:w="1069" w:type="dxa"/>
            <w:vAlign w:val="center"/>
          </w:tcPr>
          <w:p w:rsidR="00A877E2" w:rsidRDefault="0022522D">
            <w:pPr>
              <w:jc w:val="center"/>
            </w:pPr>
            <w:r>
              <w:rPr>
                <w:rFonts w:eastAsiaTheme="minorEastAsia"/>
                <w:color w:val="000000" w:themeColor="text1"/>
                <w:szCs w:val="21"/>
              </w:rPr>
              <w:t>1</w:t>
            </w:r>
          </w:p>
        </w:tc>
        <w:tc>
          <w:tcPr>
            <w:tcW w:w="1850" w:type="dxa"/>
            <w:vAlign w:val="center"/>
          </w:tcPr>
          <w:p w:rsidR="00A877E2" w:rsidRDefault="0022522D">
            <w:pPr>
              <w:jc w:val="center"/>
            </w:pPr>
            <w:r>
              <w:rPr>
                <w:rFonts w:eastAsiaTheme="minorEastAsia"/>
                <w:color w:val="000000" w:themeColor="text1"/>
                <w:szCs w:val="21"/>
              </w:rPr>
              <w:t>申购</w:t>
            </w:r>
          </w:p>
        </w:tc>
        <w:tc>
          <w:tcPr>
            <w:tcW w:w="1369" w:type="dxa"/>
            <w:vAlign w:val="center"/>
          </w:tcPr>
          <w:p w:rsidR="00A877E2" w:rsidRDefault="0022522D">
            <w:pPr>
              <w:jc w:val="center"/>
            </w:pPr>
            <w:r>
              <w:rPr>
                <w:rFonts w:eastAsiaTheme="minorEastAsia"/>
                <w:color w:val="000000" w:themeColor="text1"/>
                <w:szCs w:val="21"/>
              </w:rPr>
              <w:t>2024-05-15</w:t>
            </w:r>
          </w:p>
        </w:tc>
        <w:tc>
          <w:tcPr>
            <w:tcW w:w="1700" w:type="dxa"/>
            <w:vAlign w:val="center"/>
          </w:tcPr>
          <w:p w:rsidR="00A877E2" w:rsidRDefault="0022522D">
            <w:pPr>
              <w:jc w:val="right"/>
            </w:pPr>
            <w:r>
              <w:rPr>
                <w:rFonts w:eastAsiaTheme="minorEastAsia"/>
                <w:color w:val="000000" w:themeColor="text1"/>
                <w:szCs w:val="21"/>
              </w:rPr>
              <w:t>67,011.43</w:t>
            </w:r>
          </w:p>
        </w:tc>
        <w:tc>
          <w:tcPr>
            <w:tcW w:w="1841" w:type="dxa"/>
            <w:vAlign w:val="center"/>
          </w:tcPr>
          <w:p w:rsidR="00A877E2" w:rsidRDefault="0022522D">
            <w:pPr>
              <w:jc w:val="right"/>
            </w:pPr>
            <w:r>
              <w:rPr>
                <w:rFonts w:eastAsiaTheme="minorEastAsia"/>
                <w:color w:val="000000" w:themeColor="text1"/>
                <w:szCs w:val="21"/>
              </w:rPr>
              <w:t>104,960.00</w:t>
            </w:r>
          </w:p>
        </w:tc>
        <w:tc>
          <w:tcPr>
            <w:tcW w:w="1396" w:type="dxa"/>
            <w:vAlign w:val="center"/>
          </w:tcPr>
          <w:p w:rsidR="00A877E2" w:rsidRDefault="0022522D">
            <w:pPr>
              <w:jc w:val="center"/>
            </w:pPr>
            <w:r>
              <w:rPr>
                <w:rFonts w:eastAsiaTheme="minorEastAsia"/>
                <w:color w:val="000000" w:themeColor="text1"/>
                <w:szCs w:val="21"/>
              </w:rPr>
              <w:t>-</w:t>
            </w:r>
          </w:p>
        </w:tc>
      </w:tr>
      <w:tr w:rsidR="00BB5F3D" w:rsidRPr="00A3398F" w:rsidTr="00AF14A6">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hideMark/>
          </w:tcPr>
          <w:p w:rsidR="00BB5F3D" w:rsidRPr="00A3398F" w:rsidRDefault="00BB5F3D" w:rsidP="003376D5">
            <w:pPr>
              <w:pStyle w:val="af"/>
              <w:adjustRightInd w:val="0"/>
              <w:snapToGrid w:val="0"/>
              <w:spacing w:line="360" w:lineRule="exact"/>
              <w:jc w:val="center"/>
              <w:rPr>
                <w:rFonts w:eastAsiaTheme="minorEastAsia"/>
                <w:color w:val="000000" w:themeColor="text1"/>
                <w:sz w:val="21"/>
                <w:szCs w:val="21"/>
              </w:rPr>
            </w:pPr>
            <w:r w:rsidRPr="00A3398F">
              <w:rPr>
                <w:rFonts w:eastAsiaTheme="minorEastAsia"/>
                <w:color w:val="000000" w:themeColor="text1"/>
                <w:sz w:val="21"/>
                <w:szCs w:val="21"/>
              </w:rPr>
              <w:t>合计</w:t>
            </w:r>
          </w:p>
        </w:tc>
        <w:tc>
          <w:tcPr>
            <w:tcW w:w="1850" w:type="dxa"/>
            <w:tcBorders>
              <w:top w:val="single" w:sz="4" w:space="0" w:color="auto"/>
              <w:left w:val="single" w:sz="4" w:space="0" w:color="auto"/>
              <w:bottom w:val="single" w:sz="4" w:space="0" w:color="auto"/>
              <w:right w:val="single" w:sz="4" w:space="0" w:color="auto"/>
            </w:tcBorders>
          </w:tcPr>
          <w:p w:rsidR="00BB5F3D" w:rsidRPr="00A3398F" w:rsidRDefault="00BB5F3D" w:rsidP="003376D5">
            <w:pPr>
              <w:adjustRightInd w:val="0"/>
              <w:snapToGrid w:val="0"/>
              <w:spacing w:line="360" w:lineRule="exact"/>
              <w:jc w:val="right"/>
              <w:rPr>
                <w:rFonts w:eastAsiaTheme="minorEastAsia"/>
                <w:color w:val="000000" w:themeColor="text1"/>
                <w:szCs w:val="21"/>
              </w:rPr>
            </w:pPr>
          </w:p>
        </w:tc>
        <w:tc>
          <w:tcPr>
            <w:tcW w:w="1369" w:type="dxa"/>
            <w:tcBorders>
              <w:top w:val="single" w:sz="4" w:space="0" w:color="auto"/>
              <w:left w:val="single" w:sz="4" w:space="0" w:color="auto"/>
              <w:bottom w:val="single" w:sz="4" w:space="0" w:color="auto"/>
              <w:right w:val="single" w:sz="4" w:space="0" w:color="auto"/>
            </w:tcBorders>
          </w:tcPr>
          <w:p w:rsidR="00BB5F3D" w:rsidRPr="00A3398F" w:rsidRDefault="00BB5F3D" w:rsidP="003376D5">
            <w:pPr>
              <w:adjustRightInd w:val="0"/>
              <w:snapToGrid w:val="0"/>
              <w:spacing w:line="360" w:lineRule="exact"/>
              <w:jc w:val="right"/>
              <w:rPr>
                <w:rFonts w:eastAsiaTheme="minorEastAsia"/>
                <w:color w:val="000000" w:themeColor="text1"/>
                <w:szCs w:val="21"/>
              </w:rPr>
            </w:pPr>
          </w:p>
        </w:tc>
        <w:tc>
          <w:tcPr>
            <w:tcW w:w="1700" w:type="dxa"/>
            <w:tcBorders>
              <w:top w:val="single" w:sz="4" w:space="0" w:color="auto"/>
              <w:left w:val="single" w:sz="4" w:space="0" w:color="auto"/>
              <w:bottom w:val="single" w:sz="4" w:space="0" w:color="auto"/>
              <w:right w:val="single" w:sz="4" w:space="0" w:color="auto"/>
            </w:tcBorders>
            <w:hideMark/>
          </w:tcPr>
          <w:p w:rsidR="00BB5F3D" w:rsidRPr="00A3398F" w:rsidRDefault="00BB5F3D" w:rsidP="003376D5">
            <w:pPr>
              <w:adjustRightInd w:val="0"/>
              <w:snapToGrid w:val="0"/>
              <w:spacing w:line="360" w:lineRule="exact"/>
              <w:jc w:val="right"/>
              <w:rPr>
                <w:rFonts w:eastAsiaTheme="minorEastAsia"/>
                <w:color w:val="000000" w:themeColor="text1"/>
                <w:szCs w:val="21"/>
              </w:rPr>
            </w:pPr>
            <w:r w:rsidRPr="00A3398F">
              <w:rPr>
                <w:rFonts w:eastAsiaTheme="minorEastAsia"/>
                <w:color w:val="000000" w:themeColor="text1"/>
                <w:szCs w:val="21"/>
              </w:rPr>
              <w:t>67,011.43</w:t>
            </w:r>
          </w:p>
        </w:tc>
        <w:tc>
          <w:tcPr>
            <w:tcW w:w="1841" w:type="dxa"/>
            <w:tcBorders>
              <w:top w:val="single" w:sz="4" w:space="0" w:color="auto"/>
              <w:left w:val="single" w:sz="4" w:space="0" w:color="auto"/>
              <w:bottom w:val="single" w:sz="4" w:space="0" w:color="auto"/>
              <w:right w:val="single" w:sz="4" w:space="0" w:color="auto"/>
            </w:tcBorders>
            <w:hideMark/>
          </w:tcPr>
          <w:p w:rsidR="00BB5F3D" w:rsidRPr="00A3398F" w:rsidRDefault="00BB5F3D" w:rsidP="003376D5">
            <w:pPr>
              <w:adjustRightInd w:val="0"/>
              <w:snapToGrid w:val="0"/>
              <w:spacing w:line="360" w:lineRule="exact"/>
              <w:jc w:val="right"/>
              <w:rPr>
                <w:rFonts w:eastAsiaTheme="minorEastAsia"/>
                <w:color w:val="000000" w:themeColor="text1"/>
                <w:szCs w:val="21"/>
              </w:rPr>
            </w:pPr>
            <w:r w:rsidRPr="00A3398F">
              <w:rPr>
                <w:rFonts w:eastAsiaTheme="minorEastAsia"/>
                <w:color w:val="000000" w:themeColor="text1"/>
                <w:szCs w:val="21"/>
              </w:rPr>
              <w:t>104,960.00</w:t>
            </w:r>
          </w:p>
        </w:tc>
        <w:tc>
          <w:tcPr>
            <w:tcW w:w="1396" w:type="dxa"/>
            <w:tcBorders>
              <w:top w:val="single" w:sz="4" w:space="0" w:color="auto"/>
              <w:left w:val="single" w:sz="4" w:space="0" w:color="auto"/>
              <w:bottom w:val="single" w:sz="4" w:space="0" w:color="auto"/>
              <w:right w:val="single" w:sz="4" w:space="0" w:color="auto"/>
            </w:tcBorders>
            <w:vAlign w:val="center"/>
          </w:tcPr>
          <w:p w:rsidR="00BB5F3D" w:rsidRPr="00A3398F" w:rsidRDefault="00BB5F3D" w:rsidP="003376D5">
            <w:pPr>
              <w:adjustRightInd w:val="0"/>
              <w:snapToGrid w:val="0"/>
              <w:spacing w:line="360" w:lineRule="exact"/>
              <w:jc w:val="right"/>
              <w:rPr>
                <w:rFonts w:eastAsiaTheme="minorEastAsia"/>
                <w:color w:val="000000" w:themeColor="text1"/>
                <w:szCs w:val="21"/>
              </w:rPr>
            </w:pPr>
          </w:p>
        </w:tc>
      </w:tr>
    </w:tbl>
    <w:p w:rsidR="00AF14A6" w:rsidRPr="00AF14A6" w:rsidRDefault="00AF14A6" w:rsidP="00AF14A6">
      <w:pPr>
        <w:spacing w:line="360" w:lineRule="auto"/>
        <w:ind w:firstLineChars="200" w:firstLine="420"/>
        <w:rPr>
          <w:rFonts w:eastAsiaTheme="minorEastAsia"/>
          <w:color w:val="000000" w:themeColor="text1"/>
          <w:szCs w:val="21"/>
        </w:rPr>
      </w:pPr>
      <w:r w:rsidRPr="00AF14A6">
        <w:rPr>
          <w:rFonts w:eastAsiaTheme="minorEastAsia" w:hint="eastAsia"/>
          <w:color w:val="000000" w:themeColor="text1"/>
          <w:szCs w:val="21"/>
        </w:rPr>
        <w:t>注：基金管理人运用固有资金投资本基金相关的费用符合基金招募说明书和相关公告的规定。</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w:t>
      </w:r>
      <w:r w:rsidR="00B111B9" w:rsidRPr="00A3398F">
        <w:rPr>
          <w:rFonts w:eastAsiaTheme="minorEastAsia"/>
          <w:color w:val="000000" w:themeColor="text1"/>
          <w:kern w:val="0"/>
          <w:sz w:val="24"/>
          <w:szCs w:val="24"/>
        </w:rPr>
        <w:t xml:space="preserve">8 </w:t>
      </w:r>
      <w:r w:rsidRPr="00A3398F">
        <w:rPr>
          <w:rFonts w:eastAsiaTheme="minorEastAsia"/>
          <w:color w:val="000000" w:themeColor="text1"/>
          <w:kern w:val="0"/>
          <w:sz w:val="24"/>
          <w:szCs w:val="24"/>
        </w:rPr>
        <w:t>影响投资者决策的其他重要信息</w:t>
      </w:r>
    </w:p>
    <w:p w:rsidR="00FA3195" w:rsidRPr="00A3398F" w:rsidRDefault="00FA3195" w:rsidP="00FA3195">
      <w:pPr>
        <w:autoSpaceDE w:val="0"/>
        <w:autoSpaceDN w:val="0"/>
        <w:adjustRightInd w:val="0"/>
        <w:spacing w:line="360" w:lineRule="auto"/>
        <w:jc w:val="left"/>
        <w:rPr>
          <w:b/>
          <w:bCs/>
          <w:color w:val="000000"/>
          <w:kern w:val="0"/>
          <w:sz w:val="24"/>
        </w:rPr>
      </w:pPr>
      <w:r w:rsidRPr="00A3398F">
        <w:rPr>
          <w:b/>
          <w:bCs/>
          <w:color w:val="000000"/>
          <w:kern w:val="0"/>
          <w:sz w:val="24"/>
        </w:rPr>
        <w:t xml:space="preserve">8.1 </w:t>
      </w:r>
      <w:r w:rsidRPr="00A3398F">
        <w:rPr>
          <w:b/>
          <w:bCs/>
          <w:color w:val="000000"/>
          <w:kern w:val="0"/>
          <w:sz w:val="24"/>
        </w:rPr>
        <w:t>报告期内单一投资者持有基金份额比例达到或超过</w:t>
      </w:r>
      <w:r w:rsidRPr="00A3398F">
        <w:rPr>
          <w:b/>
          <w:bCs/>
          <w:color w:val="000000"/>
          <w:kern w:val="0"/>
          <w:sz w:val="24"/>
        </w:rPr>
        <w:t>20%</w:t>
      </w:r>
      <w:r w:rsidRPr="00A3398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A3195" w:rsidRPr="00A3398F" w:rsidTr="00EF4716">
        <w:tc>
          <w:tcPr>
            <w:tcW w:w="993" w:type="dxa"/>
            <w:vMerge w:val="restart"/>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投资者类别</w:t>
            </w:r>
            <w:r w:rsidRPr="00A3398F">
              <w:rPr>
                <w:color w:val="000000"/>
                <w:kern w:val="0"/>
                <w:szCs w:val="21"/>
              </w:rPr>
              <w:t xml:space="preserve">  </w:t>
            </w:r>
          </w:p>
        </w:tc>
        <w:tc>
          <w:tcPr>
            <w:tcW w:w="5670" w:type="dxa"/>
            <w:gridSpan w:val="5"/>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报告期内持有基金份额变化情况</w:t>
            </w:r>
          </w:p>
        </w:tc>
        <w:tc>
          <w:tcPr>
            <w:tcW w:w="2549" w:type="dxa"/>
            <w:gridSpan w:val="2"/>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报告期末持有基金情况</w:t>
            </w:r>
          </w:p>
        </w:tc>
      </w:tr>
      <w:tr w:rsidR="00FA3195" w:rsidRPr="00A3398F" w:rsidTr="00EF4716">
        <w:tc>
          <w:tcPr>
            <w:tcW w:w="993" w:type="dxa"/>
            <w:vMerge/>
            <w:vAlign w:val="center"/>
          </w:tcPr>
          <w:p w:rsidR="00FA3195" w:rsidRPr="00A3398F" w:rsidRDefault="00FA3195" w:rsidP="00EF4716">
            <w:pPr>
              <w:autoSpaceDE w:val="0"/>
              <w:autoSpaceDN w:val="0"/>
              <w:adjustRightInd w:val="0"/>
              <w:jc w:val="center"/>
              <w:rPr>
                <w:b/>
                <w:bCs/>
                <w:color w:val="000000"/>
                <w:kern w:val="0"/>
                <w:szCs w:val="21"/>
              </w:rPr>
            </w:pPr>
          </w:p>
        </w:tc>
        <w:tc>
          <w:tcPr>
            <w:tcW w:w="992"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序号</w:t>
            </w:r>
          </w:p>
        </w:tc>
        <w:tc>
          <w:tcPr>
            <w:tcW w:w="1843"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持有基金份额比例达到或者超过</w:t>
            </w:r>
            <w:r w:rsidRPr="00A3398F">
              <w:rPr>
                <w:color w:val="000000"/>
                <w:kern w:val="0"/>
                <w:szCs w:val="21"/>
              </w:rPr>
              <w:t>20%</w:t>
            </w:r>
            <w:r w:rsidRPr="00A3398F">
              <w:rPr>
                <w:color w:val="000000"/>
                <w:kern w:val="0"/>
                <w:szCs w:val="21"/>
              </w:rPr>
              <w:t>的时间区间</w:t>
            </w:r>
          </w:p>
        </w:tc>
        <w:tc>
          <w:tcPr>
            <w:tcW w:w="851" w:type="dxa"/>
            <w:vAlign w:val="center"/>
          </w:tcPr>
          <w:p w:rsidR="00FA3195" w:rsidRPr="00A3398F" w:rsidRDefault="00FA3195" w:rsidP="00EF4716">
            <w:pPr>
              <w:widowControl/>
              <w:jc w:val="center"/>
              <w:rPr>
                <w:b/>
                <w:bCs/>
                <w:color w:val="000000"/>
                <w:kern w:val="0"/>
                <w:szCs w:val="21"/>
              </w:rPr>
            </w:pPr>
            <w:r w:rsidRPr="00A3398F">
              <w:rPr>
                <w:color w:val="000000"/>
                <w:kern w:val="0"/>
                <w:szCs w:val="21"/>
              </w:rPr>
              <w:t>期初份额</w:t>
            </w:r>
          </w:p>
        </w:tc>
        <w:tc>
          <w:tcPr>
            <w:tcW w:w="850" w:type="dxa"/>
            <w:vAlign w:val="center"/>
          </w:tcPr>
          <w:p w:rsidR="00FA3195" w:rsidRPr="00A3398F" w:rsidRDefault="00FA3195" w:rsidP="00EF4716">
            <w:pPr>
              <w:widowControl/>
              <w:jc w:val="center"/>
              <w:rPr>
                <w:b/>
                <w:bCs/>
                <w:color w:val="000000"/>
                <w:kern w:val="0"/>
                <w:szCs w:val="21"/>
              </w:rPr>
            </w:pPr>
            <w:r w:rsidRPr="00A3398F">
              <w:rPr>
                <w:color w:val="000000"/>
                <w:kern w:val="0"/>
                <w:szCs w:val="21"/>
              </w:rPr>
              <w:t>申购份额</w:t>
            </w:r>
          </w:p>
        </w:tc>
        <w:tc>
          <w:tcPr>
            <w:tcW w:w="1134" w:type="dxa"/>
            <w:vAlign w:val="center"/>
          </w:tcPr>
          <w:p w:rsidR="00FA3195" w:rsidRPr="00A3398F" w:rsidRDefault="00FA3195" w:rsidP="00EF4716">
            <w:pPr>
              <w:widowControl/>
              <w:jc w:val="center"/>
              <w:rPr>
                <w:b/>
                <w:bCs/>
                <w:color w:val="000000"/>
                <w:kern w:val="0"/>
                <w:szCs w:val="21"/>
              </w:rPr>
            </w:pPr>
            <w:r w:rsidRPr="00A3398F">
              <w:rPr>
                <w:color w:val="000000"/>
                <w:kern w:val="0"/>
                <w:szCs w:val="21"/>
              </w:rPr>
              <w:t>赎回份额</w:t>
            </w:r>
          </w:p>
        </w:tc>
        <w:tc>
          <w:tcPr>
            <w:tcW w:w="1419"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持有份额</w:t>
            </w:r>
          </w:p>
        </w:tc>
        <w:tc>
          <w:tcPr>
            <w:tcW w:w="1130"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份额占比</w:t>
            </w:r>
          </w:p>
        </w:tc>
      </w:tr>
      <w:tr w:rsidR="00A877E2">
        <w:tc>
          <w:tcPr>
            <w:tcW w:w="993" w:type="dxa"/>
            <w:vMerge w:val="restart"/>
            <w:vAlign w:val="center"/>
          </w:tcPr>
          <w:p w:rsidR="00A877E2" w:rsidRDefault="0022522D">
            <w:r>
              <w:rPr>
                <w:bCs/>
                <w:color w:val="000000"/>
                <w:kern w:val="0"/>
                <w:szCs w:val="21"/>
              </w:rPr>
              <w:t>机构</w:t>
            </w:r>
          </w:p>
        </w:tc>
        <w:tc>
          <w:tcPr>
            <w:tcW w:w="992" w:type="dxa"/>
            <w:vAlign w:val="center"/>
          </w:tcPr>
          <w:p w:rsidR="00A877E2" w:rsidRDefault="0022522D">
            <w:pPr>
              <w:jc w:val="center"/>
            </w:pPr>
            <w:r>
              <w:rPr>
                <w:color w:val="000000"/>
                <w:kern w:val="0"/>
                <w:szCs w:val="21"/>
              </w:rPr>
              <w:t>1</w:t>
            </w:r>
          </w:p>
        </w:tc>
        <w:tc>
          <w:tcPr>
            <w:tcW w:w="1843" w:type="dxa"/>
            <w:vAlign w:val="center"/>
          </w:tcPr>
          <w:p w:rsidR="00A877E2" w:rsidRDefault="0022522D">
            <w:pPr>
              <w:jc w:val="center"/>
            </w:pPr>
            <w:r>
              <w:rPr>
                <w:color w:val="000000"/>
                <w:kern w:val="0"/>
                <w:szCs w:val="21"/>
              </w:rPr>
              <w:t>20240417-20240630</w:t>
            </w:r>
          </w:p>
        </w:tc>
        <w:tc>
          <w:tcPr>
            <w:tcW w:w="851" w:type="dxa"/>
            <w:vAlign w:val="center"/>
          </w:tcPr>
          <w:p w:rsidR="00A877E2" w:rsidRDefault="0022522D">
            <w:pPr>
              <w:jc w:val="center"/>
            </w:pPr>
            <w:r>
              <w:rPr>
                <w:color w:val="000000"/>
                <w:kern w:val="0"/>
                <w:szCs w:val="21"/>
              </w:rPr>
              <w:t>324,588,508.81</w:t>
            </w:r>
          </w:p>
        </w:tc>
        <w:tc>
          <w:tcPr>
            <w:tcW w:w="850" w:type="dxa"/>
            <w:vAlign w:val="center"/>
          </w:tcPr>
          <w:p w:rsidR="00A877E2" w:rsidRDefault="0022522D">
            <w:pPr>
              <w:jc w:val="center"/>
            </w:pPr>
            <w:r>
              <w:rPr>
                <w:color w:val="000000"/>
                <w:kern w:val="0"/>
                <w:szCs w:val="21"/>
              </w:rPr>
              <w:t>0.00</w:t>
            </w:r>
          </w:p>
        </w:tc>
        <w:tc>
          <w:tcPr>
            <w:tcW w:w="1134" w:type="dxa"/>
            <w:vAlign w:val="center"/>
          </w:tcPr>
          <w:p w:rsidR="00A877E2" w:rsidRDefault="0022522D">
            <w:pPr>
              <w:jc w:val="center"/>
            </w:pPr>
            <w:r>
              <w:rPr>
                <w:color w:val="000000"/>
                <w:kern w:val="0"/>
                <w:szCs w:val="21"/>
              </w:rPr>
              <w:t>0.00</w:t>
            </w:r>
          </w:p>
        </w:tc>
        <w:tc>
          <w:tcPr>
            <w:tcW w:w="1419" w:type="dxa"/>
            <w:vAlign w:val="center"/>
          </w:tcPr>
          <w:p w:rsidR="00A877E2" w:rsidRDefault="0022522D">
            <w:pPr>
              <w:jc w:val="center"/>
            </w:pPr>
            <w:r>
              <w:rPr>
                <w:color w:val="000000"/>
                <w:kern w:val="0"/>
                <w:szCs w:val="21"/>
              </w:rPr>
              <w:t>324,588,508.81</w:t>
            </w:r>
          </w:p>
        </w:tc>
        <w:tc>
          <w:tcPr>
            <w:tcW w:w="1130" w:type="dxa"/>
            <w:vAlign w:val="center"/>
          </w:tcPr>
          <w:p w:rsidR="00A877E2" w:rsidRDefault="0022522D">
            <w:pPr>
              <w:jc w:val="center"/>
            </w:pPr>
            <w:r>
              <w:rPr>
                <w:color w:val="000000"/>
                <w:kern w:val="0"/>
                <w:szCs w:val="21"/>
              </w:rPr>
              <w:t>22.95%</w:t>
            </w:r>
          </w:p>
        </w:tc>
      </w:tr>
      <w:tr w:rsidR="00FA3195" w:rsidRPr="00A3398F" w:rsidTr="00EF4716">
        <w:tc>
          <w:tcPr>
            <w:tcW w:w="9212" w:type="dxa"/>
            <w:gridSpan w:val="8"/>
            <w:vAlign w:val="center"/>
          </w:tcPr>
          <w:p w:rsidR="00FA3195" w:rsidRPr="00A3398F" w:rsidRDefault="00FA3195" w:rsidP="00EF4716">
            <w:pPr>
              <w:autoSpaceDE w:val="0"/>
              <w:autoSpaceDN w:val="0"/>
              <w:adjustRightInd w:val="0"/>
              <w:jc w:val="center"/>
              <w:rPr>
                <w:kern w:val="0"/>
                <w:szCs w:val="21"/>
              </w:rPr>
            </w:pPr>
            <w:r w:rsidRPr="00A3398F">
              <w:rPr>
                <w:color w:val="000000"/>
                <w:kern w:val="0"/>
                <w:szCs w:val="21"/>
              </w:rPr>
              <w:t>产品特有风险</w:t>
            </w:r>
          </w:p>
        </w:tc>
      </w:tr>
      <w:tr w:rsidR="00FA3195" w:rsidRPr="00A3398F" w:rsidTr="00EF4716">
        <w:tc>
          <w:tcPr>
            <w:tcW w:w="9212" w:type="dxa"/>
            <w:gridSpan w:val="8"/>
            <w:vAlign w:val="center"/>
          </w:tcPr>
          <w:p w:rsidR="00FA3195" w:rsidRPr="00A3398F" w:rsidRDefault="00FA3195" w:rsidP="00EF4716">
            <w:pPr>
              <w:autoSpaceDE w:val="0"/>
              <w:autoSpaceDN w:val="0"/>
              <w:adjustRightInd w:val="0"/>
              <w:jc w:val="left"/>
              <w:rPr>
                <w:kern w:val="0"/>
                <w:szCs w:val="21"/>
              </w:rPr>
            </w:pPr>
            <w:r w:rsidRPr="00A3398F">
              <w:rPr>
                <w:kern w:val="0"/>
                <w:szCs w:val="21"/>
              </w:rPr>
              <w:t>本基金的集中度风险主要体现在有单一投资者持有基金份额比例达到或者超过</w:t>
            </w:r>
            <w:r w:rsidRPr="00A3398F">
              <w:rPr>
                <w:kern w:val="0"/>
                <w:szCs w:val="21"/>
              </w:rPr>
              <w:t>20%</w:t>
            </w:r>
            <w:r w:rsidRPr="00A3398F">
              <w:rPr>
                <w:kern w:val="0"/>
                <w:szCs w:val="21"/>
              </w:rPr>
              <w:t>，如果投资者发生大额赎回，可能出现基金可变现资产无法满足投资者赎回需要以及因为资产变现成本过高导致投资者的利益受到损害的风险。</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9</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9</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基金合同》；</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、《摩根日本精选股票型证券投资基金</w:t>
      </w:r>
      <w:r>
        <w:rPr>
          <w:rFonts w:eastAsiaTheme="minorEastAsia"/>
          <w:color w:val="000000" w:themeColor="text1"/>
          <w:szCs w:val="21"/>
        </w:rPr>
        <w:t>(QDII)</w:t>
      </w:r>
      <w:r>
        <w:rPr>
          <w:rFonts w:eastAsiaTheme="minorEastAsia"/>
          <w:color w:val="000000" w:themeColor="text1"/>
          <w:szCs w:val="21"/>
        </w:rPr>
        <w:t>托管协议》；</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A877E2" w:rsidRDefault="0022522D">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7</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9</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9</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二〇二四年七月十九日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B0BE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B0BE7">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B0BE7">
      <w:rPr>
        <w:rStyle w:val="a8"/>
        <w:noProof/>
      </w:rPr>
      <w:t>2</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摩根日本精选股票型证券投资基金</w:t>
    </w:r>
    <w:r w:rsidRPr="006669C9">
      <w:t>(QDII)2024</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522D"/>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0BE7"/>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877E2"/>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14A6"/>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112</TotalTime>
  <Pages>17</Pages>
  <Words>1392</Words>
  <Characters>7939</Characters>
  <Application>Microsoft Office Word</Application>
  <DocSecurity>0</DocSecurity>
  <Lines>66</Lines>
  <Paragraphs>18</Paragraphs>
  <ScaleCrop>false</ScaleCrop>
  <Company>TRT. Ltd. Co.</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33</cp:revision>
  <cp:lastPrinted>2007-07-19T00:46:00Z</cp:lastPrinted>
  <dcterms:created xsi:type="dcterms:W3CDTF">2014-12-16T02:40:00Z</dcterms:created>
  <dcterms:modified xsi:type="dcterms:W3CDTF">2024-07-18T06:08:00Z</dcterms:modified>
</cp:coreProperties>
</file>