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摩根瑞益纯债债券型证券投资基金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基金托管人：兴业银行股份有限公司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摩根瑞益纯债债券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007329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377,306,944.13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在严格控制风险的前提下，通过积极主动地投资管理，力争实现长期稳定的投资回报。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87998" w:rsidRDefault="002058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其他投资策略：包括信用策略、回购策略、资产支持证券投资策略、证券公司短期公司债券投资策略、国债期货投资策略。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本基金为债券型基金，预期风险和预期收益高于货币市场基金，低于混合型基金和股票型基金。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兴业银行股份有限公司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摩根瑞益纯债债券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摩根瑞益纯债债券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007329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344,124,595.21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33,182,348.92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摩根瑞益纯债债券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摩根瑞益纯债债券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2,516,494.44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204,308.12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3,435,724.08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275,433.20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377,962,152.95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36,210,031.90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1.0912</w:t>
            </w:r>
          </w:p>
        </w:tc>
      </w:tr>
    </w:tbl>
    <w:p w:rsidR="00B87998" w:rsidRDefault="002058A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摩根瑞益纯债债券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87998">
        <w:tc>
          <w:tcPr>
            <w:tcW w:w="1290" w:type="dxa"/>
            <w:vAlign w:val="center"/>
          </w:tcPr>
          <w:p w:rsidR="00B87998" w:rsidRDefault="002058A9">
            <w:pPr>
              <w:jc w:val="left"/>
            </w:pPr>
            <w:r>
              <w:rPr>
                <w:rFonts w:eastAsiaTheme="minorEastAsia"/>
                <w:color w:val="000000" w:themeColor="text1"/>
                <w:szCs w:val="21"/>
              </w:rPr>
              <w:t>过去三个月</w:t>
            </w:r>
          </w:p>
        </w:tc>
        <w:tc>
          <w:tcPr>
            <w:tcW w:w="1291" w:type="dxa"/>
            <w:vAlign w:val="center"/>
          </w:tcPr>
          <w:p w:rsidR="00B87998" w:rsidRDefault="002058A9">
            <w:pPr>
              <w:jc w:val="right"/>
            </w:pPr>
            <w:r>
              <w:rPr>
                <w:rFonts w:eastAsiaTheme="minorEastAsia"/>
                <w:color w:val="000000" w:themeColor="text1"/>
                <w:szCs w:val="21"/>
              </w:rPr>
              <w:t>0.86%</w:t>
            </w:r>
          </w:p>
        </w:tc>
        <w:tc>
          <w:tcPr>
            <w:tcW w:w="1291" w:type="dxa"/>
            <w:vAlign w:val="center"/>
          </w:tcPr>
          <w:p w:rsidR="00B87998" w:rsidRDefault="002058A9">
            <w:pPr>
              <w:jc w:val="right"/>
            </w:pPr>
            <w:r>
              <w:rPr>
                <w:rFonts w:eastAsiaTheme="minorEastAsia"/>
                <w:color w:val="000000" w:themeColor="text1"/>
                <w:szCs w:val="21"/>
              </w:rPr>
              <w:t>0.02%</w:t>
            </w:r>
          </w:p>
        </w:tc>
        <w:tc>
          <w:tcPr>
            <w:tcW w:w="1291" w:type="dxa"/>
            <w:vAlign w:val="center"/>
          </w:tcPr>
          <w:p w:rsidR="00B87998" w:rsidRDefault="002058A9">
            <w:pPr>
              <w:jc w:val="right"/>
            </w:pPr>
            <w:r>
              <w:rPr>
                <w:rFonts w:eastAsiaTheme="minorEastAsia"/>
                <w:color w:val="000000" w:themeColor="text1"/>
                <w:szCs w:val="21"/>
              </w:rPr>
              <w:t>2.09%</w:t>
            </w:r>
          </w:p>
        </w:tc>
        <w:tc>
          <w:tcPr>
            <w:tcW w:w="1291" w:type="dxa"/>
            <w:vAlign w:val="center"/>
          </w:tcPr>
          <w:p w:rsidR="00B87998" w:rsidRDefault="002058A9">
            <w:pPr>
              <w:jc w:val="right"/>
            </w:pPr>
            <w:r>
              <w:rPr>
                <w:rFonts w:eastAsiaTheme="minorEastAsia"/>
                <w:color w:val="000000" w:themeColor="text1"/>
                <w:szCs w:val="21"/>
              </w:rPr>
              <w:t>0.07%</w:t>
            </w:r>
          </w:p>
        </w:tc>
        <w:tc>
          <w:tcPr>
            <w:tcW w:w="1291" w:type="dxa"/>
            <w:vAlign w:val="center"/>
          </w:tcPr>
          <w:p w:rsidR="00B87998" w:rsidRDefault="002058A9">
            <w:pPr>
              <w:jc w:val="right"/>
            </w:pPr>
            <w:r>
              <w:rPr>
                <w:rFonts w:eastAsiaTheme="minorEastAsia"/>
                <w:color w:val="000000" w:themeColor="text1"/>
                <w:szCs w:val="21"/>
              </w:rPr>
              <w:t>-1.23%</w:t>
            </w:r>
          </w:p>
        </w:tc>
        <w:tc>
          <w:tcPr>
            <w:tcW w:w="1291" w:type="dxa"/>
            <w:vAlign w:val="center"/>
          </w:tcPr>
          <w:p w:rsidR="00B87998" w:rsidRDefault="002058A9">
            <w:pPr>
              <w:jc w:val="right"/>
            </w:pPr>
            <w:r>
              <w:rPr>
                <w:rFonts w:eastAsiaTheme="minorEastAsia"/>
                <w:color w:val="000000" w:themeColor="text1"/>
                <w:szCs w:val="21"/>
              </w:rPr>
              <w:t>-0.05%</w:t>
            </w:r>
          </w:p>
        </w:tc>
      </w:tr>
      <w:tr w:rsidR="00B87998">
        <w:tc>
          <w:tcPr>
            <w:tcW w:w="1290" w:type="dxa"/>
            <w:vAlign w:val="center"/>
          </w:tcPr>
          <w:p w:rsidR="00B87998" w:rsidRDefault="002058A9">
            <w:pPr>
              <w:jc w:val="left"/>
            </w:pPr>
            <w:r>
              <w:rPr>
                <w:rFonts w:eastAsiaTheme="minorEastAsia"/>
                <w:color w:val="000000" w:themeColor="text1"/>
                <w:szCs w:val="21"/>
              </w:rPr>
              <w:t>过去六个月</w:t>
            </w:r>
          </w:p>
        </w:tc>
        <w:tc>
          <w:tcPr>
            <w:tcW w:w="1291" w:type="dxa"/>
            <w:vAlign w:val="center"/>
          </w:tcPr>
          <w:p w:rsidR="00B87998" w:rsidRDefault="002058A9">
            <w:pPr>
              <w:jc w:val="right"/>
            </w:pPr>
            <w:r>
              <w:rPr>
                <w:rFonts w:eastAsiaTheme="minorEastAsia"/>
                <w:color w:val="000000" w:themeColor="text1"/>
                <w:szCs w:val="21"/>
              </w:rPr>
              <w:t>1.63%</w:t>
            </w:r>
          </w:p>
        </w:tc>
        <w:tc>
          <w:tcPr>
            <w:tcW w:w="1291" w:type="dxa"/>
            <w:vAlign w:val="center"/>
          </w:tcPr>
          <w:p w:rsidR="00B87998" w:rsidRDefault="002058A9">
            <w:pPr>
              <w:jc w:val="right"/>
            </w:pPr>
            <w:r>
              <w:rPr>
                <w:rFonts w:eastAsiaTheme="minorEastAsia"/>
                <w:color w:val="000000" w:themeColor="text1"/>
                <w:szCs w:val="21"/>
              </w:rPr>
              <w:t>0.02%</w:t>
            </w:r>
          </w:p>
        </w:tc>
        <w:tc>
          <w:tcPr>
            <w:tcW w:w="1291" w:type="dxa"/>
            <w:vAlign w:val="center"/>
          </w:tcPr>
          <w:p w:rsidR="00B87998" w:rsidRDefault="002058A9">
            <w:pPr>
              <w:jc w:val="right"/>
            </w:pPr>
            <w:r>
              <w:rPr>
                <w:rFonts w:eastAsiaTheme="minorEastAsia"/>
                <w:color w:val="000000" w:themeColor="text1"/>
                <w:szCs w:val="21"/>
              </w:rPr>
              <w:t>3.45%</w:t>
            </w:r>
          </w:p>
        </w:tc>
        <w:tc>
          <w:tcPr>
            <w:tcW w:w="1291" w:type="dxa"/>
            <w:vAlign w:val="center"/>
          </w:tcPr>
          <w:p w:rsidR="00B87998" w:rsidRDefault="002058A9">
            <w:pPr>
              <w:jc w:val="right"/>
            </w:pPr>
            <w:r>
              <w:rPr>
                <w:rFonts w:eastAsiaTheme="minorEastAsia"/>
                <w:color w:val="000000" w:themeColor="text1"/>
                <w:szCs w:val="21"/>
              </w:rPr>
              <w:t>0.06%</w:t>
            </w:r>
          </w:p>
        </w:tc>
        <w:tc>
          <w:tcPr>
            <w:tcW w:w="1291" w:type="dxa"/>
            <w:vAlign w:val="center"/>
          </w:tcPr>
          <w:p w:rsidR="00B87998" w:rsidRDefault="002058A9">
            <w:pPr>
              <w:jc w:val="right"/>
            </w:pPr>
            <w:r>
              <w:rPr>
                <w:rFonts w:eastAsiaTheme="minorEastAsia"/>
                <w:color w:val="000000" w:themeColor="text1"/>
                <w:szCs w:val="21"/>
              </w:rPr>
              <w:t>-1.82%</w:t>
            </w:r>
          </w:p>
        </w:tc>
        <w:tc>
          <w:tcPr>
            <w:tcW w:w="1291" w:type="dxa"/>
            <w:vAlign w:val="center"/>
          </w:tcPr>
          <w:p w:rsidR="00B87998" w:rsidRDefault="002058A9">
            <w:pPr>
              <w:jc w:val="right"/>
            </w:pPr>
            <w:r>
              <w:rPr>
                <w:rFonts w:eastAsiaTheme="minorEastAsia"/>
                <w:color w:val="000000" w:themeColor="text1"/>
                <w:szCs w:val="21"/>
              </w:rPr>
              <w:t>-0.04%</w:t>
            </w:r>
          </w:p>
        </w:tc>
      </w:tr>
      <w:tr w:rsidR="00B87998">
        <w:tc>
          <w:tcPr>
            <w:tcW w:w="1290" w:type="dxa"/>
            <w:vAlign w:val="center"/>
          </w:tcPr>
          <w:p w:rsidR="00B87998" w:rsidRDefault="002058A9">
            <w:pPr>
              <w:jc w:val="left"/>
            </w:pPr>
            <w:r>
              <w:rPr>
                <w:rFonts w:eastAsiaTheme="minorEastAsia"/>
                <w:color w:val="000000" w:themeColor="text1"/>
                <w:szCs w:val="21"/>
              </w:rPr>
              <w:t>过去一年</w:t>
            </w:r>
          </w:p>
        </w:tc>
        <w:tc>
          <w:tcPr>
            <w:tcW w:w="1291" w:type="dxa"/>
            <w:vAlign w:val="center"/>
          </w:tcPr>
          <w:p w:rsidR="00B87998" w:rsidRDefault="002058A9">
            <w:pPr>
              <w:jc w:val="right"/>
            </w:pPr>
            <w:r>
              <w:rPr>
                <w:rFonts w:eastAsiaTheme="minorEastAsia"/>
                <w:color w:val="000000" w:themeColor="text1"/>
                <w:szCs w:val="21"/>
              </w:rPr>
              <w:t>2.87%</w:t>
            </w:r>
          </w:p>
        </w:tc>
        <w:tc>
          <w:tcPr>
            <w:tcW w:w="1291" w:type="dxa"/>
            <w:vAlign w:val="center"/>
          </w:tcPr>
          <w:p w:rsidR="00B87998" w:rsidRDefault="002058A9">
            <w:pPr>
              <w:jc w:val="right"/>
            </w:pPr>
            <w:r>
              <w:rPr>
                <w:rFonts w:eastAsiaTheme="minorEastAsia"/>
                <w:color w:val="000000" w:themeColor="text1"/>
                <w:szCs w:val="21"/>
              </w:rPr>
              <w:t>0.02%</w:t>
            </w:r>
          </w:p>
        </w:tc>
        <w:tc>
          <w:tcPr>
            <w:tcW w:w="1291" w:type="dxa"/>
            <w:vAlign w:val="center"/>
          </w:tcPr>
          <w:p w:rsidR="00B87998" w:rsidRDefault="002058A9">
            <w:pPr>
              <w:jc w:val="right"/>
            </w:pPr>
            <w:r>
              <w:rPr>
                <w:rFonts w:eastAsiaTheme="minorEastAsia"/>
                <w:color w:val="000000" w:themeColor="text1"/>
                <w:szCs w:val="21"/>
              </w:rPr>
              <w:t>6.02%</w:t>
            </w:r>
          </w:p>
        </w:tc>
        <w:tc>
          <w:tcPr>
            <w:tcW w:w="1291" w:type="dxa"/>
            <w:vAlign w:val="center"/>
          </w:tcPr>
          <w:p w:rsidR="00B87998" w:rsidRDefault="002058A9">
            <w:pPr>
              <w:jc w:val="right"/>
            </w:pPr>
            <w:r>
              <w:rPr>
                <w:rFonts w:eastAsiaTheme="minorEastAsia"/>
                <w:color w:val="000000" w:themeColor="text1"/>
                <w:szCs w:val="21"/>
              </w:rPr>
              <w:t>0.06%</w:t>
            </w:r>
          </w:p>
        </w:tc>
        <w:tc>
          <w:tcPr>
            <w:tcW w:w="1291" w:type="dxa"/>
            <w:vAlign w:val="center"/>
          </w:tcPr>
          <w:p w:rsidR="00B87998" w:rsidRDefault="002058A9">
            <w:pPr>
              <w:jc w:val="right"/>
            </w:pPr>
            <w:r>
              <w:rPr>
                <w:rFonts w:eastAsiaTheme="minorEastAsia"/>
                <w:color w:val="000000" w:themeColor="text1"/>
                <w:szCs w:val="21"/>
              </w:rPr>
              <w:t>-3.15%</w:t>
            </w:r>
          </w:p>
        </w:tc>
        <w:tc>
          <w:tcPr>
            <w:tcW w:w="1291" w:type="dxa"/>
            <w:vAlign w:val="center"/>
          </w:tcPr>
          <w:p w:rsidR="00B87998" w:rsidRDefault="002058A9">
            <w:pPr>
              <w:jc w:val="right"/>
            </w:pPr>
            <w:r>
              <w:rPr>
                <w:rFonts w:eastAsiaTheme="minorEastAsia"/>
                <w:color w:val="000000" w:themeColor="text1"/>
                <w:szCs w:val="21"/>
              </w:rPr>
              <w:t>-0.04%</w:t>
            </w:r>
          </w:p>
        </w:tc>
      </w:tr>
      <w:tr w:rsidR="00B87998">
        <w:tc>
          <w:tcPr>
            <w:tcW w:w="1290" w:type="dxa"/>
            <w:vAlign w:val="center"/>
          </w:tcPr>
          <w:p w:rsidR="00B87998" w:rsidRDefault="002058A9">
            <w:pPr>
              <w:jc w:val="left"/>
            </w:pPr>
            <w:r>
              <w:rPr>
                <w:rFonts w:eastAsiaTheme="minorEastAsia"/>
                <w:color w:val="000000" w:themeColor="text1"/>
                <w:szCs w:val="21"/>
              </w:rPr>
              <w:t>过去三年</w:t>
            </w:r>
          </w:p>
        </w:tc>
        <w:tc>
          <w:tcPr>
            <w:tcW w:w="1291" w:type="dxa"/>
            <w:vAlign w:val="center"/>
          </w:tcPr>
          <w:p w:rsidR="00B87998" w:rsidRDefault="002058A9">
            <w:pPr>
              <w:jc w:val="right"/>
            </w:pPr>
            <w:r>
              <w:rPr>
                <w:rFonts w:eastAsiaTheme="minorEastAsia"/>
                <w:color w:val="000000" w:themeColor="text1"/>
                <w:szCs w:val="21"/>
              </w:rPr>
              <w:t>9.60%</w:t>
            </w:r>
          </w:p>
        </w:tc>
        <w:tc>
          <w:tcPr>
            <w:tcW w:w="1291" w:type="dxa"/>
            <w:vAlign w:val="center"/>
          </w:tcPr>
          <w:p w:rsidR="00B87998" w:rsidRDefault="002058A9">
            <w:pPr>
              <w:jc w:val="right"/>
            </w:pPr>
            <w:r>
              <w:rPr>
                <w:rFonts w:eastAsiaTheme="minorEastAsia"/>
                <w:color w:val="000000" w:themeColor="text1"/>
                <w:szCs w:val="21"/>
              </w:rPr>
              <w:t>0.03%</w:t>
            </w:r>
          </w:p>
        </w:tc>
        <w:tc>
          <w:tcPr>
            <w:tcW w:w="1291" w:type="dxa"/>
            <w:vAlign w:val="center"/>
          </w:tcPr>
          <w:p w:rsidR="00B87998" w:rsidRDefault="002058A9">
            <w:pPr>
              <w:jc w:val="right"/>
            </w:pPr>
            <w:r>
              <w:rPr>
                <w:rFonts w:eastAsiaTheme="minorEastAsia"/>
                <w:color w:val="000000" w:themeColor="text1"/>
                <w:szCs w:val="21"/>
              </w:rPr>
              <w:t>15.24%</w:t>
            </w:r>
          </w:p>
        </w:tc>
        <w:tc>
          <w:tcPr>
            <w:tcW w:w="1291" w:type="dxa"/>
            <w:vAlign w:val="center"/>
          </w:tcPr>
          <w:p w:rsidR="00B87998" w:rsidRDefault="002058A9">
            <w:pPr>
              <w:jc w:val="right"/>
            </w:pPr>
            <w:r>
              <w:rPr>
                <w:rFonts w:eastAsiaTheme="minorEastAsia"/>
                <w:color w:val="000000" w:themeColor="text1"/>
                <w:szCs w:val="21"/>
              </w:rPr>
              <w:t>0.05%</w:t>
            </w:r>
          </w:p>
        </w:tc>
        <w:tc>
          <w:tcPr>
            <w:tcW w:w="1291" w:type="dxa"/>
            <w:vAlign w:val="center"/>
          </w:tcPr>
          <w:p w:rsidR="00B87998" w:rsidRDefault="002058A9">
            <w:pPr>
              <w:jc w:val="right"/>
            </w:pPr>
            <w:r>
              <w:rPr>
                <w:rFonts w:eastAsiaTheme="minorEastAsia"/>
                <w:color w:val="000000" w:themeColor="text1"/>
                <w:szCs w:val="21"/>
              </w:rPr>
              <w:t>-5.64%</w:t>
            </w:r>
          </w:p>
        </w:tc>
        <w:tc>
          <w:tcPr>
            <w:tcW w:w="1291" w:type="dxa"/>
            <w:vAlign w:val="center"/>
          </w:tcPr>
          <w:p w:rsidR="00B87998" w:rsidRDefault="002058A9">
            <w:pPr>
              <w:jc w:val="right"/>
            </w:pPr>
            <w:r>
              <w:rPr>
                <w:rFonts w:eastAsiaTheme="minorEastAsia"/>
                <w:color w:val="000000" w:themeColor="text1"/>
                <w:szCs w:val="21"/>
              </w:rPr>
              <w:t>-0.02%</w:t>
            </w:r>
          </w:p>
        </w:tc>
      </w:tr>
      <w:tr w:rsidR="00B87998">
        <w:tc>
          <w:tcPr>
            <w:tcW w:w="1290" w:type="dxa"/>
            <w:vAlign w:val="center"/>
          </w:tcPr>
          <w:p w:rsidR="00B87998" w:rsidRDefault="002058A9">
            <w:pPr>
              <w:jc w:val="left"/>
            </w:pPr>
            <w:r>
              <w:rPr>
                <w:rFonts w:eastAsiaTheme="minorEastAsia"/>
                <w:color w:val="000000" w:themeColor="text1"/>
                <w:szCs w:val="21"/>
              </w:rPr>
              <w:t>过去五年</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r>
      <w:tr w:rsidR="00B87998">
        <w:tc>
          <w:tcPr>
            <w:tcW w:w="1290" w:type="dxa"/>
            <w:vAlign w:val="center"/>
          </w:tcPr>
          <w:p w:rsidR="00B87998" w:rsidRDefault="002058A9">
            <w:pPr>
              <w:jc w:val="left"/>
            </w:pPr>
            <w:r>
              <w:rPr>
                <w:rFonts w:eastAsiaTheme="minorEastAsia"/>
                <w:color w:val="000000" w:themeColor="text1"/>
                <w:szCs w:val="21"/>
              </w:rPr>
              <w:t>自基金合同生效起至今</w:t>
            </w:r>
          </w:p>
        </w:tc>
        <w:tc>
          <w:tcPr>
            <w:tcW w:w="1291" w:type="dxa"/>
            <w:vAlign w:val="center"/>
          </w:tcPr>
          <w:p w:rsidR="00B87998" w:rsidRDefault="002058A9">
            <w:pPr>
              <w:jc w:val="right"/>
            </w:pPr>
            <w:r>
              <w:rPr>
                <w:rFonts w:eastAsiaTheme="minorEastAsia"/>
                <w:color w:val="000000" w:themeColor="text1"/>
                <w:szCs w:val="21"/>
              </w:rPr>
              <w:t>12.90%</w:t>
            </w:r>
          </w:p>
        </w:tc>
        <w:tc>
          <w:tcPr>
            <w:tcW w:w="1291" w:type="dxa"/>
            <w:vAlign w:val="center"/>
          </w:tcPr>
          <w:p w:rsidR="00B87998" w:rsidRDefault="002058A9">
            <w:pPr>
              <w:jc w:val="right"/>
            </w:pPr>
            <w:r>
              <w:rPr>
                <w:rFonts w:eastAsiaTheme="minorEastAsia"/>
                <w:color w:val="000000" w:themeColor="text1"/>
                <w:szCs w:val="21"/>
              </w:rPr>
              <w:t>0.04%</w:t>
            </w:r>
          </w:p>
        </w:tc>
        <w:tc>
          <w:tcPr>
            <w:tcW w:w="1291" w:type="dxa"/>
            <w:vAlign w:val="center"/>
          </w:tcPr>
          <w:p w:rsidR="00B87998" w:rsidRDefault="002058A9">
            <w:pPr>
              <w:jc w:val="right"/>
            </w:pPr>
            <w:r>
              <w:rPr>
                <w:rFonts w:eastAsiaTheme="minorEastAsia"/>
                <w:color w:val="000000" w:themeColor="text1"/>
                <w:szCs w:val="21"/>
              </w:rPr>
              <w:t>20.60%</w:t>
            </w:r>
          </w:p>
        </w:tc>
        <w:tc>
          <w:tcPr>
            <w:tcW w:w="1291" w:type="dxa"/>
            <w:vAlign w:val="center"/>
          </w:tcPr>
          <w:p w:rsidR="00B87998" w:rsidRDefault="002058A9">
            <w:pPr>
              <w:jc w:val="right"/>
            </w:pPr>
            <w:r>
              <w:rPr>
                <w:rFonts w:eastAsiaTheme="minorEastAsia"/>
                <w:color w:val="000000" w:themeColor="text1"/>
                <w:szCs w:val="21"/>
              </w:rPr>
              <w:t>0.06%</w:t>
            </w:r>
          </w:p>
        </w:tc>
        <w:tc>
          <w:tcPr>
            <w:tcW w:w="1291" w:type="dxa"/>
            <w:vAlign w:val="center"/>
          </w:tcPr>
          <w:p w:rsidR="00B87998" w:rsidRDefault="002058A9">
            <w:pPr>
              <w:jc w:val="right"/>
            </w:pPr>
            <w:r>
              <w:rPr>
                <w:rFonts w:eastAsiaTheme="minorEastAsia"/>
                <w:color w:val="000000" w:themeColor="text1"/>
                <w:szCs w:val="21"/>
              </w:rPr>
              <w:t>-7.70%</w:t>
            </w:r>
          </w:p>
        </w:tc>
        <w:tc>
          <w:tcPr>
            <w:tcW w:w="1291" w:type="dxa"/>
            <w:vAlign w:val="center"/>
          </w:tcPr>
          <w:p w:rsidR="00B87998" w:rsidRDefault="002058A9">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摩根瑞益纯债债券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87998">
        <w:tc>
          <w:tcPr>
            <w:tcW w:w="1290" w:type="dxa"/>
            <w:vAlign w:val="center"/>
          </w:tcPr>
          <w:p w:rsidR="00B87998" w:rsidRDefault="002058A9">
            <w:pPr>
              <w:jc w:val="left"/>
            </w:pPr>
            <w:r>
              <w:rPr>
                <w:rFonts w:eastAsiaTheme="minorEastAsia"/>
                <w:color w:val="000000" w:themeColor="text1"/>
                <w:szCs w:val="21"/>
              </w:rPr>
              <w:t>过去三个月</w:t>
            </w:r>
          </w:p>
        </w:tc>
        <w:tc>
          <w:tcPr>
            <w:tcW w:w="1291" w:type="dxa"/>
            <w:vAlign w:val="center"/>
          </w:tcPr>
          <w:p w:rsidR="00B87998" w:rsidRDefault="002058A9">
            <w:pPr>
              <w:jc w:val="right"/>
            </w:pPr>
            <w:r>
              <w:rPr>
                <w:rFonts w:eastAsiaTheme="minorEastAsia"/>
                <w:color w:val="000000" w:themeColor="text1"/>
                <w:szCs w:val="21"/>
              </w:rPr>
              <w:t>0.85%</w:t>
            </w:r>
          </w:p>
        </w:tc>
        <w:tc>
          <w:tcPr>
            <w:tcW w:w="1291" w:type="dxa"/>
            <w:vAlign w:val="center"/>
          </w:tcPr>
          <w:p w:rsidR="00B87998" w:rsidRDefault="002058A9">
            <w:pPr>
              <w:jc w:val="right"/>
            </w:pPr>
            <w:r>
              <w:rPr>
                <w:rFonts w:eastAsiaTheme="minorEastAsia"/>
                <w:color w:val="000000" w:themeColor="text1"/>
                <w:szCs w:val="21"/>
              </w:rPr>
              <w:t>0.02%</w:t>
            </w:r>
          </w:p>
        </w:tc>
        <w:tc>
          <w:tcPr>
            <w:tcW w:w="1291" w:type="dxa"/>
            <w:vAlign w:val="center"/>
          </w:tcPr>
          <w:p w:rsidR="00B87998" w:rsidRDefault="002058A9">
            <w:pPr>
              <w:jc w:val="right"/>
            </w:pPr>
            <w:r>
              <w:rPr>
                <w:rFonts w:eastAsiaTheme="minorEastAsia"/>
                <w:color w:val="000000" w:themeColor="text1"/>
                <w:szCs w:val="21"/>
              </w:rPr>
              <w:t>2.09%</w:t>
            </w:r>
          </w:p>
        </w:tc>
        <w:tc>
          <w:tcPr>
            <w:tcW w:w="1291" w:type="dxa"/>
            <w:vAlign w:val="center"/>
          </w:tcPr>
          <w:p w:rsidR="00B87998" w:rsidRDefault="002058A9">
            <w:pPr>
              <w:jc w:val="right"/>
            </w:pPr>
            <w:r>
              <w:rPr>
                <w:rFonts w:eastAsiaTheme="minorEastAsia"/>
                <w:color w:val="000000" w:themeColor="text1"/>
                <w:szCs w:val="21"/>
              </w:rPr>
              <w:t>0.07%</w:t>
            </w:r>
          </w:p>
        </w:tc>
        <w:tc>
          <w:tcPr>
            <w:tcW w:w="1291" w:type="dxa"/>
            <w:vAlign w:val="center"/>
          </w:tcPr>
          <w:p w:rsidR="00B87998" w:rsidRDefault="002058A9">
            <w:pPr>
              <w:jc w:val="right"/>
            </w:pPr>
            <w:r>
              <w:rPr>
                <w:rFonts w:eastAsiaTheme="minorEastAsia"/>
                <w:color w:val="000000" w:themeColor="text1"/>
                <w:szCs w:val="21"/>
              </w:rPr>
              <w:t>-1.24%</w:t>
            </w:r>
          </w:p>
        </w:tc>
        <w:tc>
          <w:tcPr>
            <w:tcW w:w="1291" w:type="dxa"/>
            <w:vAlign w:val="center"/>
          </w:tcPr>
          <w:p w:rsidR="00B87998" w:rsidRDefault="002058A9">
            <w:pPr>
              <w:jc w:val="right"/>
            </w:pPr>
            <w:r>
              <w:rPr>
                <w:rFonts w:eastAsiaTheme="minorEastAsia"/>
                <w:color w:val="000000" w:themeColor="text1"/>
                <w:szCs w:val="21"/>
              </w:rPr>
              <w:t>-0.05%</w:t>
            </w:r>
          </w:p>
        </w:tc>
      </w:tr>
      <w:tr w:rsidR="00B87998">
        <w:tc>
          <w:tcPr>
            <w:tcW w:w="1290" w:type="dxa"/>
            <w:vAlign w:val="center"/>
          </w:tcPr>
          <w:p w:rsidR="00B87998" w:rsidRDefault="002058A9">
            <w:pPr>
              <w:jc w:val="left"/>
            </w:pPr>
            <w:r>
              <w:rPr>
                <w:rFonts w:eastAsiaTheme="minorEastAsia"/>
                <w:color w:val="000000" w:themeColor="text1"/>
                <w:szCs w:val="21"/>
              </w:rPr>
              <w:t>过去六个月</w:t>
            </w:r>
          </w:p>
        </w:tc>
        <w:tc>
          <w:tcPr>
            <w:tcW w:w="1291" w:type="dxa"/>
            <w:vAlign w:val="center"/>
          </w:tcPr>
          <w:p w:rsidR="00B87998" w:rsidRDefault="002058A9">
            <w:pPr>
              <w:jc w:val="right"/>
            </w:pPr>
            <w:r>
              <w:rPr>
                <w:rFonts w:eastAsiaTheme="minorEastAsia"/>
                <w:color w:val="000000" w:themeColor="text1"/>
                <w:szCs w:val="21"/>
              </w:rPr>
              <w:t>1.60%</w:t>
            </w:r>
          </w:p>
        </w:tc>
        <w:tc>
          <w:tcPr>
            <w:tcW w:w="1291" w:type="dxa"/>
            <w:vAlign w:val="center"/>
          </w:tcPr>
          <w:p w:rsidR="00B87998" w:rsidRDefault="002058A9">
            <w:pPr>
              <w:jc w:val="right"/>
            </w:pPr>
            <w:r>
              <w:rPr>
                <w:rFonts w:eastAsiaTheme="minorEastAsia"/>
                <w:color w:val="000000" w:themeColor="text1"/>
                <w:szCs w:val="21"/>
              </w:rPr>
              <w:t>0.02%</w:t>
            </w:r>
          </w:p>
        </w:tc>
        <w:tc>
          <w:tcPr>
            <w:tcW w:w="1291" w:type="dxa"/>
            <w:vAlign w:val="center"/>
          </w:tcPr>
          <w:p w:rsidR="00B87998" w:rsidRDefault="002058A9">
            <w:pPr>
              <w:jc w:val="right"/>
            </w:pPr>
            <w:r>
              <w:rPr>
                <w:rFonts w:eastAsiaTheme="minorEastAsia"/>
                <w:color w:val="000000" w:themeColor="text1"/>
                <w:szCs w:val="21"/>
              </w:rPr>
              <w:t>3.45%</w:t>
            </w:r>
          </w:p>
        </w:tc>
        <w:tc>
          <w:tcPr>
            <w:tcW w:w="1291" w:type="dxa"/>
            <w:vAlign w:val="center"/>
          </w:tcPr>
          <w:p w:rsidR="00B87998" w:rsidRDefault="002058A9">
            <w:pPr>
              <w:jc w:val="right"/>
            </w:pPr>
            <w:r>
              <w:rPr>
                <w:rFonts w:eastAsiaTheme="minorEastAsia"/>
                <w:color w:val="000000" w:themeColor="text1"/>
                <w:szCs w:val="21"/>
              </w:rPr>
              <w:t>0.06%</w:t>
            </w:r>
          </w:p>
        </w:tc>
        <w:tc>
          <w:tcPr>
            <w:tcW w:w="1291" w:type="dxa"/>
            <w:vAlign w:val="center"/>
          </w:tcPr>
          <w:p w:rsidR="00B87998" w:rsidRDefault="002058A9">
            <w:pPr>
              <w:jc w:val="right"/>
            </w:pPr>
            <w:r>
              <w:rPr>
                <w:rFonts w:eastAsiaTheme="minorEastAsia"/>
                <w:color w:val="000000" w:themeColor="text1"/>
                <w:szCs w:val="21"/>
              </w:rPr>
              <w:t>-1.85%</w:t>
            </w:r>
          </w:p>
        </w:tc>
        <w:tc>
          <w:tcPr>
            <w:tcW w:w="1291" w:type="dxa"/>
            <w:vAlign w:val="center"/>
          </w:tcPr>
          <w:p w:rsidR="00B87998" w:rsidRDefault="002058A9">
            <w:pPr>
              <w:jc w:val="right"/>
            </w:pPr>
            <w:r>
              <w:rPr>
                <w:rFonts w:eastAsiaTheme="minorEastAsia"/>
                <w:color w:val="000000" w:themeColor="text1"/>
                <w:szCs w:val="21"/>
              </w:rPr>
              <w:t>-0.04%</w:t>
            </w:r>
          </w:p>
        </w:tc>
      </w:tr>
      <w:tr w:rsidR="00B87998">
        <w:tc>
          <w:tcPr>
            <w:tcW w:w="1290" w:type="dxa"/>
            <w:vAlign w:val="center"/>
          </w:tcPr>
          <w:p w:rsidR="00B87998" w:rsidRDefault="002058A9">
            <w:pPr>
              <w:jc w:val="left"/>
            </w:pPr>
            <w:r>
              <w:rPr>
                <w:rFonts w:eastAsiaTheme="minorEastAsia"/>
                <w:color w:val="000000" w:themeColor="text1"/>
                <w:szCs w:val="21"/>
              </w:rPr>
              <w:t>过去一年</w:t>
            </w:r>
          </w:p>
        </w:tc>
        <w:tc>
          <w:tcPr>
            <w:tcW w:w="1291" w:type="dxa"/>
            <w:vAlign w:val="center"/>
          </w:tcPr>
          <w:p w:rsidR="00B87998" w:rsidRDefault="002058A9">
            <w:pPr>
              <w:jc w:val="right"/>
            </w:pPr>
            <w:r>
              <w:rPr>
                <w:rFonts w:eastAsiaTheme="minorEastAsia"/>
                <w:color w:val="000000" w:themeColor="text1"/>
                <w:szCs w:val="21"/>
              </w:rPr>
              <w:t>2.80%</w:t>
            </w:r>
          </w:p>
        </w:tc>
        <w:tc>
          <w:tcPr>
            <w:tcW w:w="1291" w:type="dxa"/>
            <w:vAlign w:val="center"/>
          </w:tcPr>
          <w:p w:rsidR="00B87998" w:rsidRDefault="002058A9">
            <w:pPr>
              <w:jc w:val="right"/>
            </w:pPr>
            <w:r>
              <w:rPr>
                <w:rFonts w:eastAsiaTheme="minorEastAsia"/>
                <w:color w:val="000000" w:themeColor="text1"/>
                <w:szCs w:val="21"/>
              </w:rPr>
              <w:t>0.02%</w:t>
            </w:r>
          </w:p>
        </w:tc>
        <w:tc>
          <w:tcPr>
            <w:tcW w:w="1291" w:type="dxa"/>
            <w:vAlign w:val="center"/>
          </w:tcPr>
          <w:p w:rsidR="00B87998" w:rsidRDefault="002058A9">
            <w:pPr>
              <w:jc w:val="right"/>
            </w:pPr>
            <w:r>
              <w:rPr>
                <w:rFonts w:eastAsiaTheme="minorEastAsia"/>
                <w:color w:val="000000" w:themeColor="text1"/>
                <w:szCs w:val="21"/>
              </w:rPr>
              <w:t>6.02%</w:t>
            </w:r>
          </w:p>
        </w:tc>
        <w:tc>
          <w:tcPr>
            <w:tcW w:w="1291" w:type="dxa"/>
            <w:vAlign w:val="center"/>
          </w:tcPr>
          <w:p w:rsidR="00B87998" w:rsidRDefault="002058A9">
            <w:pPr>
              <w:jc w:val="right"/>
            </w:pPr>
            <w:r>
              <w:rPr>
                <w:rFonts w:eastAsiaTheme="minorEastAsia"/>
                <w:color w:val="000000" w:themeColor="text1"/>
                <w:szCs w:val="21"/>
              </w:rPr>
              <w:t>0.06%</w:t>
            </w:r>
          </w:p>
        </w:tc>
        <w:tc>
          <w:tcPr>
            <w:tcW w:w="1291" w:type="dxa"/>
            <w:vAlign w:val="center"/>
          </w:tcPr>
          <w:p w:rsidR="00B87998" w:rsidRDefault="002058A9">
            <w:pPr>
              <w:jc w:val="right"/>
            </w:pPr>
            <w:r>
              <w:rPr>
                <w:rFonts w:eastAsiaTheme="minorEastAsia"/>
                <w:color w:val="000000" w:themeColor="text1"/>
                <w:szCs w:val="21"/>
              </w:rPr>
              <w:t>-3.22%</w:t>
            </w:r>
          </w:p>
        </w:tc>
        <w:tc>
          <w:tcPr>
            <w:tcW w:w="1291" w:type="dxa"/>
            <w:vAlign w:val="center"/>
          </w:tcPr>
          <w:p w:rsidR="00B87998" w:rsidRDefault="002058A9">
            <w:pPr>
              <w:jc w:val="right"/>
            </w:pPr>
            <w:r>
              <w:rPr>
                <w:rFonts w:eastAsiaTheme="minorEastAsia"/>
                <w:color w:val="000000" w:themeColor="text1"/>
                <w:szCs w:val="21"/>
              </w:rPr>
              <w:t>-0.04%</w:t>
            </w:r>
          </w:p>
        </w:tc>
      </w:tr>
      <w:tr w:rsidR="00B87998">
        <w:tc>
          <w:tcPr>
            <w:tcW w:w="1290" w:type="dxa"/>
            <w:vAlign w:val="center"/>
          </w:tcPr>
          <w:p w:rsidR="00B87998" w:rsidRDefault="002058A9">
            <w:pPr>
              <w:jc w:val="left"/>
            </w:pPr>
            <w:r>
              <w:rPr>
                <w:rFonts w:eastAsiaTheme="minorEastAsia"/>
                <w:color w:val="000000" w:themeColor="text1"/>
                <w:szCs w:val="21"/>
              </w:rPr>
              <w:t>过去三年</w:t>
            </w:r>
          </w:p>
        </w:tc>
        <w:tc>
          <w:tcPr>
            <w:tcW w:w="1291" w:type="dxa"/>
            <w:vAlign w:val="center"/>
          </w:tcPr>
          <w:p w:rsidR="00B87998" w:rsidRDefault="002058A9">
            <w:pPr>
              <w:jc w:val="right"/>
            </w:pPr>
            <w:r>
              <w:rPr>
                <w:rFonts w:eastAsiaTheme="minorEastAsia"/>
                <w:color w:val="000000" w:themeColor="text1"/>
                <w:szCs w:val="21"/>
              </w:rPr>
              <w:t>9.27%</w:t>
            </w:r>
          </w:p>
        </w:tc>
        <w:tc>
          <w:tcPr>
            <w:tcW w:w="1291" w:type="dxa"/>
            <w:vAlign w:val="center"/>
          </w:tcPr>
          <w:p w:rsidR="00B87998" w:rsidRDefault="002058A9">
            <w:pPr>
              <w:jc w:val="right"/>
            </w:pPr>
            <w:r>
              <w:rPr>
                <w:rFonts w:eastAsiaTheme="minorEastAsia"/>
                <w:color w:val="000000" w:themeColor="text1"/>
                <w:szCs w:val="21"/>
              </w:rPr>
              <w:t>0.03%</w:t>
            </w:r>
          </w:p>
        </w:tc>
        <w:tc>
          <w:tcPr>
            <w:tcW w:w="1291" w:type="dxa"/>
            <w:vAlign w:val="center"/>
          </w:tcPr>
          <w:p w:rsidR="00B87998" w:rsidRDefault="002058A9">
            <w:pPr>
              <w:jc w:val="right"/>
            </w:pPr>
            <w:r>
              <w:rPr>
                <w:rFonts w:eastAsiaTheme="minorEastAsia"/>
                <w:color w:val="000000" w:themeColor="text1"/>
                <w:szCs w:val="21"/>
              </w:rPr>
              <w:t>15.24%</w:t>
            </w:r>
          </w:p>
        </w:tc>
        <w:tc>
          <w:tcPr>
            <w:tcW w:w="1291" w:type="dxa"/>
            <w:vAlign w:val="center"/>
          </w:tcPr>
          <w:p w:rsidR="00B87998" w:rsidRDefault="002058A9">
            <w:pPr>
              <w:jc w:val="right"/>
            </w:pPr>
            <w:r>
              <w:rPr>
                <w:rFonts w:eastAsiaTheme="minorEastAsia"/>
                <w:color w:val="000000" w:themeColor="text1"/>
                <w:szCs w:val="21"/>
              </w:rPr>
              <w:t>0.05%</w:t>
            </w:r>
          </w:p>
        </w:tc>
        <w:tc>
          <w:tcPr>
            <w:tcW w:w="1291" w:type="dxa"/>
            <w:vAlign w:val="center"/>
          </w:tcPr>
          <w:p w:rsidR="00B87998" w:rsidRDefault="002058A9">
            <w:pPr>
              <w:jc w:val="right"/>
            </w:pPr>
            <w:r>
              <w:rPr>
                <w:rFonts w:eastAsiaTheme="minorEastAsia"/>
                <w:color w:val="000000" w:themeColor="text1"/>
                <w:szCs w:val="21"/>
              </w:rPr>
              <w:t>-5.97%</w:t>
            </w:r>
          </w:p>
        </w:tc>
        <w:tc>
          <w:tcPr>
            <w:tcW w:w="1291" w:type="dxa"/>
            <w:vAlign w:val="center"/>
          </w:tcPr>
          <w:p w:rsidR="00B87998" w:rsidRDefault="002058A9">
            <w:pPr>
              <w:jc w:val="right"/>
            </w:pPr>
            <w:r>
              <w:rPr>
                <w:rFonts w:eastAsiaTheme="minorEastAsia"/>
                <w:color w:val="000000" w:themeColor="text1"/>
                <w:szCs w:val="21"/>
              </w:rPr>
              <w:t>-0.02%</w:t>
            </w:r>
          </w:p>
        </w:tc>
      </w:tr>
      <w:tr w:rsidR="00B87998">
        <w:tc>
          <w:tcPr>
            <w:tcW w:w="1290" w:type="dxa"/>
            <w:vAlign w:val="center"/>
          </w:tcPr>
          <w:p w:rsidR="00B87998" w:rsidRDefault="002058A9">
            <w:pPr>
              <w:jc w:val="left"/>
            </w:pPr>
            <w:r>
              <w:rPr>
                <w:rFonts w:eastAsiaTheme="minorEastAsia"/>
                <w:color w:val="000000" w:themeColor="text1"/>
                <w:szCs w:val="21"/>
              </w:rPr>
              <w:t>过去五年</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c>
          <w:tcPr>
            <w:tcW w:w="1291" w:type="dxa"/>
            <w:vAlign w:val="center"/>
          </w:tcPr>
          <w:p w:rsidR="00B87998" w:rsidRDefault="002058A9">
            <w:pPr>
              <w:jc w:val="right"/>
            </w:pPr>
            <w:r>
              <w:rPr>
                <w:rFonts w:eastAsiaTheme="minorEastAsia"/>
                <w:color w:val="000000" w:themeColor="text1"/>
                <w:szCs w:val="21"/>
              </w:rPr>
              <w:t>-</w:t>
            </w:r>
          </w:p>
        </w:tc>
      </w:tr>
      <w:tr w:rsidR="00B87998">
        <w:tc>
          <w:tcPr>
            <w:tcW w:w="1290" w:type="dxa"/>
            <w:vAlign w:val="center"/>
          </w:tcPr>
          <w:p w:rsidR="00B87998" w:rsidRDefault="002058A9">
            <w:pPr>
              <w:jc w:val="left"/>
            </w:pPr>
            <w:r>
              <w:rPr>
                <w:rFonts w:eastAsiaTheme="minorEastAsia"/>
                <w:color w:val="000000" w:themeColor="text1"/>
                <w:szCs w:val="21"/>
              </w:rPr>
              <w:t>自基金合同生效起至今</w:t>
            </w:r>
          </w:p>
        </w:tc>
        <w:tc>
          <w:tcPr>
            <w:tcW w:w="1291" w:type="dxa"/>
            <w:vAlign w:val="center"/>
          </w:tcPr>
          <w:p w:rsidR="00B87998" w:rsidRDefault="002058A9">
            <w:pPr>
              <w:jc w:val="right"/>
            </w:pPr>
            <w:r>
              <w:rPr>
                <w:rFonts w:eastAsiaTheme="minorEastAsia"/>
                <w:color w:val="000000" w:themeColor="text1"/>
                <w:szCs w:val="21"/>
              </w:rPr>
              <w:t>12.19%</w:t>
            </w:r>
          </w:p>
        </w:tc>
        <w:tc>
          <w:tcPr>
            <w:tcW w:w="1291" w:type="dxa"/>
            <w:vAlign w:val="center"/>
          </w:tcPr>
          <w:p w:rsidR="00B87998" w:rsidRDefault="002058A9">
            <w:pPr>
              <w:jc w:val="right"/>
            </w:pPr>
            <w:r>
              <w:rPr>
                <w:rFonts w:eastAsiaTheme="minorEastAsia"/>
                <w:color w:val="000000" w:themeColor="text1"/>
                <w:szCs w:val="21"/>
              </w:rPr>
              <w:t>0.04%</w:t>
            </w:r>
          </w:p>
        </w:tc>
        <w:tc>
          <w:tcPr>
            <w:tcW w:w="1291" w:type="dxa"/>
            <w:vAlign w:val="center"/>
          </w:tcPr>
          <w:p w:rsidR="00B87998" w:rsidRDefault="002058A9">
            <w:pPr>
              <w:jc w:val="right"/>
            </w:pPr>
            <w:r>
              <w:rPr>
                <w:rFonts w:eastAsiaTheme="minorEastAsia"/>
                <w:color w:val="000000" w:themeColor="text1"/>
                <w:szCs w:val="21"/>
              </w:rPr>
              <w:t>20.60%</w:t>
            </w:r>
          </w:p>
        </w:tc>
        <w:tc>
          <w:tcPr>
            <w:tcW w:w="1291" w:type="dxa"/>
            <w:vAlign w:val="center"/>
          </w:tcPr>
          <w:p w:rsidR="00B87998" w:rsidRDefault="002058A9">
            <w:pPr>
              <w:jc w:val="right"/>
            </w:pPr>
            <w:r>
              <w:rPr>
                <w:rFonts w:eastAsiaTheme="minorEastAsia"/>
                <w:color w:val="000000" w:themeColor="text1"/>
                <w:szCs w:val="21"/>
              </w:rPr>
              <w:t>0.06%</w:t>
            </w:r>
          </w:p>
        </w:tc>
        <w:tc>
          <w:tcPr>
            <w:tcW w:w="1291" w:type="dxa"/>
            <w:vAlign w:val="center"/>
          </w:tcPr>
          <w:p w:rsidR="00B87998" w:rsidRDefault="002058A9">
            <w:pPr>
              <w:jc w:val="right"/>
            </w:pPr>
            <w:r>
              <w:rPr>
                <w:rFonts w:eastAsiaTheme="minorEastAsia"/>
                <w:color w:val="000000" w:themeColor="text1"/>
                <w:szCs w:val="21"/>
              </w:rPr>
              <w:t>-8.41%</w:t>
            </w:r>
          </w:p>
        </w:tc>
        <w:tc>
          <w:tcPr>
            <w:tcW w:w="1291" w:type="dxa"/>
            <w:vAlign w:val="center"/>
          </w:tcPr>
          <w:p w:rsidR="00B87998" w:rsidRDefault="002058A9">
            <w:pPr>
              <w:jc w:val="right"/>
            </w:pPr>
            <w:r>
              <w:rPr>
                <w:rFonts w:eastAsiaTheme="minorEastAsia"/>
                <w:color w:val="000000" w:themeColor="text1"/>
                <w:szCs w:val="21"/>
              </w:rPr>
              <w:t>-0.02%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摩根瑞益纯债债券型证券投资基金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．摩根瑞益纯债债券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．摩根瑞益纯债债券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87998">
        <w:tc>
          <w:tcPr>
            <w:tcW w:w="952" w:type="dxa"/>
            <w:vAlign w:val="center"/>
          </w:tcPr>
          <w:p w:rsidR="00B87998" w:rsidRDefault="002058A9">
            <w:pPr>
              <w:jc w:val="center"/>
            </w:pPr>
            <w:r>
              <w:rPr>
                <w:rFonts w:eastAsiaTheme="minorEastAsia"/>
                <w:color w:val="000000" w:themeColor="text1"/>
                <w:szCs w:val="21"/>
              </w:rPr>
              <w:t>任翔</w:t>
            </w:r>
          </w:p>
        </w:tc>
        <w:tc>
          <w:tcPr>
            <w:tcW w:w="930" w:type="dxa"/>
            <w:vAlign w:val="center"/>
          </w:tcPr>
          <w:p w:rsidR="00B87998" w:rsidRDefault="002058A9">
            <w:pPr>
              <w:jc w:val="center"/>
            </w:pPr>
            <w:r>
              <w:rPr>
                <w:rFonts w:eastAsiaTheme="minorEastAsia"/>
                <w:color w:val="000000" w:themeColor="text1"/>
                <w:szCs w:val="21"/>
              </w:rPr>
              <w:t>本基金基金经理</w:t>
            </w:r>
          </w:p>
        </w:tc>
        <w:tc>
          <w:tcPr>
            <w:tcW w:w="1210" w:type="dxa"/>
            <w:vAlign w:val="center"/>
          </w:tcPr>
          <w:p w:rsidR="00B87998" w:rsidRDefault="002058A9">
            <w:pPr>
              <w:jc w:val="center"/>
            </w:pPr>
            <w:r>
              <w:rPr>
                <w:rFonts w:eastAsiaTheme="minorEastAsia"/>
                <w:color w:val="000000" w:themeColor="text1"/>
                <w:szCs w:val="21"/>
              </w:rPr>
              <w:t>2019-11-26</w:t>
            </w:r>
          </w:p>
        </w:tc>
        <w:tc>
          <w:tcPr>
            <w:tcW w:w="1309" w:type="dxa"/>
            <w:vAlign w:val="center"/>
          </w:tcPr>
          <w:p w:rsidR="00B87998" w:rsidRDefault="002058A9">
            <w:pPr>
              <w:jc w:val="center"/>
            </w:pPr>
            <w:r>
              <w:rPr>
                <w:rFonts w:eastAsiaTheme="minorEastAsia"/>
                <w:color w:val="000000" w:themeColor="text1"/>
                <w:szCs w:val="21"/>
              </w:rPr>
              <w:t>-</w:t>
            </w:r>
          </w:p>
        </w:tc>
        <w:tc>
          <w:tcPr>
            <w:tcW w:w="1254" w:type="dxa"/>
            <w:vAlign w:val="center"/>
          </w:tcPr>
          <w:p w:rsidR="00B87998" w:rsidRDefault="002058A9">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B87998" w:rsidRDefault="002058A9">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rsidR="00B87998" w:rsidRDefault="002058A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B87998" w:rsidRDefault="002058A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年，债券市场延续了此前的强势表现。在权益类资产表现趋弱、市场风险偏好偏低的情况下，股债跷跷板效应再度推动债券收益率下行。虽然</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日的中期借贷便利（</w:t>
      </w:r>
      <w:r>
        <w:rPr>
          <w:rFonts w:eastAsiaTheme="minorEastAsia"/>
          <w:color w:val="000000" w:themeColor="text1"/>
          <w:szCs w:val="21"/>
        </w:rPr>
        <w:t>MLF</w:t>
      </w:r>
      <w:r>
        <w:rPr>
          <w:rFonts w:eastAsiaTheme="minorEastAsia"/>
          <w:color w:val="000000" w:themeColor="text1"/>
          <w:szCs w:val="21"/>
        </w:rPr>
        <w:t>）降息预期落空，但是市场对后续的货币宽松依然持有信心。</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日央行宣布降准，对债券形成利好。临近春节，避险情绪再度升温，债券博弈情绪高涨，收益率再下一城后在止盈盘的影响下进入短暂震荡。</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w:t>
      </w:r>
      <w:r>
        <w:rPr>
          <w:rFonts w:eastAsiaTheme="minorEastAsia"/>
          <w:color w:val="000000" w:themeColor="text1"/>
          <w:szCs w:val="21"/>
        </w:rPr>
        <w:t>5</w:t>
      </w:r>
      <w:r>
        <w:rPr>
          <w:rFonts w:eastAsiaTheme="minorEastAsia"/>
          <w:color w:val="000000" w:themeColor="text1"/>
          <w:szCs w:val="21"/>
        </w:rPr>
        <w:t>年期贷款市场报价利率（</w:t>
      </w:r>
      <w:r>
        <w:rPr>
          <w:rFonts w:eastAsiaTheme="minorEastAsia"/>
          <w:color w:val="000000" w:themeColor="text1"/>
          <w:szCs w:val="21"/>
        </w:rPr>
        <w:t>LPR</w:t>
      </w:r>
      <w:r>
        <w:rPr>
          <w:rFonts w:eastAsiaTheme="minorEastAsia"/>
          <w:color w:val="000000" w:themeColor="text1"/>
          <w:szCs w:val="21"/>
        </w:rPr>
        <w:t>）超预期下调</w:t>
      </w:r>
      <w:r>
        <w:rPr>
          <w:rFonts w:eastAsiaTheme="minorEastAsia"/>
          <w:color w:val="000000" w:themeColor="text1"/>
          <w:szCs w:val="21"/>
        </w:rPr>
        <w:t>25bp</w:t>
      </w:r>
      <w:r>
        <w:rPr>
          <w:rFonts w:eastAsiaTheme="minorEastAsia"/>
          <w:color w:val="000000" w:themeColor="text1"/>
          <w:szCs w:val="21"/>
        </w:rPr>
        <w:t>，比价效应驱动债券市场再度走强。进入</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w:t>
      </w:r>
      <w:r>
        <w:rPr>
          <w:rFonts w:eastAsiaTheme="minorEastAsia"/>
          <w:color w:val="000000" w:themeColor="text1"/>
          <w:szCs w:val="21"/>
        </w:rPr>
        <w:t>两会</w:t>
      </w:r>
      <w:r>
        <w:rPr>
          <w:rFonts w:eastAsiaTheme="minorEastAsia"/>
          <w:color w:val="000000" w:themeColor="text1"/>
          <w:szCs w:val="21"/>
        </w:rPr>
        <w:t>”</w:t>
      </w:r>
      <w:r>
        <w:rPr>
          <w:rFonts w:eastAsiaTheme="minorEastAsia"/>
          <w:color w:val="000000" w:themeColor="text1"/>
          <w:szCs w:val="21"/>
        </w:rPr>
        <w:t>动向成为市场关注点。政府工作报告整体符合市场预</w:t>
      </w:r>
      <w:r>
        <w:rPr>
          <w:rFonts w:eastAsiaTheme="minorEastAsia"/>
          <w:color w:val="000000" w:themeColor="text1"/>
          <w:szCs w:val="21"/>
        </w:rPr>
        <w:t>期，央行在新闻发布会上提及降准仍有空间，债牛延续。</w:t>
      </w:r>
      <w:r>
        <w:rPr>
          <w:rFonts w:eastAsiaTheme="minorEastAsia"/>
          <w:color w:val="000000" w:themeColor="text1"/>
          <w:szCs w:val="21"/>
        </w:rPr>
        <w:t>3</w:t>
      </w:r>
      <w:r>
        <w:rPr>
          <w:rFonts w:eastAsiaTheme="minorEastAsia"/>
          <w:color w:val="000000" w:themeColor="text1"/>
          <w:szCs w:val="21"/>
        </w:rPr>
        <w:t>月中，受到监管关注超长债情况的影响，交易盘卖出明显，收益率向上调整，但整体调整幅度不大，市场随后进入震荡。虽然</w:t>
      </w:r>
      <w:r>
        <w:rPr>
          <w:rFonts w:eastAsiaTheme="minorEastAsia"/>
          <w:color w:val="000000" w:themeColor="text1"/>
          <w:szCs w:val="21"/>
        </w:rPr>
        <w:t>1-2</w:t>
      </w:r>
      <w:r>
        <w:rPr>
          <w:rFonts w:eastAsiaTheme="minorEastAsia"/>
          <w:color w:val="000000" w:themeColor="text1"/>
          <w:szCs w:val="21"/>
        </w:rPr>
        <w:t>月经济数据好于预期，但市场仍选择继续观察，对债券市场并未转向悲观。</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本基金在一季度整体维持了基金久期，于</w:t>
      </w:r>
      <w:r>
        <w:rPr>
          <w:rFonts w:eastAsiaTheme="minorEastAsia"/>
          <w:color w:val="000000" w:themeColor="text1"/>
          <w:szCs w:val="21"/>
        </w:rPr>
        <w:t>3</w:t>
      </w:r>
      <w:r>
        <w:rPr>
          <w:rFonts w:eastAsiaTheme="minorEastAsia"/>
          <w:color w:val="000000" w:themeColor="text1"/>
          <w:szCs w:val="21"/>
        </w:rPr>
        <w:t>月份的调整中适度降低了仓位，而后择机重新加仓。在信用方面，依然以高等级信用债、金融行业债券等高流动性、低风险标的为主，同时辅以波段操作，取得了较为稳健的回报。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短期来看对于债券市场影响重要的核心变量依然是房地产。近期部分一线城市的二手房交易量持续回暖，应当关注其可持续性。但整体而言，我们认为地产的修复仍然需要一定的时间。货币政策方面，未来降准降息仍然值得期待，时点上于美联储开启降息之后的概率更高。我们将对重要宏观变量保持紧密跟踪，应势而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本报告期摩根瑞益纯债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:0.86%</w:t>
      </w:r>
      <w:r>
        <w:rPr>
          <w:rFonts w:eastAsiaTheme="minorEastAsia"/>
          <w:color w:val="000000" w:themeColor="text1"/>
          <w:szCs w:val="21"/>
        </w:rPr>
        <w:t>，同期业绩比较基准收益率为</w:t>
      </w:r>
      <w:r>
        <w:rPr>
          <w:rFonts w:eastAsiaTheme="minorEastAsia"/>
          <w:color w:val="000000" w:themeColor="text1"/>
          <w:szCs w:val="21"/>
        </w:rPr>
        <w:t>:2.09%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摩根瑞益纯债</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:2.09%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402,484,848.20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402,484,848.20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2,947,513.08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48,355,307.81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453,787,669.09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557,502.19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306,145,526.12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73.92</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46,322,013.87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30,482,524.93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13,150,519.67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52,148,775.29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402,484,848.20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87998">
        <w:tc>
          <w:tcPr>
            <w:tcW w:w="1504" w:type="dxa"/>
            <w:vAlign w:val="center"/>
          </w:tcPr>
          <w:p w:rsidR="00B87998" w:rsidRDefault="002058A9">
            <w:pPr>
              <w:jc w:val="center"/>
            </w:pPr>
            <w:r>
              <w:rPr>
                <w:rFonts w:eastAsiaTheme="minorEastAsia"/>
                <w:color w:val="000000" w:themeColor="text1"/>
                <w:szCs w:val="21"/>
              </w:rPr>
              <w:t>1</w:t>
            </w:r>
          </w:p>
        </w:tc>
        <w:tc>
          <w:tcPr>
            <w:tcW w:w="1504" w:type="dxa"/>
            <w:vAlign w:val="center"/>
          </w:tcPr>
          <w:p w:rsidR="00B87998" w:rsidRDefault="002058A9">
            <w:pPr>
              <w:jc w:val="center"/>
            </w:pPr>
            <w:r>
              <w:rPr>
                <w:rFonts w:eastAsiaTheme="minorEastAsia"/>
                <w:color w:val="000000" w:themeColor="text1"/>
                <w:szCs w:val="21"/>
              </w:rPr>
              <w:t>1920059</w:t>
            </w:r>
          </w:p>
        </w:tc>
        <w:tc>
          <w:tcPr>
            <w:tcW w:w="1504" w:type="dxa"/>
            <w:vAlign w:val="center"/>
          </w:tcPr>
          <w:p w:rsidR="00B87998" w:rsidRDefault="002058A9">
            <w:pPr>
              <w:jc w:val="center"/>
            </w:pPr>
            <w:r>
              <w:rPr>
                <w:rFonts w:eastAsiaTheme="minorEastAsia"/>
                <w:color w:val="000000" w:themeColor="text1"/>
                <w:szCs w:val="21"/>
              </w:rPr>
              <w:t>19</w:t>
            </w:r>
            <w:r>
              <w:rPr>
                <w:rFonts w:eastAsiaTheme="minorEastAsia"/>
                <w:color w:val="000000" w:themeColor="text1"/>
                <w:szCs w:val="21"/>
              </w:rPr>
              <w:t>江苏银行二级</w:t>
            </w:r>
          </w:p>
        </w:tc>
        <w:tc>
          <w:tcPr>
            <w:tcW w:w="1503" w:type="dxa"/>
            <w:vAlign w:val="center"/>
          </w:tcPr>
          <w:p w:rsidR="00B87998" w:rsidRDefault="002058A9">
            <w:pPr>
              <w:jc w:val="right"/>
            </w:pPr>
            <w:r>
              <w:rPr>
                <w:rFonts w:eastAsiaTheme="minorEastAsia"/>
                <w:color w:val="000000" w:themeColor="text1"/>
                <w:szCs w:val="21"/>
              </w:rPr>
              <w:t>300,000</w:t>
            </w:r>
          </w:p>
        </w:tc>
        <w:tc>
          <w:tcPr>
            <w:tcW w:w="1503" w:type="dxa"/>
            <w:vAlign w:val="center"/>
          </w:tcPr>
          <w:p w:rsidR="00B87998" w:rsidRDefault="002058A9">
            <w:pPr>
              <w:jc w:val="right"/>
            </w:pPr>
            <w:r>
              <w:rPr>
                <w:rFonts w:eastAsiaTheme="minorEastAsia"/>
                <w:color w:val="000000" w:themeColor="text1"/>
                <w:szCs w:val="21"/>
              </w:rPr>
              <w:t>30,896,563.93</w:t>
            </w:r>
          </w:p>
        </w:tc>
        <w:tc>
          <w:tcPr>
            <w:tcW w:w="1503" w:type="dxa"/>
            <w:vAlign w:val="center"/>
          </w:tcPr>
          <w:p w:rsidR="00B87998" w:rsidRDefault="002058A9">
            <w:pPr>
              <w:jc w:val="right"/>
            </w:pPr>
            <w:r>
              <w:rPr>
                <w:rFonts w:eastAsiaTheme="minorEastAsia"/>
                <w:color w:val="000000" w:themeColor="text1"/>
                <w:szCs w:val="21"/>
              </w:rPr>
              <w:t>7.46</w:t>
            </w:r>
          </w:p>
        </w:tc>
      </w:tr>
      <w:tr w:rsidR="00B87998">
        <w:tc>
          <w:tcPr>
            <w:tcW w:w="1504" w:type="dxa"/>
            <w:vAlign w:val="center"/>
          </w:tcPr>
          <w:p w:rsidR="00B87998" w:rsidRDefault="002058A9">
            <w:pPr>
              <w:jc w:val="center"/>
            </w:pPr>
            <w:r>
              <w:rPr>
                <w:rFonts w:eastAsiaTheme="minorEastAsia"/>
                <w:color w:val="000000" w:themeColor="text1"/>
                <w:szCs w:val="21"/>
              </w:rPr>
              <w:t>2</w:t>
            </w:r>
          </w:p>
        </w:tc>
        <w:tc>
          <w:tcPr>
            <w:tcW w:w="1504" w:type="dxa"/>
            <w:vAlign w:val="center"/>
          </w:tcPr>
          <w:p w:rsidR="00B87998" w:rsidRDefault="002058A9">
            <w:pPr>
              <w:jc w:val="center"/>
            </w:pPr>
            <w:r>
              <w:rPr>
                <w:rFonts w:eastAsiaTheme="minorEastAsia"/>
                <w:color w:val="000000" w:themeColor="text1"/>
                <w:szCs w:val="21"/>
              </w:rPr>
              <w:t>1920046</w:t>
            </w:r>
          </w:p>
        </w:tc>
        <w:tc>
          <w:tcPr>
            <w:tcW w:w="1504" w:type="dxa"/>
            <w:vAlign w:val="center"/>
          </w:tcPr>
          <w:p w:rsidR="00B87998" w:rsidRDefault="002058A9">
            <w:pPr>
              <w:jc w:val="center"/>
            </w:pPr>
            <w:r>
              <w:rPr>
                <w:rFonts w:eastAsiaTheme="minorEastAsia"/>
                <w:color w:val="000000" w:themeColor="text1"/>
                <w:szCs w:val="21"/>
              </w:rPr>
              <w:t>19</w:t>
            </w:r>
            <w:r>
              <w:rPr>
                <w:rFonts w:eastAsiaTheme="minorEastAsia"/>
                <w:color w:val="000000" w:themeColor="text1"/>
                <w:szCs w:val="21"/>
              </w:rPr>
              <w:t>宁波银行二级</w:t>
            </w:r>
          </w:p>
        </w:tc>
        <w:tc>
          <w:tcPr>
            <w:tcW w:w="1503" w:type="dxa"/>
            <w:vAlign w:val="center"/>
          </w:tcPr>
          <w:p w:rsidR="00B87998" w:rsidRDefault="002058A9">
            <w:pPr>
              <w:jc w:val="right"/>
            </w:pPr>
            <w:r>
              <w:rPr>
                <w:rFonts w:eastAsiaTheme="minorEastAsia"/>
                <w:color w:val="000000" w:themeColor="text1"/>
                <w:szCs w:val="21"/>
              </w:rPr>
              <w:t>200,000</w:t>
            </w:r>
          </w:p>
        </w:tc>
        <w:tc>
          <w:tcPr>
            <w:tcW w:w="1503" w:type="dxa"/>
            <w:vAlign w:val="center"/>
          </w:tcPr>
          <w:p w:rsidR="00B87998" w:rsidRDefault="002058A9">
            <w:pPr>
              <w:jc w:val="right"/>
            </w:pPr>
            <w:r>
              <w:rPr>
                <w:rFonts w:eastAsiaTheme="minorEastAsia"/>
                <w:color w:val="000000" w:themeColor="text1"/>
                <w:szCs w:val="21"/>
              </w:rPr>
              <w:t>20,749,803.28</w:t>
            </w:r>
          </w:p>
        </w:tc>
        <w:tc>
          <w:tcPr>
            <w:tcW w:w="1503" w:type="dxa"/>
            <w:vAlign w:val="center"/>
          </w:tcPr>
          <w:p w:rsidR="00B87998" w:rsidRDefault="002058A9">
            <w:pPr>
              <w:jc w:val="right"/>
            </w:pPr>
            <w:r>
              <w:rPr>
                <w:rFonts w:eastAsiaTheme="minorEastAsia"/>
                <w:color w:val="000000" w:themeColor="text1"/>
                <w:szCs w:val="21"/>
              </w:rPr>
              <w:t>5.01</w:t>
            </w:r>
          </w:p>
        </w:tc>
      </w:tr>
      <w:tr w:rsidR="00B87998">
        <w:tc>
          <w:tcPr>
            <w:tcW w:w="1504" w:type="dxa"/>
            <w:vAlign w:val="center"/>
          </w:tcPr>
          <w:p w:rsidR="00B87998" w:rsidRDefault="002058A9">
            <w:pPr>
              <w:jc w:val="center"/>
            </w:pPr>
            <w:r>
              <w:rPr>
                <w:rFonts w:eastAsiaTheme="minorEastAsia"/>
                <w:color w:val="000000" w:themeColor="text1"/>
                <w:szCs w:val="21"/>
              </w:rPr>
              <w:t>3</w:t>
            </w:r>
          </w:p>
        </w:tc>
        <w:tc>
          <w:tcPr>
            <w:tcW w:w="1504" w:type="dxa"/>
            <w:vAlign w:val="center"/>
          </w:tcPr>
          <w:p w:rsidR="00B87998" w:rsidRDefault="002058A9">
            <w:pPr>
              <w:jc w:val="center"/>
            </w:pPr>
            <w:r>
              <w:rPr>
                <w:rFonts w:eastAsiaTheme="minorEastAsia"/>
                <w:color w:val="000000" w:themeColor="text1"/>
                <w:szCs w:val="21"/>
              </w:rPr>
              <w:t>1920066</w:t>
            </w:r>
          </w:p>
        </w:tc>
        <w:tc>
          <w:tcPr>
            <w:tcW w:w="1504" w:type="dxa"/>
            <w:vAlign w:val="center"/>
          </w:tcPr>
          <w:p w:rsidR="00B87998" w:rsidRDefault="002058A9">
            <w:pPr>
              <w:jc w:val="center"/>
            </w:pPr>
            <w:r>
              <w:rPr>
                <w:rFonts w:eastAsiaTheme="minorEastAsia"/>
                <w:color w:val="000000" w:themeColor="text1"/>
                <w:szCs w:val="21"/>
              </w:rPr>
              <w:t>19</w:t>
            </w:r>
            <w:r>
              <w:rPr>
                <w:rFonts w:eastAsiaTheme="minorEastAsia"/>
                <w:color w:val="000000" w:themeColor="text1"/>
                <w:szCs w:val="21"/>
              </w:rPr>
              <w:t>上海银行二级</w:t>
            </w:r>
          </w:p>
        </w:tc>
        <w:tc>
          <w:tcPr>
            <w:tcW w:w="1503" w:type="dxa"/>
            <w:vAlign w:val="center"/>
          </w:tcPr>
          <w:p w:rsidR="00B87998" w:rsidRDefault="002058A9">
            <w:pPr>
              <w:jc w:val="right"/>
            </w:pPr>
            <w:r>
              <w:rPr>
                <w:rFonts w:eastAsiaTheme="minorEastAsia"/>
                <w:color w:val="000000" w:themeColor="text1"/>
                <w:szCs w:val="21"/>
              </w:rPr>
              <w:t>200,000</w:t>
            </w:r>
          </w:p>
        </w:tc>
        <w:tc>
          <w:tcPr>
            <w:tcW w:w="1503" w:type="dxa"/>
            <w:vAlign w:val="center"/>
          </w:tcPr>
          <w:p w:rsidR="00B87998" w:rsidRDefault="002058A9">
            <w:pPr>
              <w:jc w:val="right"/>
            </w:pPr>
            <w:r>
              <w:rPr>
                <w:rFonts w:eastAsiaTheme="minorEastAsia"/>
                <w:color w:val="000000" w:themeColor="text1"/>
                <w:szCs w:val="21"/>
              </w:rPr>
              <w:t>20,537,652.46</w:t>
            </w:r>
          </w:p>
        </w:tc>
        <w:tc>
          <w:tcPr>
            <w:tcW w:w="1503" w:type="dxa"/>
            <w:vAlign w:val="center"/>
          </w:tcPr>
          <w:p w:rsidR="00B87998" w:rsidRDefault="002058A9">
            <w:pPr>
              <w:jc w:val="right"/>
            </w:pPr>
            <w:r>
              <w:rPr>
                <w:rFonts w:eastAsiaTheme="minorEastAsia"/>
                <w:color w:val="000000" w:themeColor="text1"/>
                <w:szCs w:val="21"/>
              </w:rPr>
              <w:t>4.96</w:t>
            </w:r>
          </w:p>
        </w:tc>
      </w:tr>
      <w:tr w:rsidR="00B87998">
        <w:tc>
          <w:tcPr>
            <w:tcW w:w="1504" w:type="dxa"/>
            <w:vAlign w:val="center"/>
          </w:tcPr>
          <w:p w:rsidR="00B87998" w:rsidRDefault="002058A9">
            <w:pPr>
              <w:jc w:val="center"/>
            </w:pPr>
            <w:r>
              <w:rPr>
                <w:rFonts w:eastAsiaTheme="minorEastAsia"/>
                <w:color w:val="000000" w:themeColor="text1"/>
                <w:szCs w:val="21"/>
              </w:rPr>
              <w:t>4</w:t>
            </w:r>
          </w:p>
        </w:tc>
        <w:tc>
          <w:tcPr>
            <w:tcW w:w="1504" w:type="dxa"/>
            <w:vAlign w:val="center"/>
          </w:tcPr>
          <w:p w:rsidR="00B87998" w:rsidRDefault="002058A9">
            <w:pPr>
              <w:jc w:val="center"/>
            </w:pPr>
            <w:r>
              <w:rPr>
                <w:rFonts w:eastAsiaTheme="minorEastAsia"/>
                <w:color w:val="000000" w:themeColor="text1"/>
                <w:szCs w:val="21"/>
              </w:rPr>
              <w:t>1928033</w:t>
            </w:r>
          </w:p>
        </w:tc>
        <w:tc>
          <w:tcPr>
            <w:tcW w:w="1504" w:type="dxa"/>
            <w:vAlign w:val="center"/>
          </w:tcPr>
          <w:p w:rsidR="00B87998" w:rsidRDefault="002058A9">
            <w:pPr>
              <w:jc w:val="center"/>
            </w:pPr>
            <w:r>
              <w:rPr>
                <w:rFonts w:eastAsiaTheme="minorEastAsia"/>
                <w:color w:val="000000" w:themeColor="text1"/>
                <w:szCs w:val="21"/>
              </w:rPr>
              <w:t>19</w:t>
            </w:r>
            <w:r>
              <w:rPr>
                <w:rFonts w:eastAsiaTheme="minorEastAsia"/>
                <w:color w:val="000000" w:themeColor="text1"/>
                <w:szCs w:val="21"/>
              </w:rPr>
              <w:t>中国银行二级</w:t>
            </w:r>
            <w:r>
              <w:rPr>
                <w:rFonts w:eastAsiaTheme="minorEastAsia"/>
                <w:color w:val="000000" w:themeColor="text1"/>
                <w:szCs w:val="21"/>
              </w:rPr>
              <w:t>03</w:t>
            </w:r>
          </w:p>
        </w:tc>
        <w:tc>
          <w:tcPr>
            <w:tcW w:w="1503" w:type="dxa"/>
            <w:vAlign w:val="center"/>
          </w:tcPr>
          <w:p w:rsidR="00B87998" w:rsidRDefault="002058A9">
            <w:pPr>
              <w:jc w:val="right"/>
            </w:pPr>
            <w:r>
              <w:rPr>
                <w:rFonts w:eastAsiaTheme="minorEastAsia"/>
                <w:color w:val="000000" w:themeColor="text1"/>
                <w:szCs w:val="21"/>
              </w:rPr>
              <w:t>200,000</w:t>
            </w:r>
          </w:p>
        </w:tc>
        <w:tc>
          <w:tcPr>
            <w:tcW w:w="1503" w:type="dxa"/>
            <w:vAlign w:val="center"/>
          </w:tcPr>
          <w:p w:rsidR="00B87998" w:rsidRDefault="002058A9">
            <w:pPr>
              <w:jc w:val="right"/>
            </w:pPr>
            <w:r>
              <w:rPr>
                <w:rFonts w:eastAsiaTheme="minorEastAsia"/>
                <w:color w:val="000000" w:themeColor="text1"/>
                <w:szCs w:val="21"/>
              </w:rPr>
              <w:t>20,495,643.72</w:t>
            </w:r>
          </w:p>
        </w:tc>
        <w:tc>
          <w:tcPr>
            <w:tcW w:w="1503" w:type="dxa"/>
            <w:vAlign w:val="center"/>
          </w:tcPr>
          <w:p w:rsidR="00B87998" w:rsidRDefault="002058A9">
            <w:pPr>
              <w:jc w:val="right"/>
            </w:pPr>
            <w:r>
              <w:rPr>
                <w:rFonts w:eastAsiaTheme="minorEastAsia"/>
                <w:color w:val="000000" w:themeColor="text1"/>
                <w:szCs w:val="21"/>
              </w:rPr>
              <w:t>4.95</w:t>
            </w:r>
          </w:p>
        </w:tc>
      </w:tr>
      <w:tr w:rsidR="00B87998">
        <w:tc>
          <w:tcPr>
            <w:tcW w:w="1504" w:type="dxa"/>
            <w:vAlign w:val="center"/>
          </w:tcPr>
          <w:p w:rsidR="00B87998" w:rsidRDefault="002058A9">
            <w:pPr>
              <w:jc w:val="center"/>
            </w:pPr>
            <w:r>
              <w:rPr>
                <w:rFonts w:eastAsiaTheme="minorEastAsia"/>
                <w:color w:val="000000" w:themeColor="text1"/>
                <w:szCs w:val="21"/>
              </w:rPr>
              <w:t>5</w:t>
            </w:r>
          </w:p>
        </w:tc>
        <w:tc>
          <w:tcPr>
            <w:tcW w:w="1504" w:type="dxa"/>
            <w:vAlign w:val="center"/>
          </w:tcPr>
          <w:p w:rsidR="00B87998" w:rsidRDefault="002058A9">
            <w:pPr>
              <w:jc w:val="center"/>
            </w:pPr>
            <w:r>
              <w:rPr>
                <w:rFonts w:eastAsiaTheme="minorEastAsia"/>
                <w:color w:val="000000" w:themeColor="text1"/>
                <w:szCs w:val="21"/>
              </w:rPr>
              <w:t>2028022</w:t>
            </w:r>
          </w:p>
        </w:tc>
        <w:tc>
          <w:tcPr>
            <w:tcW w:w="1504" w:type="dxa"/>
            <w:vAlign w:val="center"/>
          </w:tcPr>
          <w:p w:rsidR="00B87998" w:rsidRDefault="002058A9">
            <w:pPr>
              <w:jc w:val="center"/>
            </w:pPr>
            <w:r>
              <w:rPr>
                <w:rFonts w:eastAsiaTheme="minorEastAsia"/>
                <w:color w:val="000000" w:themeColor="text1"/>
                <w:szCs w:val="21"/>
              </w:rPr>
              <w:t>20</w:t>
            </w:r>
            <w:r>
              <w:rPr>
                <w:rFonts w:eastAsiaTheme="minorEastAsia"/>
                <w:color w:val="000000" w:themeColor="text1"/>
                <w:szCs w:val="21"/>
              </w:rPr>
              <w:t>民生银行二级</w:t>
            </w:r>
          </w:p>
        </w:tc>
        <w:tc>
          <w:tcPr>
            <w:tcW w:w="1503" w:type="dxa"/>
            <w:vAlign w:val="center"/>
          </w:tcPr>
          <w:p w:rsidR="00B87998" w:rsidRDefault="002058A9">
            <w:pPr>
              <w:jc w:val="right"/>
            </w:pPr>
            <w:r>
              <w:rPr>
                <w:rFonts w:eastAsiaTheme="minorEastAsia"/>
                <w:color w:val="000000" w:themeColor="text1"/>
                <w:szCs w:val="21"/>
              </w:rPr>
              <w:t>140,000</w:t>
            </w:r>
          </w:p>
        </w:tc>
        <w:tc>
          <w:tcPr>
            <w:tcW w:w="1503" w:type="dxa"/>
            <w:vAlign w:val="center"/>
          </w:tcPr>
          <w:p w:rsidR="00B87998" w:rsidRDefault="002058A9">
            <w:pPr>
              <w:jc w:val="right"/>
            </w:pPr>
            <w:r>
              <w:rPr>
                <w:rFonts w:eastAsiaTheme="minorEastAsia"/>
                <w:color w:val="000000" w:themeColor="text1"/>
                <w:szCs w:val="21"/>
              </w:rPr>
              <w:t>14,610,468.85</w:t>
            </w:r>
          </w:p>
        </w:tc>
        <w:tc>
          <w:tcPr>
            <w:tcW w:w="1503" w:type="dxa"/>
            <w:vAlign w:val="center"/>
          </w:tcPr>
          <w:p w:rsidR="00B87998" w:rsidRDefault="002058A9">
            <w:pPr>
              <w:jc w:val="right"/>
            </w:pPr>
            <w:r>
              <w:rPr>
                <w:rFonts w:eastAsiaTheme="minorEastAsia"/>
                <w:color w:val="000000" w:themeColor="text1"/>
                <w:szCs w:val="21"/>
              </w:rPr>
              <w:t>3.53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上海银行股份有限公司在报告编制日前一年内曾受到国家金融监督管理总局上海监管局、国家外汇管理局上海市分局的处罚。中国银行股份有限公司在报告编制日前一年内曾受到国家金融监督管理总局、央行的处罚。宁波银行股份有限公司在报告编制日前一年内曾受到国家金融监督管理总局宁波监管局、国家外汇管理局宁波市分局的处罚。中国民生银行股份有限公司在报告编制日前一年内曾受到国家金融监督管理总局的处罚。本基金对上述主体所发行证券的投资决策程序符合相关法律法规、基金合同及公司投资制度的要求。</w:t>
      </w:r>
    </w:p>
    <w:p w:rsidR="00B87998" w:rsidRDefault="002058A9">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624.90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12,391,150.74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35,963,532.17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48,355,307.81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摩根瑞益纯债债券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摩根瑞益纯债债券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149,425,540.25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48,562,897.16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688,762,612.22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32,970,440.89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494,063,557.26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48,350,989.13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344,124,595.21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33,182,348.92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摩根瑞益纯债债券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摩根瑞益纯债债券</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364,754.77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364,754.77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r>
        <w:rPr>
          <w:rFonts w:eastAsiaTheme="minorEastAsia"/>
          <w:color w:val="000000" w:themeColor="text1"/>
          <w:szCs w:val="21"/>
        </w:rPr>
        <w:t xml:space="preserve"> </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、《摩根瑞益纯债债券型证券投资基金合同》；</w:t>
      </w:r>
      <w:r>
        <w:rPr>
          <w:rFonts w:eastAsiaTheme="minorEastAsia"/>
          <w:color w:val="000000" w:themeColor="text1"/>
          <w:szCs w:val="21"/>
        </w:rPr>
        <w:t xml:space="preserve"> </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、《摩根瑞益纯债债券型证券投资基金托管协议》；</w:t>
      </w:r>
      <w:r>
        <w:rPr>
          <w:rFonts w:eastAsiaTheme="minorEastAsia"/>
          <w:color w:val="000000" w:themeColor="text1"/>
          <w:szCs w:val="21"/>
        </w:rPr>
        <w:t xml:space="preserve"> </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B87998" w:rsidRDefault="002058A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058A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058A9">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058A9">
      <w:rPr>
        <w:rStyle w:val="af6"/>
        <w:noProof/>
      </w:rPr>
      <w:t>12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摩根瑞益纯债债券型证券投资基金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058A9"/>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87998"/>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04F42-7D58-49C4-BD2A-C7819792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27</TotalTime>
  <Pages>13</Pages>
  <Words>1052</Words>
  <Characters>6001</Characters>
  <Application>Microsoft Office Word</Application>
  <DocSecurity>0</DocSecurity>
  <Lines>50</Lines>
  <Paragraphs>14</Paragraphs>
  <ScaleCrop>false</ScaleCrop>
  <Company>TRT. Ltd. Co.</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2024-04-19T05:43:00Z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