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摩根研究驱动股票型证券投资基金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5404AD" w:rsidRDefault="00C20DF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404AD" w:rsidRDefault="00C20DF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404AD" w:rsidRDefault="00C20DF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404AD" w:rsidRDefault="00C20DF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404AD" w:rsidRDefault="00C20DF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摩根研究驱动股票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007388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12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47,058,122.79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充分利用公司内部研究成果，通过深入的行业策略研究和公司基本面研究，在严格控制风险的前提下追求超越业绩比较基准的回报。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5404AD" w:rsidRDefault="00C20DF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5404AD" w:rsidRDefault="00C20DF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控制风险的前提下，本基金将优先配置股票资产，本基金股票资产占基金资产的比例为</w:t>
            </w:r>
            <w:r>
              <w:rPr>
                <w:rFonts w:eastAsiaTheme="minorEastAsia"/>
                <w:color w:val="000000" w:themeColor="text1"/>
                <w:kern w:val="0"/>
                <w:szCs w:val="21"/>
              </w:rPr>
              <w:t>80%-95%</w:t>
            </w:r>
            <w:r>
              <w:rPr>
                <w:rFonts w:eastAsiaTheme="minorEastAsia"/>
                <w:color w:val="000000" w:themeColor="text1"/>
                <w:kern w:val="0"/>
                <w:szCs w:val="21"/>
              </w:rPr>
              <w:t>，其中投资于内部研究池中的股票的资产不低于股票资产的</w:t>
            </w:r>
            <w:r>
              <w:rPr>
                <w:rFonts w:eastAsiaTheme="minorEastAsia"/>
                <w:color w:val="000000" w:themeColor="text1"/>
                <w:kern w:val="0"/>
                <w:szCs w:val="21"/>
              </w:rPr>
              <w:t>80%</w:t>
            </w:r>
            <w:r>
              <w:rPr>
                <w:rFonts w:eastAsiaTheme="minorEastAsia"/>
                <w:color w:val="000000" w:themeColor="text1"/>
                <w:kern w:val="0"/>
                <w:szCs w:val="21"/>
              </w:rPr>
              <w:t>。</w:t>
            </w:r>
          </w:p>
          <w:p w:rsidR="005404AD" w:rsidRDefault="00C20DF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5404AD" w:rsidRDefault="00C20DF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本基金依托基金管理人的研究平台，自上而下形成行业配置观点，选择中长期有较</w:t>
            </w:r>
            <w:r>
              <w:rPr>
                <w:rFonts w:eastAsiaTheme="minorEastAsia"/>
                <w:color w:val="000000" w:themeColor="text1"/>
                <w:kern w:val="0"/>
                <w:szCs w:val="21"/>
              </w:rPr>
              <w:t>大发展空间的优势行业进行重点配置；同时自下而上形成个股配置观点，挖掘并灵活投资于各行业中最具有投资价值的上市公司；通过行业配置与个股选择，获取超越业绩比较基准的超额收益。基金管理人根据投研团队的宏观策略与行业观点，自上而下地确定本基金的行业配置比例，并定期进行调整。依托本公司研究平台，基于公司的股票研究池，通过系统、全面、细致的上市公司基本面研究，形成对研究池中个股的策略分类和战术评级。在具体操作上，综合运用定量分析与定性分析的手段，获取个股的超额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、其他投资策略：包括债券投资策略、股指期货投资策略、资产支持证券投资策略、股票期权投资策略、存托凭证投资策略。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500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*90%+</w:t>
            </w:r>
            <w:r w:rsidRPr="00B27A29">
              <w:rPr>
                <w:rFonts w:eastAsiaTheme="minorEastAsia"/>
                <w:color w:val="000000" w:themeColor="text1"/>
                <w:kern w:val="0"/>
                <w:szCs w:val="21"/>
              </w:rPr>
              <w:t>银行活期存款利率</w:t>
            </w:r>
            <w:r w:rsidRPr="00B27A29">
              <w:rPr>
                <w:rFonts w:eastAsiaTheme="minorEastAsia"/>
                <w:color w:val="000000" w:themeColor="text1"/>
                <w:kern w:val="0"/>
                <w:szCs w:val="21"/>
              </w:rPr>
              <w:t>(</w:t>
            </w:r>
            <w:r w:rsidRPr="00B27A29">
              <w:rPr>
                <w:rFonts w:eastAsiaTheme="minorEastAsia"/>
                <w:color w:val="000000" w:themeColor="text1"/>
                <w:kern w:val="0"/>
                <w:szCs w:val="21"/>
              </w:rPr>
              <w:t>税后</w:t>
            </w:r>
            <w:r w:rsidRPr="00B27A29">
              <w:rPr>
                <w:rFonts w:eastAsiaTheme="minorEastAsia"/>
                <w:color w:val="000000" w:themeColor="text1"/>
                <w:kern w:val="0"/>
                <w:szCs w:val="21"/>
              </w:rPr>
              <w:t>)*10%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007388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007389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39,339,771.12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7,718,351.67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-1,026,473.74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-207,157.46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3,084,848.11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530,808.55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0.0782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0.0624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38,144,369.43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7,230,075.53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0.9696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0.9367</w:t>
            </w:r>
          </w:p>
        </w:tc>
      </w:tr>
    </w:tbl>
    <w:p w:rsidR="005404AD" w:rsidRDefault="00C20DF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摩根研究驱动股票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404AD">
        <w:tc>
          <w:tcPr>
            <w:tcW w:w="1290" w:type="dxa"/>
            <w:vAlign w:val="center"/>
          </w:tcPr>
          <w:p w:rsidR="005404AD" w:rsidRDefault="00C20DFB">
            <w:pPr>
              <w:jc w:val="left"/>
            </w:pPr>
            <w:r>
              <w:rPr>
                <w:rFonts w:eastAsiaTheme="minorEastAsia"/>
                <w:color w:val="000000" w:themeColor="text1"/>
                <w:szCs w:val="21"/>
              </w:rPr>
              <w:t>过去三个月</w:t>
            </w:r>
          </w:p>
        </w:tc>
        <w:tc>
          <w:tcPr>
            <w:tcW w:w="1291" w:type="dxa"/>
            <w:vAlign w:val="center"/>
          </w:tcPr>
          <w:p w:rsidR="005404AD" w:rsidRDefault="00C20DFB">
            <w:pPr>
              <w:jc w:val="right"/>
            </w:pPr>
            <w:r>
              <w:rPr>
                <w:rFonts w:eastAsiaTheme="minorEastAsia"/>
                <w:color w:val="000000" w:themeColor="text1"/>
                <w:szCs w:val="21"/>
              </w:rPr>
              <w:t>8.82%</w:t>
            </w:r>
          </w:p>
        </w:tc>
        <w:tc>
          <w:tcPr>
            <w:tcW w:w="1291" w:type="dxa"/>
            <w:vAlign w:val="center"/>
          </w:tcPr>
          <w:p w:rsidR="005404AD" w:rsidRDefault="00C20DFB">
            <w:pPr>
              <w:jc w:val="right"/>
            </w:pPr>
            <w:r>
              <w:rPr>
                <w:rFonts w:eastAsiaTheme="minorEastAsia"/>
                <w:color w:val="000000" w:themeColor="text1"/>
                <w:szCs w:val="21"/>
              </w:rPr>
              <w:t>1.30%</w:t>
            </w:r>
          </w:p>
        </w:tc>
        <w:tc>
          <w:tcPr>
            <w:tcW w:w="1291" w:type="dxa"/>
            <w:vAlign w:val="center"/>
          </w:tcPr>
          <w:p w:rsidR="005404AD" w:rsidRDefault="00C20DFB">
            <w:pPr>
              <w:jc w:val="right"/>
            </w:pPr>
            <w:r>
              <w:rPr>
                <w:rFonts w:eastAsiaTheme="minorEastAsia"/>
                <w:color w:val="000000" w:themeColor="text1"/>
                <w:szCs w:val="21"/>
              </w:rPr>
              <w:t>14.58%</w:t>
            </w:r>
          </w:p>
        </w:tc>
        <w:tc>
          <w:tcPr>
            <w:tcW w:w="1291" w:type="dxa"/>
            <w:vAlign w:val="center"/>
          </w:tcPr>
          <w:p w:rsidR="005404AD" w:rsidRDefault="00C20DFB">
            <w:pPr>
              <w:jc w:val="right"/>
            </w:pPr>
            <w:r>
              <w:rPr>
                <w:rFonts w:eastAsiaTheme="minorEastAsia"/>
                <w:color w:val="000000" w:themeColor="text1"/>
                <w:szCs w:val="21"/>
              </w:rPr>
              <w:t>1.80%</w:t>
            </w:r>
          </w:p>
        </w:tc>
        <w:tc>
          <w:tcPr>
            <w:tcW w:w="1291" w:type="dxa"/>
            <w:vAlign w:val="center"/>
          </w:tcPr>
          <w:p w:rsidR="005404AD" w:rsidRDefault="00C20DFB">
            <w:pPr>
              <w:jc w:val="right"/>
            </w:pPr>
            <w:r>
              <w:rPr>
                <w:rFonts w:eastAsiaTheme="minorEastAsia"/>
                <w:color w:val="000000" w:themeColor="text1"/>
                <w:szCs w:val="21"/>
              </w:rPr>
              <w:t>-5.76%</w:t>
            </w:r>
          </w:p>
        </w:tc>
        <w:tc>
          <w:tcPr>
            <w:tcW w:w="1291" w:type="dxa"/>
            <w:vAlign w:val="center"/>
          </w:tcPr>
          <w:p w:rsidR="005404AD" w:rsidRDefault="00C20DFB">
            <w:pPr>
              <w:jc w:val="right"/>
            </w:pPr>
            <w:r>
              <w:rPr>
                <w:rFonts w:eastAsiaTheme="minorEastAsia"/>
                <w:color w:val="000000" w:themeColor="text1"/>
                <w:szCs w:val="21"/>
              </w:rPr>
              <w:t>-0.50%</w:t>
            </w:r>
          </w:p>
        </w:tc>
      </w:tr>
      <w:tr w:rsidR="005404AD">
        <w:tc>
          <w:tcPr>
            <w:tcW w:w="1290" w:type="dxa"/>
            <w:vAlign w:val="center"/>
          </w:tcPr>
          <w:p w:rsidR="005404AD" w:rsidRDefault="00C20DFB">
            <w:pPr>
              <w:jc w:val="left"/>
            </w:pPr>
            <w:r>
              <w:rPr>
                <w:rFonts w:eastAsiaTheme="minorEastAsia"/>
                <w:color w:val="000000" w:themeColor="text1"/>
                <w:szCs w:val="21"/>
              </w:rPr>
              <w:t>过去六个月</w:t>
            </w:r>
          </w:p>
        </w:tc>
        <w:tc>
          <w:tcPr>
            <w:tcW w:w="1291" w:type="dxa"/>
            <w:vAlign w:val="center"/>
          </w:tcPr>
          <w:p w:rsidR="005404AD" w:rsidRDefault="00C20DFB">
            <w:pPr>
              <w:jc w:val="right"/>
            </w:pPr>
            <w:r>
              <w:rPr>
                <w:rFonts w:eastAsiaTheme="minorEastAsia"/>
                <w:color w:val="000000" w:themeColor="text1"/>
                <w:szCs w:val="21"/>
              </w:rPr>
              <w:t>9.19%</w:t>
            </w:r>
          </w:p>
        </w:tc>
        <w:tc>
          <w:tcPr>
            <w:tcW w:w="1291" w:type="dxa"/>
            <w:vAlign w:val="center"/>
          </w:tcPr>
          <w:p w:rsidR="005404AD" w:rsidRDefault="00C20DFB">
            <w:pPr>
              <w:jc w:val="right"/>
            </w:pPr>
            <w:r>
              <w:rPr>
                <w:rFonts w:eastAsiaTheme="minorEastAsia"/>
                <w:color w:val="000000" w:themeColor="text1"/>
                <w:szCs w:val="21"/>
              </w:rPr>
              <w:t>1.14%</w:t>
            </w:r>
          </w:p>
        </w:tc>
        <w:tc>
          <w:tcPr>
            <w:tcW w:w="1291" w:type="dxa"/>
            <w:vAlign w:val="center"/>
          </w:tcPr>
          <w:p w:rsidR="005404AD" w:rsidRDefault="00C20DFB">
            <w:pPr>
              <w:jc w:val="right"/>
            </w:pPr>
            <w:r>
              <w:rPr>
                <w:rFonts w:eastAsiaTheme="minorEastAsia"/>
                <w:color w:val="000000" w:themeColor="text1"/>
                <w:szCs w:val="21"/>
              </w:rPr>
              <w:t>7.80%</w:t>
            </w:r>
          </w:p>
        </w:tc>
        <w:tc>
          <w:tcPr>
            <w:tcW w:w="1291" w:type="dxa"/>
            <w:vAlign w:val="center"/>
          </w:tcPr>
          <w:p w:rsidR="005404AD" w:rsidRDefault="00C20DFB">
            <w:pPr>
              <w:jc w:val="right"/>
            </w:pPr>
            <w:r>
              <w:rPr>
                <w:rFonts w:eastAsiaTheme="minorEastAsia"/>
                <w:color w:val="000000" w:themeColor="text1"/>
                <w:szCs w:val="21"/>
              </w:rPr>
              <w:t>1.48%</w:t>
            </w:r>
          </w:p>
        </w:tc>
        <w:tc>
          <w:tcPr>
            <w:tcW w:w="1291" w:type="dxa"/>
            <w:vAlign w:val="center"/>
          </w:tcPr>
          <w:p w:rsidR="005404AD" w:rsidRDefault="00C20DFB">
            <w:pPr>
              <w:jc w:val="right"/>
            </w:pPr>
            <w:r>
              <w:rPr>
                <w:rFonts w:eastAsiaTheme="minorEastAsia"/>
                <w:color w:val="000000" w:themeColor="text1"/>
                <w:szCs w:val="21"/>
              </w:rPr>
              <w:t>1.39%</w:t>
            </w:r>
          </w:p>
        </w:tc>
        <w:tc>
          <w:tcPr>
            <w:tcW w:w="1291" w:type="dxa"/>
            <w:vAlign w:val="center"/>
          </w:tcPr>
          <w:p w:rsidR="005404AD" w:rsidRDefault="00C20DFB">
            <w:pPr>
              <w:jc w:val="right"/>
            </w:pPr>
            <w:r>
              <w:rPr>
                <w:rFonts w:eastAsiaTheme="minorEastAsia"/>
                <w:color w:val="000000" w:themeColor="text1"/>
                <w:szCs w:val="21"/>
              </w:rPr>
              <w:t>-0.34%</w:t>
            </w:r>
          </w:p>
        </w:tc>
      </w:tr>
      <w:tr w:rsidR="005404AD">
        <w:tc>
          <w:tcPr>
            <w:tcW w:w="1290" w:type="dxa"/>
            <w:vAlign w:val="center"/>
          </w:tcPr>
          <w:p w:rsidR="005404AD" w:rsidRDefault="00C20DFB">
            <w:pPr>
              <w:jc w:val="left"/>
            </w:pPr>
            <w:r>
              <w:rPr>
                <w:rFonts w:eastAsiaTheme="minorEastAsia"/>
                <w:color w:val="000000" w:themeColor="text1"/>
                <w:szCs w:val="21"/>
              </w:rPr>
              <w:t>过去一年</w:t>
            </w:r>
          </w:p>
        </w:tc>
        <w:tc>
          <w:tcPr>
            <w:tcW w:w="1291" w:type="dxa"/>
            <w:vAlign w:val="center"/>
          </w:tcPr>
          <w:p w:rsidR="005404AD" w:rsidRDefault="00C20DFB">
            <w:pPr>
              <w:jc w:val="right"/>
            </w:pPr>
            <w:r>
              <w:rPr>
                <w:rFonts w:eastAsiaTheme="minorEastAsia"/>
                <w:color w:val="000000" w:themeColor="text1"/>
                <w:szCs w:val="21"/>
              </w:rPr>
              <w:t>5.63%</w:t>
            </w:r>
          </w:p>
        </w:tc>
        <w:tc>
          <w:tcPr>
            <w:tcW w:w="1291" w:type="dxa"/>
            <w:vAlign w:val="center"/>
          </w:tcPr>
          <w:p w:rsidR="005404AD" w:rsidRDefault="00C20DFB">
            <w:pPr>
              <w:jc w:val="right"/>
            </w:pPr>
            <w:r>
              <w:rPr>
                <w:rFonts w:eastAsiaTheme="minorEastAsia"/>
                <w:color w:val="000000" w:themeColor="text1"/>
                <w:szCs w:val="21"/>
              </w:rPr>
              <w:t>1.05%</w:t>
            </w:r>
          </w:p>
        </w:tc>
        <w:tc>
          <w:tcPr>
            <w:tcW w:w="1291" w:type="dxa"/>
            <w:vAlign w:val="center"/>
          </w:tcPr>
          <w:p w:rsidR="005404AD" w:rsidRDefault="00C20DFB">
            <w:pPr>
              <w:jc w:val="right"/>
            </w:pPr>
            <w:r>
              <w:rPr>
                <w:rFonts w:eastAsiaTheme="minorEastAsia"/>
                <w:color w:val="000000" w:themeColor="text1"/>
                <w:szCs w:val="21"/>
              </w:rPr>
              <w:t>0.87%</w:t>
            </w:r>
          </w:p>
        </w:tc>
        <w:tc>
          <w:tcPr>
            <w:tcW w:w="1291" w:type="dxa"/>
            <w:vAlign w:val="center"/>
          </w:tcPr>
          <w:p w:rsidR="005404AD" w:rsidRDefault="00C20DFB">
            <w:pPr>
              <w:jc w:val="right"/>
            </w:pPr>
            <w:r>
              <w:rPr>
                <w:rFonts w:eastAsiaTheme="minorEastAsia"/>
                <w:color w:val="000000" w:themeColor="text1"/>
                <w:szCs w:val="21"/>
              </w:rPr>
              <w:t>1.42%</w:t>
            </w:r>
          </w:p>
        </w:tc>
        <w:tc>
          <w:tcPr>
            <w:tcW w:w="1291" w:type="dxa"/>
            <w:vAlign w:val="center"/>
          </w:tcPr>
          <w:p w:rsidR="005404AD" w:rsidRDefault="00C20DFB">
            <w:pPr>
              <w:jc w:val="right"/>
            </w:pPr>
            <w:r>
              <w:rPr>
                <w:rFonts w:eastAsiaTheme="minorEastAsia"/>
                <w:color w:val="000000" w:themeColor="text1"/>
                <w:szCs w:val="21"/>
              </w:rPr>
              <w:t>4.76%</w:t>
            </w:r>
          </w:p>
        </w:tc>
        <w:tc>
          <w:tcPr>
            <w:tcW w:w="1291" w:type="dxa"/>
            <w:vAlign w:val="center"/>
          </w:tcPr>
          <w:p w:rsidR="005404AD" w:rsidRDefault="00C20DFB">
            <w:pPr>
              <w:jc w:val="right"/>
            </w:pPr>
            <w:r>
              <w:rPr>
                <w:rFonts w:eastAsiaTheme="minorEastAsia"/>
                <w:color w:val="000000" w:themeColor="text1"/>
                <w:szCs w:val="21"/>
              </w:rPr>
              <w:t>-0.37%</w:t>
            </w:r>
          </w:p>
        </w:tc>
      </w:tr>
      <w:tr w:rsidR="005404AD">
        <w:tc>
          <w:tcPr>
            <w:tcW w:w="1290" w:type="dxa"/>
            <w:vAlign w:val="center"/>
          </w:tcPr>
          <w:p w:rsidR="005404AD" w:rsidRDefault="00C20DFB">
            <w:pPr>
              <w:jc w:val="left"/>
            </w:pPr>
            <w:r>
              <w:rPr>
                <w:rFonts w:eastAsiaTheme="minorEastAsia"/>
                <w:color w:val="000000" w:themeColor="text1"/>
                <w:szCs w:val="21"/>
              </w:rPr>
              <w:t>过去三年</w:t>
            </w:r>
          </w:p>
        </w:tc>
        <w:tc>
          <w:tcPr>
            <w:tcW w:w="1291" w:type="dxa"/>
            <w:vAlign w:val="center"/>
          </w:tcPr>
          <w:p w:rsidR="005404AD" w:rsidRDefault="00C20DFB">
            <w:pPr>
              <w:jc w:val="right"/>
            </w:pPr>
            <w:r>
              <w:rPr>
                <w:rFonts w:eastAsiaTheme="minorEastAsia"/>
                <w:color w:val="000000" w:themeColor="text1"/>
                <w:szCs w:val="21"/>
              </w:rPr>
              <w:t>-31.38%</w:t>
            </w:r>
          </w:p>
        </w:tc>
        <w:tc>
          <w:tcPr>
            <w:tcW w:w="1291" w:type="dxa"/>
            <w:vAlign w:val="center"/>
          </w:tcPr>
          <w:p w:rsidR="005404AD" w:rsidRDefault="00C20DFB">
            <w:pPr>
              <w:jc w:val="right"/>
            </w:pPr>
            <w:r>
              <w:rPr>
                <w:rFonts w:eastAsiaTheme="minorEastAsia"/>
                <w:color w:val="000000" w:themeColor="text1"/>
                <w:szCs w:val="21"/>
              </w:rPr>
              <w:t>1.13%</w:t>
            </w:r>
          </w:p>
        </w:tc>
        <w:tc>
          <w:tcPr>
            <w:tcW w:w="1291" w:type="dxa"/>
            <w:vAlign w:val="center"/>
          </w:tcPr>
          <w:p w:rsidR="005404AD" w:rsidRDefault="00C20DFB">
            <w:pPr>
              <w:jc w:val="right"/>
            </w:pPr>
            <w:r>
              <w:rPr>
                <w:rFonts w:eastAsiaTheme="minorEastAsia"/>
                <w:color w:val="000000" w:themeColor="text1"/>
                <w:szCs w:val="21"/>
              </w:rPr>
              <w:t>-17.13%</w:t>
            </w:r>
          </w:p>
        </w:tc>
        <w:tc>
          <w:tcPr>
            <w:tcW w:w="1291" w:type="dxa"/>
            <w:vAlign w:val="center"/>
          </w:tcPr>
          <w:p w:rsidR="005404AD" w:rsidRDefault="00C20DFB">
            <w:pPr>
              <w:jc w:val="right"/>
            </w:pPr>
            <w:r>
              <w:rPr>
                <w:rFonts w:eastAsiaTheme="minorEastAsia"/>
                <w:color w:val="000000" w:themeColor="text1"/>
                <w:szCs w:val="21"/>
              </w:rPr>
              <w:t>1.16%</w:t>
            </w:r>
          </w:p>
        </w:tc>
        <w:tc>
          <w:tcPr>
            <w:tcW w:w="1291" w:type="dxa"/>
            <w:vAlign w:val="center"/>
          </w:tcPr>
          <w:p w:rsidR="005404AD" w:rsidRDefault="00C20DFB">
            <w:pPr>
              <w:jc w:val="right"/>
            </w:pPr>
            <w:r>
              <w:rPr>
                <w:rFonts w:eastAsiaTheme="minorEastAsia"/>
                <w:color w:val="000000" w:themeColor="text1"/>
                <w:szCs w:val="21"/>
              </w:rPr>
              <w:t>-14.25%</w:t>
            </w:r>
          </w:p>
        </w:tc>
        <w:tc>
          <w:tcPr>
            <w:tcW w:w="1291" w:type="dxa"/>
            <w:vAlign w:val="center"/>
          </w:tcPr>
          <w:p w:rsidR="005404AD" w:rsidRDefault="00C20DFB">
            <w:pPr>
              <w:jc w:val="right"/>
            </w:pPr>
            <w:r>
              <w:rPr>
                <w:rFonts w:eastAsiaTheme="minorEastAsia"/>
                <w:color w:val="000000" w:themeColor="text1"/>
                <w:szCs w:val="21"/>
              </w:rPr>
              <w:t>-0.03%</w:t>
            </w:r>
          </w:p>
        </w:tc>
      </w:tr>
      <w:tr w:rsidR="005404AD">
        <w:tc>
          <w:tcPr>
            <w:tcW w:w="1290" w:type="dxa"/>
            <w:vAlign w:val="center"/>
          </w:tcPr>
          <w:p w:rsidR="005404AD" w:rsidRDefault="00C20DFB">
            <w:pPr>
              <w:jc w:val="left"/>
            </w:pPr>
            <w:r>
              <w:rPr>
                <w:rFonts w:eastAsiaTheme="minorEastAsia"/>
                <w:color w:val="000000" w:themeColor="text1"/>
                <w:szCs w:val="21"/>
              </w:rPr>
              <w:t>过去五年</w:t>
            </w:r>
          </w:p>
        </w:tc>
        <w:tc>
          <w:tcPr>
            <w:tcW w:w="1291" w:type="dxa"/>
            <w:vAlign w:val="center"/>
          </w:tcPr>
          <w:p w:rsidR="005404AD" w:rsidRDefault="00C20DFB">
            <w:pPr>
              <w:jc w:val="right"/>
            </w:pPr>
            <w:r>
              <w:rPr>
                <w:rFonts w:eastAsiaTheme="minorEastAsia"/>
                <w:color w:val="000000" w:themeColor="text1"/>
                <w:szCs w:val="21"/>
              </w:rPr>
              <w:t>-</w:t>
            </w:r>
          </w:p>
        </w:tc>
        <w:tc>
          <w:tcPr>
            <w:tcW w:w="1291" w:type="dxa"/>
            <w:vAlign w:val="center"/>
          </w:tcPr>
          <w:p w:rsidR="005404AD" w:rsidRDefault="00C20DFB">
            <w:pPr>
              <w:jc w:val="right"/>
            </w:pPr>
            <w:r>
              <w:rPr>
                <w:rFonts w:eastAsiaTheme="minorEastAsia"/>
                <w:color w:val="000000" w:themeColor="text1"/>
                <w:szCs w:val="21"/>
              </w:rPr>
              <w:t>-</w:t>
            </w:r>
          </w:p>
        </w:tc>
        <w:tc>
          <w:tcPr>
            <w:tcW w:w="1291" w:type="dxa"/>
            <w:vAlign w:val="center"/>
          </w:tcPr>
          <w:p w:rsidR="005404AD" w:rsidRDefault="00C20DFB">
            <w:pPr>
              <w:jc w:val="right"/>
            </w:pPr>
            <w:r>
              <w:rPr>
                <w:rFonts w:eastAsiaTheme="minorEastAsia"/>
                <w:color w:val="000000" w:themeColor="text1"/>
                <w:szCs w:val="21"/>
              </w:rPr>
              <w:t>-</w:t>
            </w:r>
          </w:p>
        </w:tc>
        <w:tc>
          <w:tcPr>
            <w:tcW w:w="1291" w:type="dxa"/>
            <w:vAlign w:val="center"/>
          </w:tcPr>
          <w:p w:rsidR="005404AD" w:rsidRDefault="00C20DFB">
            <w:pPr>
              <w:jc w:val="right"/>
            </w:pPr>
            <w:r>
              <w:rPr>
                <w:rFonts w:eastAsiaTheme="minorEastAsia"/>
                <w:color w:val="000000" w:themeColor="text1"/>
                <w:szCs w:val="21"/>
              </w:rPr>
              <w:t>-</w:t>
            </w:r>
          </w:p>
        </w:tc>
        <w:tc>
          <w:tcPr>
            <w:tcW w:w="1291" w:type="dxa"/>
            <w:vAlign w:val="center"/>
          </w:tcPr>
          <w:p w:rsidR="005404AD" w:rsidRDefault="00C20DFB">
            <w:pPr>
              <w:jc w:val="right"/>
            </w:pPr>
            <w:r>
              <w:rPr>
                <w:rFonts w:eastAsiaTheme="minorEastAsia"/>
                <w:color w:val="000000" w:themeColor="text1"/>
                <w:szCs w:val="21"/>
              </w:rPr>
              <w:t>-</w:t>
            </w:r>
          </w:p>
        </w:tc>
        <w:tc>
          <w:tcPr>
            <w:tcW w:w="1291" w:type="dxa"/>
            <w:vAlign w:val="center"/>
          </w:tcPr>
          <w:p w:rsidR="005404AD" w:rsidRDefault="00C20DFB">
            <w:pPr>
              <w:jc w:val="right"/>
            </w:pPr>
            <w:r>
              <w:rPr>
                <w:rFonts w:eastAsiaTheme="minorEastAsia"/>
                <w:color w:val="000000" w:themeColor="text1"/>
                <w:szCs w:val="21"/>
              </w:rPr>
              <w:t>-</w:t>
            </w:r>
          </w:p>
        </w:tc>
      </w:tr>
      <w:tr w:rsidR="005404AD">
        <w:tc>
          <w:tcPr>
            <w:tcW w:w="1290" w:type="dxa"/>
            <w:vAlign w:val="center"/>
          </w:tcPr>
          <w:p w:rsidR="005404AD" w:rsidRDefault="00C20DFB">
            <w:pPr>
              <w:jc w:val="left"/>
            </w:pPr>
            <w:r>
              <w:rPr>
                <w:rFonts w:eastAsiaTheme="minorEastAsia"/>
                <w:color w:val="000000" w:themeColor="text1"/>
                <w:szCs w:val="21"/>
              </w:rPr>
              <w:t>自基金合同生效起至今</w:t>
            </w:r>
          </w:p>
        </w:tc>
        <w:tc>
          <w:tcPr>
            <w:tcW w:w="1291" w:type="dxa"/>
            <w:vAlign w:val="center"/>
          </w:tcPr>
          <w:p w:rsidR="005404AD" w:rsidRDefault="00C20DFB">
            <w:pPr>
              <w:jc w:val="right"/>
            </w:pPr>
            <w:r>
              <w:rPr>
                <w:rFonts w:eastAsiaTheme="minorEastAsia"/>
                <w:color w:val="000000" w:themeColor="text1"/>
                <w:szCs w:val="21"/>
              </w:rPr>
              <w:t>-3.04%</w:t>
            </w:r>
          </w:p>
        </w:tc>
        <w:tc>
          <w:tcPr>
            <w:tcW w:w="1291" w:type="dxa"/>
            <w:vAlign w:val="center"/>
          </w:tcPr>
          <w:p w:rsidR="005404AD" w:rsidRDefault="00C20DFB">
            <w:pPr>
              <w:jc w:val="right"/>
            </w:pPr>
            <w:r>
              <w:rPr>
                <w:rFonts w:eastAsiaTheme="minorEastAsia"/>
                <w:color w:val="000000" w:themeColor="text1"/>
                <w:szCs w:val="21"/>
              </w:rPr>
              <w:t>1.26%</w:t>
            </w:r>
          </w:p>
        </w:tc>
        <w:tc>
          <w:tcPr>
            <w:tcW w:w="1291" w:type="dxa"/>
            <w:vAlign w:val="center"/>
          </w:tcPr>
          <w:p w:rsidR="005404AD" w:rsidRDefault="00C20DFB">
            <w:pPr>
              <w:jc w:val="right"/>
            </w:pPr>
            <w:r>
              <w:rPr>
                <w:rFonts w:eastAsiaTheme="minorEastAsia"/>
                <w:color w:val="000000" w:themeColor="text1"/>
                <w:szCs w:val="21"/>
              </w:rPr>
              <w:t>2.63%</w:t>
            </w:r>
          </w:p>
        </w:tc>
        <w:tc>
          <w:tcPr>
            <w:tcW w:w="1291" w:type="dxa"/>
            <w:vAlign w:val="center"/>
          </w:tcPr>
          <w:p w:rsidR="005404AD" w:rsidRDefault="00C20DFB">
            <w:pPr>
              <w:jc w:val="right"/>
            </w:pPr>
            <w:r>
              <w:rPr>
                <w:rFonts w:eastAsiaTheme="minorEastAsia"/>
                <w:color w:val="000000" w:themeColor="text1"/>
                <w:szCs w:val="21"/>
              </w:rPr>
              <w:t>1.14%</w:t>
            </w:r>
          </w:p>
        </w:tc>
        <w:tc>
          <w:tcPr>
            <w:tcW w:w="1291" w:type="dxa"/>
            <w:vAlign w:val="center"/>
          </w:tcPr>
          <w:p w:rsidR="005404AD" w:rsidRDefault="00C20DFB">
            <w:pPr>
              <w:jc w:val="right"/>
            </w:pPr>
            <w:r>
              <w:rPr>
                <w:rFonts w:eastAsiaTheme="minorEastAsia"/>
                <w:color w:val="000000" w:themeColor="text1"/>
                <w:szCs w:val="21"/>
              </w:rPr>
              <w:t>-5.67%</w:t>
            </w:r>
          </w:p>
        </w:tc>
        <w:tc>
          <w:tcPr>
            <w:tcW w:w="1291" w:type="dxa"/>
            <w:vAlign w:val="center"/>
          </w:tcPr>
          <w:p w:rsidR="005404AD" w:rsidRDefault="00C20DFB">
            <w:pPr>
              <w:jc w:val="right"/>
            </w:pPr>
            <w:r>
              <w:rPr>
                <w:rFonts w:eastAsiaTheme="minorEastAsia"/>
                <w:color w:val="000000" w:themeColor="text1"/>
                <w:szCs w:val="21"/>
              </w:rPr>
              <w:t>0.12%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摩根研究驱动股票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404AD">
        <w:tc>
          <w:tcPr>
            <w:tcW w:w="1290" w:type="dxa"/>
            <w:vAlign w:val="center"/>
          </w:tcPr>
          <w:p w:rsidR="005404AD" w:rsidRDefault="00C20DFB">
            <w:pPr>
              <w:jc w:val="left"/>
            </w:pPr>
            <w:r>
              <w:rPr>
                <w:rFonts w:eastAsiaTheme="minorEastAsia"/>
                <w:color w:val="000000" w:themeColor="text1"/>
                <w:szCs w:val="21"/>
              </w:rPr>
              <w:t>过去三个月</w:t>
            </w:r>
          </w:p>
        </w:tc>
        <w:tc>
          <w:tcPr>
            <w:tcW w:w="1291" w:type="dxa"/>
            <w:vAlign w:val="center"/>
          </w:tcPr>
          <w:p w:rsidR="005404AD" w:rsidRDefault="00C20DFB">
            <w:pPr>
              <w:jc w:val="right"/>
            </w:pPr>
            <w:r>
              <w:rPr>
                <w:rFonts w:eastAsiaTheme="minorEastAsia"/>
                <w:color w:val="000000" w:themeColor="text1"/>
                <w:szCs w:val="21"/>
              </w:rPr>
              <w:t>8.60%</w:t>
            </w:r>
          </w:p>
        </w:tc>
        <w:tc>
          <w:tcPr>
            <w:tcW w:w="1291" w:type="dxa"/>
            <w:vAlign w:val="center"/>
          </w:tcPr>
          <w:p w:rsidR="005404AD" w:rsidRDefault="00C20DFB">
            <w:pPr>
              <w:jc w:val="right"/>
            </w:pPr>
            <w:r>
              <w:rPr>
                <w:rFonts w:eastAsiaTheme="minorEastAsia"/>
                <w:color w:val="000000" w:themeColor="text1"/>
                <w:szCs w:val="21"/>
              </w:rPr>
              <w:t>1.30%</w:t>
            </w:r>
          </w:p>
        </w:tc>
        <w:tc>
          <w:tcPr>
            <w:tcW w:w="1291" w:type="dxa"/>
            <w:vAlign w:val="center"/>
          </w:tcPr>
          <w:p w:rsidR="005404AD" w:rsidRDefault="00C20DFB">
            <w:pPr>
              <w:jc w:val="right"/>
            </w:pPr>
            <w:r>
              <w:rPr>
                <w:rFonts w:eastAsiaTheme="minorEastAsia"/>
                <w:color w:val="000000" w:themeColor="text1"/>
                <w:szCs w:val="21"/>
              </w:rPr>
              <w:t>14.58%</w:t>
            </w:r>
          </w:p>
        </w:tc>
        <w:tc>
          <w:tcPr>
            <w:tcW w:w="1291" w:type="dxa"/>
            <w:vAlign w:val="center"/>
          </w:tcPr>
          <w:p w:rsidR="005404AD" w:rsidRDefault="00C20DFB">
            <w:pPr>
              <w:jc w:val="right"/>
            </w:pPr>
            <w:r>
              <w:rPr>
                <w:rFonts w:eastAsiaTheme="minorEastAsia"/>
                <w:color w:val="000000" w:themeColor="text1"/>
                <w:szCs w:val="21"/>
              </w:rPr>
              <w:t>1.80%</w:t>
            </w:r>
          </w:p>
        </w:tc>
        <w:tc>
          <w:tcPr>
            <w:tcW w:w="1291" w:type="dxa"/>
            <w:vAlign w:val="center"/>
          </w:tcPr>
          <w:p w:rsidR="005404AD" w:rsidRDefault="00C20DFB">
            <w:pPr>
              <w:jc w:val="right"/>
            </w:pPr>
            <w:r>
              <w:rPr>
                <w:rFonts w:eastAsiaTheme="minorEastAsia"/>
                <w:color w:val="000000" w:themeColor="text1"/>
                <w:szCs w:val="21"/>
              </w:rPr>
              <w:t>-5.98%</w:t>
            </w:r>
          </w:p>
        </w:tc>
        <w:tc>
          <w:tcPr>
            <w:tcW w:w="1291" w:type="dxa"/>
            <w:vAlign w:val="center"/>
          </w:tcPr>
          <w:p w:rsidR="005404AD" w:rsidRDefault="00C20DFB">
            <w:pPr>
              <w:jc w:val="right"/>
            </w:pPr>
            <w:r>
              <w:rPr>
                <w:rFonts w:eastAsiaTheme="minorEastAsia"/>
                <w:color w:val="000000" w:themeColor="text1"/>
                <w:szCs w:val="21"/>
              </w:rPr>
              <w:t>-0.50%</w:t>
            </w:r>
          </w:p>
        </w:tc>
      </w:tr>
      <w:tr w:rsidR="005404AD">
        <w:tc>
          <w:tcPr>
            <w:tcW w:w="1290" w:type="dxa"/>
            <w:vAlign w:val="center"/>
          </w:tcPr>
          <w:p w:rsidR="005404AD" w:rsidRDefault="00C20DFB">
            <w:pPr>
              <w:jc w:val="left"/>
            </w:pPr>
            <w:r>
              <w:rPr>
                <w:rFonts w:eastAsiaTheme="minorEastAsia"/>
                <w:color w:val="000000" w:themeColor="text1"/>
                <w:szCs w:val="21"/>
              </w:rPr>
              <w:t>过去六个月</w:t>
            </w:r>
          </w:p>
        </w:tc>
        <w:tc>
          <w:tcPr>
            <w:tcW w:w="1291" w:type="dxa"/>
            <w:vAlign w:val="center"/>
          </w:tcPr>
          <w:p w:rsidR="005404AD" w:rsidRDefault="00C20DFB">
            <w:pPr>
              <w:jc w:val="right"/>
            </w:pPr>
            <w:r>
              <w:rPr>
                <w:rFonts w:eastAsiaTheme="minorEastAsia"/>
                <w:color w:val="000000" w:themeColor="text1"/>
                <w:szCs w:val="21"/>
              </w:rPr>
              <w:t>8.74%</w:t>
            </w:r>
          </w:p>
        </w:tc>
        <w:tc>
          <w:tcPr>
            <w:tcW w:w="1291" w:type="dxa"/>
            <w:vAlign w:val="center"/>
          </w:tcPr>
          <w:p w:rsidR="005404AD" w:rsidRDefault="00C20DFB">
            <w:pPr>
              <w:jc w:val="right"/>
            </w:pPr>
            <w:r>
              <w:rPr>
                <w:rFonts w:eastAsiaTheme="minorEastAsia"/>
                <w:color w:val="000000" w:themeColor="text1"/>
                <w:szCs w:val="21"/>
              </w:rPr>
              <w:t>1.14%</w:t>
            </w:r>
          </w:p>
        </w:tc>
        <w:tc>
          <w:tcPr>
            <w:tcW w:w="1291" w:type="dxa"/>
            <w:vAlign w:val="center"/>
          </w:tcPr>
          <w:p w:rsidR="005404AD" w:rsidRDefault="00C20DFB">
            <w:pPr>
              <w:jc w:val="right"/>
            </w:pPr>
            <w:r>
              <w:rPr>
                <w:rFonts w:eastAsiaTheme="minorEastAsia"/>
                <w:color w:val="000000" w:themeColor="text1"/>
                <w:szCs w:val="21"/>
              </w:rPr>
              <w:t>7.80%</w:t>
            </w:r>
          </w:p>
        </w:tc>
        <w:tc>
          <w:tcPr>
            <w:tcW w:w="1291" w:type="dxa"/>
            <w:vAlign w:val="center"/>
          </w:tcPr>
          <w:p w:rsidR="005404AD" w:rsidRDefault="00C20DFB">
            <w:pPr>
              <w:jc w:val="right"/>
            </w:pPr>
            <w:r>
              <w:rPr>
                <w:rFonts w:eastAsiaTheme="minorEastAsia"/>
                <w:color w:val="000000" w:themeColor="text1"/>
                <w:szCs w:val="21"/>
              </w:rPr>
              <w:t>1.48%</w:t>
            </w:r>
          </w:p>
        </w:tc>
        <w:tc>
          <w:tcPr>
            <w:tcW w:w="1291" w:type="dxa"/>
            <w:vAlign w:val="center"/>
          </w:tcPr>
          <w:p w:rsidR="005404AD" w:rsidRDefault="00C20DFB">
            <w:pPr>
              <w:jc w:val="right"/>
            </w:pPr>
            <w:r>
              <w:rPr>
                <w:rFonts w:eastAsiaTheme="minorEastAsia"/>
                <w:color w:val="000000" w:themeColor="text1"/>
                <w:szCs w:val="21"/>
              </w:rPr>
              <w:t>0.94%</w:t>
            </w:r>
          </w:p>
        </w:tc>
        <w:tc>
          <w:tcPr>
            <w:tcW w:w="1291" w:type="dxa"/>
            <w:vAlign w:val="center"/>
          </w:tcPr>
          <w:p w:rsidR="005404AD" w:rsidRDefault="00C20DFB">
            <w:pPr>
              <w:jc w:val="right"/>
            </w:pPr>
            <w:r>
              <w:rPr>
                <w:rFonts w:eastAsiaTheme="minorEastAsia"/>
                <w:color w:val="000000" w:themeColor="text1"/>
                <w:szCs w:val="21"/>
              </w:rPr>
              <w:t>-0.34%</w:t>
            </w:r>
          </w:p>
        </w:tc>
      </w:tr>
      <w:tr w:rsidR="005404AD">
        <w:tc>
          <w:tcPr>
            <w:tcW w:w="1290" w:type="dxa"/>
            <w:vAlign w:val="center"/>
          </w:tcPr>
          <w:p w:rsidR="005404AD" w:rsidRDefault="00C20DFB">
            <w:pPr>
              <w:jc w:val="left"/>
            </w:pPr>
            <w:r>
              <w:rPr>
                <w:rFonts w:eastAsiaTheme="minorEastAsia"/>
                <w:color w:val="000000" w:themeColor="text1"/>
                <w:szCs w:val="21"/>
              </w:rPr>
              <w:t>过去一年</w:t>
            </w:r>
          </w:p>
        </w:tc>
        <w:tc>
          <w:tcPr>
            <w:tcW w:w="1291" w:type="dxa"/>
            <w:vAlign w:val="center"/>
          </w:tcPr>
          <w:p w:rsidR="005404AD" w:rsidRDefault="00C20DFB">
            <w:pPr>
              <w:jc w:val="right"/>
            </w:pPr>
            <w:r>
              <w:rPr>
                <w:rFonts w:eastAsiaTheme="minorEastAsia"/>
                <w:color w:val="000000" w:themeColor="text1"/>
                <w:szCs w:val="21"/>
              </w:rPr>
              <w:t>4.79%</w:t>
            </w:r>
          </w:p>
        </w:tc>
        <w:tc>
          <w:tcPr>
            <w:tcW w:w="1291" w:type="dxa"/>
            <w:vAlign w:val="center"/>
          </w:tcPr>
          <w:p w:rsidR="005404AD" w:rsidRDefault="00C20DFB">
            <w:pPr>
              <w:jc w:val="right"/>
            </w:pPr>
            <w:r>
              <w:rPr>
                <w:rFonts w:eastAsiaTheme="minorEastAsia"/>
                <w:color w:val="000000" w:themeColor="text1"/>
                <w:szCs w:val="21"/>
              </w:rPr>
              <w:t>1.05%</w:t>
            </w:r>
          </w:p>
        </w:tc>
        <w:tc>
          <w:tcPr>
            <w:tcW w:w="1291" w:type="dxa"/>
            <w:vAlign w:val="center"/>
          </w:tcPr>
          <w:p w:rsidR="005404AD" w:rsidRDefault="00C20DFB">
            <w:pPr>
              <w:jc w:val="right"/>
            </w:pPr>
            <w:r>
              <w:rPr>
                <w:rFonts w:eastAsiaTheme="minorEastAsia"/>
                <w:color w:val="000000" w:themeColor="text1"/>
                <w:szCs w:val="21"/>
              </w:rPr>
              <w:t>0.87%</w:t>
            </w:r>
          </w:p>
        </w:tc>
        <w:tc>
          <w:tcPr>
            <w:tcW w:w="1291" w:type="dxa"/>
            <w:vAlign w:val="center"/>
          </w:tcPr>
          <w:p w:rsidR="005404AD" w:rsidRDefault="00C20DFB">
            <w:pPr>
              <w:jc w:val="right"/>
            </w:pPr>
            <w:r>
              <w:rPr>
                <w:rFonts w:eastAsiaTheme="minorEastAsia"/>
                <w:color w:val="000000" w:themeColor="text1"/>
                <w:szCs w:val="21"/>
              </w:rPr>
              <w:t>1.42%</w:t>
            </w:r>
          </w:p>
        </w:tc>
        <w:tc>
          <w:tcPr>
            <w:tcW w:w="1291" w:type="dxa"/>
            <w:vAlign w:val="center"/>
          </w:tcPr>
          <w:p w:rsidR="005404AD" w:rsidRDefault="00C20DFB">
            <w:pPr>
              <w:jc w:val="right"/>
            </w:pPr>
            <w:r>
              <w:rPr>
                <w:rFonts w:eastAsiaTheme="minorEastAsia"/>
                <w:color w:val="000000" w:themeColor="text1"/>
                <w:szCs w:val="21"/>
              </w:rPr>
              <w:t>3.92%</w:t>
            </w:r>
          </w:p>
        </w:tc>
        <w:tc>
          <w:tcPr>
            <w:tcW w:w="1291" w:type="dxa"/>
            <w:vAlign w:val="center"/>
          </w:tcPr>
          <w:p w:rsidR="005404AD" w:rsidRDefault="00C20DFB">
            <w:pPr>
              <w:jc w:val="right"/>
            </w:pPr>
            <w:r>
              <w:rPr>
                <w:rFonts w:eastAsiaTheme="minorEastAsia"/>
                <w:color w:val="000000" w:themeColor="text1"/>
                <w:szCs w:val="21"/>
              </w:rPr>
              <w:t>-0.37%</w:t>
            </w:r>
          </w:p>
        </w:tc>
      </w:tr>
      <w:tr w:rsidR="005404AD">
        <w:tc>
          <w:tcPr>
            <w:tcW w:w="1290" w:type="dxa"/>
            <w:vAlign w:val="center"/>
          </w:tcPr>
          <w:p w:rsidR="005404AD" w:rsidRDefault="00C20DFB">
            <w:pPr>
              <w:jc w:val="left"/>
            </w:pPr>
            <w:r>
              <w:rPr>
                <w:rFonts w:eastAsiaTheme="minorEastAsia"/>
                <w:color w:val="000000" w:themeColor="text1"/>
                <w:szCs w:val="21"/>
              </w:rPr>
              <w:t>过去三年</w:t>
            </w:r>
          </w:p>
        </w:tc>
        <w:tc>
          <w:tcPr>
            <w:tcW w:w="1291" w:type="dxa"/>
            <w:vAlign w:val="center"/>
          </w:tcPr>
          <w:p w:rsidR="005404AD" w:rsidRDefault="00C20DFB">
            <w:pPr>
              <w:jc w:val="right"/>
            </w:pPr>
            <w:r>
              <w:rPr>
                <w:rFonts w:eastAsiaTheme="minorEastAsia"/>
                <w:color w:val="000000" w:themeColor="text1"/>
                <w:szCs w:val="21"/>
              </w:rPr>
              <w:t>-33.02%</w:t>
            </w:r>
          </w:p>
        </w:tc>
        <w:tc>
          <w:tcPr>
            <w:tcW w:w="1291" w:type="dxa"/>
            <w:vAlign w:val="center"/>
          </w:tcPr>
          <w:p w:rsidR="005404AD" w:rsidRDefault="00C20DFB">
            <w:pPr>
              <w:jc w:val="right"/>
            </w:pPr>
            <w:r>
              <w:rPr>
                <w:rFonts w:eastAsiaTheme="minorEastAsia"/>
                <w:color w:val="000000" w:themeColor="text1"/>
                <w:szCs w:val="21"/>
              </w:rPr>
              <w:t>1.13%</w:t>
            </w:r>
          </w:p>
        </w:tc>
        <w:tc>
          <w:tcPr>
            <w:tcW w:w="1291" w:type="dxa"/>
            <w:vAlign w:val="center"/>
          </w:tcPr>
          <w:p w:rsidR="005404AD" w:rsidRDefault="00C20DFB">
            <w:pPr>
              <w:jc w:val="right"/>
            </w:pPr>
            <w:r>
              <w:rPr>
                <w:rFonts w:eastAsiaTheme="minorEastAsia"/>
                <w:color w:val="000000" w:themeColor="text1"/>
                <w:szCs w:val="21"/>
              </w:rPr>
              <w:t>-17.13%</w:t>
            </w:r>
          </w:p>
        </w:tc>
        <w:tc>
          <w:tcPr>
            <w:tcW w:w="1291" w:type="dxa"/>
            <w:vAlign w:val="center"/>
          </w:tcPr>
          <w:p w:rsidR="005404AD" w:rsidRDefault="00C20DFB">
            <w:pPr>
              <w:jc w:val="right"/>
            </w:pPr>
            <w:r>
              <w:rPr>
                <w:rFonts w:eastAsiaTheme="minorEastAsia"/>
                <w:color w:val="000000" w:themeColor="text1"/>
                <w:szCs w:val="21"/>
              </w:rPr>
              <w:t>1.16%</w:t>
            </w:r>
          </w:p>
        </w:tc>
        <w:tc>
          <w:tcPr>
            <w:tcW w:w="1291" w:type="dxa"/>
            <w:vAlign w:val="center"/>
          </w:tcPr>
          <w:p w:rsidR="005404AD" w:rsidRDefault="00C20DFB">
            <w:pPr>
              <w:jc w:val="right"/>
            </w:pPr>
            <w:r>
              <w:rPr>
                <w:rFonts w:eastAsiaTheme="minorEastAsia"/>
                <w:color w:val="000000" w:themeColor="text1"/>
                <w:szCs w:val="21"/>
              </w:rPr>
              <w:t>-15.89%</w:t>
            </w:r>
          </w:p>
        </w:tc>
        <w:tc>
          <w:tcPr>
            <w:tcW w:w="1291" w:type="dxa"/>
            <w:vAlign w:val="center"/>
          </w:tcPr>
          <w:p w:rsidR="005404AD" w:rsidRDefault="00C20DFB">
            <w:pPr>
              <w:jc w:val="right"/>
            </w:pPr>
            <w:r>
              <w:rPr>
                <w:rFonts w:eastAsiaTheme="minorEastAsia"/>
                <w:color w:val="000000" w:themeColor="text1"/>
                <w:szCs w:val="21"/>
              </w:rPr>
              <w:t>-0.03%</w:t>
            </w:r>
          </w:p>
        </w:tc>
      </w:tr>
      <w:tr w:rsidR="005404AD">
        <w:tc>
          <w:tcPr>
            <w:tcW w:w="1290" w:type="dxa"/>
            <w:vAlign w:val="center"/>
          </w:tcPr>
          <w:p w:rsidR="005404AD" w:rsidRDefault="00C20DFB">
            <w:pPr>
              <w:jc w:val="left"/>
            </w:pPr>
            <w:r>
              <w:rPr>
                <w:rFonts w:eastAsiaTheme="minorEastAsia"/>
                <w:color w:val="000000" w:themeColor="text1"/>
                <w:szCs w:val="21"/>
              </w:rPr>
              <w:t>过去五年</w:t>
            </w:r>
          </w:p>
        </w:tc>
        <w:tc>
          <w:tcPr>
            <w:tcW w:w="1291" w:type="dxa"/>
            <w:vAlign w:val="center"/>
          </w:tcPr>
          <w:p w:rsidR="005404AD" w:rsidRDefault="00C20DFB">
            <w:pPr>
              <w:jc w:val="right"/>
            </w:pPr>
            <w:r>
              <w:rPr>
                <w:rFonts w:eastAsiaTheme="minorEastAsia"/>
                <w:color w:val="000000" w:themeColor="text1"/>
                <w:szCs w:val="21"/>
              </w:rPr>
              <w:t>-</w:t>
            </w:r>
          </w:p>
        </w:tc>
        <w:tc>
          <w:tcPr>
            <w:tcW w:w="1291" w:type="dxa"/>
            <w:vAlign w:val="center"/>
          </w:tcPr>
          <w:p w:rsidR="005404AD" w:rsidRDefault="00C20DFB">
            <w:pPr>
              <w:jc w:val="right"/>
            </w:pPr>
            <w:r>
              <w:rPr>
                <w:rFonts w:eastAsiaTheme="minorEastAsia"/>
                <w:color w:val="000000" w:themeColor="text1"/>
                <w:szCs w:val="21"/>
              </w:rPr>
              <w:t>-</w:t>
            </w:r>
          </w:p>
        </w:tc>
        <w:tc>
          <w:tcPr>
            <w:tcW w:w="1291" w:type="dxa"/>
            <w:vAlign w:val="center"/>
          </w:tcPr>
          <w:p w:rsidR="005404AD" w:rsidRDefault="00C20DFB">
            <w:pPr>
              <w:jc w:val="right"/>
            </w:pPr>
            <w:r>
              <w:rPr>
                <w:rFonts w:eastAsiaTheme="minorEastAsia"/>
                <w:color w:val="000000" w:themeColor="text1"/>
                <w:szCs w:val="21"/>
              </w:rPr>
              <w:t>-</w:t>
            </w:r>
          </w:p>
        </w:tc>
        <w:tc>
          <w:tcPr>
            <w:tcW w:w="1291" w:type="dxa"/>
            <w:vAlign w:val="center"/>
          </w:tcPr>
          <w:p w:rsidR="005404AD" w:rsidRDefault="00C20DFB">
            <w:pPr>
              <w:jc w:val="right"/>
            </w:pPr>
            <w:r>
              <w:rPr>
                <w:rFonts w:eastAsiaTheme="minorEastAsia"/>
                <w:color w:val="000000" w:themeColor="text1"/>
                <w:szCs w:val="21"/>
              </w:rPr>
              <w:t>-</w:t>
            </w:r>
          </w:p>
        </w:tc>
        <w:tc>
          <w:tcPr>
            <w:tcW w:w="1291" w:type="dxa"/>
            <w:vAlign w:val="center"/>
          </w:tcPr>
          <w:p w:rsidR="005404AD" w:rsidRDefault="00C20DFB">
            <w:pPr>
              <w:jc w:val="right"/>
            </w:pPr>
            <w:r>
              <w:rPr>
                <w:rFonts w:eastAsiaTheme="minorEastAsia"/>
                <w:color w:val="000000" w:themeColor="text1"/>
                <w:szCs w:val="21"/>
              </w:rPr>
              <w:t>-</w:t>
            </w:r>
          </w:p>
        </w:tc>
        <w:tc>
          <w:tcPr>
            <w:tcW w:w="1291" w:type="dxa"/>
            <w:vAlign w:val="center"/>
          </w:tcPr>
          <w:p w:rsidR="005404AD" w:rsidRDefault="00C20DFB">
            <w:pPr>
              <w:jc w:val="right"/>
            </w:pPr>
            <w:r>
              <w:rPr>
                <w:rFonts w:eastAsiaTheme="minorEastAsia"/>
                <w:color w:val="000000" w:themeColor="text1"/>
                <w:szCs w:val="21"/>
              </w:rPr>
              <w:t>-</w:t>
            </w:r>
          </w:p>
        </w:tc>
      </w:tr>
      <w:tr w:rsidR="005404AD">
        <w:tc>
          <w:tcPr>
            <w:tcW w:w="1290" w:type="dxa"/>
            <w:vAlign w:val="center"/>
          </w:tcPr>
          <w:p w:rsidR="005404AD" w:rsidRDefault="00C20DFB">
            <w:pPr>
              <w:jc w:val="left"/>
            </w:pPr>
            <w:r>
              <w:rPr>
                <w:rFonts w:eastAsiaTheme="minorEastAsia"/>
                <w:color w:val="000000" w:themeColor="text1"/>
                <w:szCs w:val="21"/>
              </w:rPr>
              <w:t>自基金合同生效起至今</w:t>
            </w:r>
          </w:p>
        </w:tc>
        <w:tc>
          <w:tcPr>
            <w:tcW w:w="1291" w:type="dxa"/>
            <w:vAlign w:val="center"/>
          </w:tcPr>
          <w:p w:rsidR="005404AD" w:rsidRDefault="00C20DFB">
            <w:pPr>
              <w:jc w:val="right"/>
            </w:pPr>
            <w:r>
              <w:rPr>
                <w:rFonts w:eastAsiaTheme="minorEastAsia"/>
                <w:color w:val="000000" w:themeColor="text1"/>
                <w:szCs w:val="21"/>
              </w:rPr>
              <w:t>-6.33%</w:t>
            </w:r>
          </w:p>
        </w:tc>
        <w:tc>
          <w:tcPr>
            <w:tcW w:w="1291" w:type="dxa"/>
            <w:vAlign w:val="center"/>
          </w:tcPr>
          <w:p w:rsidR="005404AD" w:rsidRDefault="00C20DFB">
            <w:pPr>
              <w:jc w:val="right"/>
            </w:pPr>
            <w:r>
              <w:rPr>
                <w:rFonts w:eastAsiaTheme="minorEastAsia"/>
                <w:color w:val="000000" w:themeColor="text1"/>
                <w:szCs w:val="21"/>
              </w:rPr>
              <w:t>1.26%</w:t>
            </w:r>
          </w:p>
        </w:tc>
        <w:tc>
          <w:tcPr>
            <w:tcW w:w="1291" w:type="dxa"/>
            <w:vAlign w:val="center"/>
          </w:tcPr>
          <w:p w:rsidR="005404AD" w:rsidRDefault="00C20DFB">
            <w:pPr>
              <w:jc w:val="right"/>
            </w:pPr>
            <w:r>
              <w:rPr>
                <w:rFonts w:eastAsiaTheme="minorEastAsia"/>
                <w:color w:val="000000" w:themeColor="text1"/>
                <w:szCs w:val="21"/>
              </w:rPr>
              <w:t>2.63%</w:t>
            </w:r>
          </w:p>
        </w:tc>
        <w:tc>
          <w:tcPr>
            <w:tcW w:w="1291" w:type="dxa"/>
            <w:vAlign w:val="center"/>
          </w:tcPr>
          <w:p w:rsidR="005404AD" w:rsidRDefault="00C20DFB">
            <w:pPr>
              <w:jc w:val="right"/>
            </w:pPr>
            <w:r>
              <w:rPr>
                <w:rFonts w:eastAsiaTheme="minorEastAsia"/>
                <w:color w:val="000000" w:themeColor="text1"/>
                <w:szCs w:val="21"/>
              </w:rPr>
              <w:t>1.14%</w:t>
            </w:r>
          </w:p>
        </w:tc>
        <w:tc>
          <w:tcPr>
            <w:tcW w:w="1291" w:type="dxa"/>
            <w:vAlign w:val="center"/>
          </w:tcPr>
          <w:p w:rsidR="005404AD" w:rsidRDefault="00C20DFB">
            <w:pPr>
              <w:jc w:val="right"/>
            </w:pPr>
            <w:r>
              <w:rPr>
                <w:rFonts w:eastAsiaTheme="minorEastAsia"/>
                <w:color w:val="000000" w:themeColor="text1"/>
                <w:szCs w:val="21"/>
              </w:rPr>
              <w:t>-8.96%</w:t>
            </w:r>
          </w:p>
        </w:tc>
        <w:tc>
          <w:tcPr>
            <w:tcW w:w="1291" w:type="dxa"/>
            <w:vAlign w:val="center"/>
          </w:tcPr>
          <w:p w:rsidR="005404AD" w:rsidRDefault="00C20DFB">
            <w:pPr>
              <w:jc w:val="right"/>
            </w:pPr>
            <w:r>
              <w:rPr>
                <w:rFonts w:eastAsiaTheme="minorEastAsia"/>
                <w:color w:val="000000" w:themeColor="text1"/>
                <w:szCs w:val="21"/>
              </w:rPr>
              <w:t>0.12%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摩根研究驱动股票型证券投资基金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．摩根研究驱动股票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．摩根研究驱动股票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404AD" w:rsidRDefault="00C20DF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404AD">
        <w:tc>
          <w:tcPr>
            <w:tcW w:w="952" w:type="dxa"/>
            <w:vAlign w:val="center"/>
          </w:tcPr>
          <w:p w:rsidR="005404AD" w:rsidRDefault="00C20DFB">
            <w:pPr>
              <w:jc w:val="center"/>
            </w:pPr>
            <w:r>
              <w:rPr>
                <w:rFonts w:eastAsiaTheme="minorEastAsia"/>
                <w:color w:val="000000" w:themeColor="text1"/>
                <w:szCs w:val="21"/>
              </w:rPr>
              <w:t>朱晓龙</w:t>
            </w:r>
          </w:p>
        </w:tc>
        <w:tc>
          <w:tcPr>
            <w:tcW w:w="930" w:type="dxa"/>
            <w:vAlign w:val="center"/>
          </w:tcPr>
          <w:p w:rsidR="005404AD" w:rsidRDefault="00C20DFB">
            <w:pPr>
              <w:jc w:val="center"/>
            </w:pPr>
            <w:r>
              <w:rPr>
                <w:rFonts w:eastAsiaTheme="minorEastAsia"/>
                <w:color w:val="000000" w:themeColor="text1"/>
                <w:szCs w:val="21"/>
              </w:rPr>
              <w:t>本基金基金经理、研究部总监</w:t>
            </w:r>
          </w:p>
        </w:tc>
        <w:tc>
          <w:tcPr>
            <w:tcW w:w="1210" w:type="dxa"/>
            <w:vAlign w:val="center"/>
          </w:tcPr>
          <w:p w:rsidR="005404AD" w:rsidRDefault="00C20DFB">
            <w:pPr>
              <w:jc w:val="center"/>
            </w:pPr>
            <w:r>
              <w:rPr>
                <w:rFonts w:eastAsiaTheme="minorEastAsia"/>
                <w:color w:val="000000" w:themeColor="text1"/>
                <w:szCs w:val="21"/>
              </w:rPr>
              <w:t>2020-06-12</w:t>
            </w:r>
          </w:p>
        </w:tc>
        <w:tc>
          <w:tcPr>
            <w:tcW w:w="1309" w:type="dxa"/>
            <w:vAlign w:val="center"/>
          </w:tcPr>
          <w:p w:rsidR="005404AD" w:rsidRDefault="00C20DFB">
            <w:pPr>
              <w:jc w:val="center"/>
            </w:pPr>
            <w:r>
              <w:rPr>
                <w:rFonts w:eastAsiaTheme="minorEastAsia"/>
                <w:color w:val="000000" w:themeColor="text1"/>
                <w:szCs w:val="21"/>
              </w:rPr>
              <w:t>-</w:t>
            </w:r>
          </w:p>
        </w:tc>
        <w:tc>
          <w:tcPr>
            <w:tcW w:w="1254" w:type="dxa"/>
            <w:vAlign w:val="center"/>
          </w:tcPr>
          <w:p w:rsidR="005404AD" w:rsidRDefault="00C20DFB">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5404AD" w:rsidRDefault="00C20DFB">
            <w:r>
              <w:rPr>
                <w:rFonts w:eastAsiaTheme="minorEastAsia"/>
                <w:color w:val="000000" w:themeColor="text1"/>
                <w:szCs w:val="21"/>
              </w:rPr>
              <w:t>朱晓龙先生曾任平安资产管理有限责任公司研究员。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月起加入摩根基金管理（中国）有限公司（原上投摩根基金管理有限公司），历任行业专家、研究部副总监兼研究基助、研究部总监兼基金经理助理，现任研究部总监兼基金经理。</w:t>
            </w:r>
          </w:p>
        </w:tc>
      </w:tr>
    </w:tbl>
    <w:p w:rsidR="005404AD" w:rsidRDefault="00C20DF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404AD" w:rsidRDefault="00C20DF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朱晓龙先生为本基金首任基金经理，其任职日期为本基金基金合同生效之日；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5404AD" w:rsidRDefault="00C20DF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rsidR="005404AD" w:rsidRDefault="00C20DF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5404AD" w:rsidRDefault="00C20DF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5404AD" w:rsidRDefault="00C20DFB">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年第三季度，</w:t>
      </w:r>
      <w:r>
        <w:rPr>
          <w:rFonts w:eastAsiaTheme="minorEastAsia"/>
          <w:color w:val="000000" w:themeColor="text1"/>
          <w:szCs w:val="21"/>
        </w:rPr>
        <w:t>A</w:t>
      </w:r>
      <w:r>
        <w:rPr>
          <w:rFonts w:eastAsiaTheme="minorEastAsia"/>
          <w:color w:val="000000" w:themeColor="text1"/>
          <w:szCs w:val="21"/>
        </w:rPr>
        <w:t>股整体先抑后扬走势，以申万行业分类统计来看非银金融、房地产、计算机、综合、商业贸易表现相对靠前；采掘、公用事业、农林牧渔、建筑装饰、有色金属表现相对落后。</w:t>
      </w:r>
    </w:p>
    <w:p w:rsidR="005404AD" w:rsidRDefault="00C20DFB">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基本面：商品消费、出口仍支撑生产韧性，建筑施工、地产成交同比继续走弱。经济板块的景气度上，我们观察到是出口、商品消费、二手房成交这样的排序，但从</w:t>
      </w:r>
      <w:r>
        <w:rPr>
          <w:rFonts w:eastAsiaTheme="minorEastAsia"/>
          <w:color w:val="000000" w:themeColor="text1"/>
          <w:szCs w:val="21"/>
        </w:rPr>
        <w:t>9</w:t>
      </w:r>
      <w:r>
        <w:rPr>
          <w:rFonts w:eastAsiaTheme="minorEastAsia"/>
          <w:color w:val="000000" w:themeColor="text1"/>
          <w:szCs w:val="21"/>
        </w:rPr>
        <w:t>月底政治局会议的表态看，我们明显看到了高层对经济的切实关切，年内后面几个月逆周期调节动力和措施有望增强。明确财政政策在逆周期调节中的必要性、重要性，明确要促进房地产市场止跌回稳，如果这些措</w:t>
      </w:r>
      <w:r>
        <w:rPr>
          <w:rFonts w:eastAsiaTheme="minorEastAsia"/>
          <w:color w:val="000000" w:themeColor="text1"/>
          <w:szCs w:val="21"/>
        </w:rPr>
        <w:t>施能有力落实，无疑会对未来经济增长形成强有力的推动。</w:t>
      </w:r>
    </w:p>
    <w:p w:rsidR="005404AD" w:rsidRDefault="00C20DFB">
      <w:pPr>
        <w:spacing w:line="360" w:lineRule="auto"/>
        <w:ind w:firstLineChars="200" w:firstLine="420"/>
        <w:rPr>
          <w:rFonts w:eastAsiaTheme="minorEastAsia"/>
          <w:color w:val="000000" w:themeColor="text1"/>
          <w:szCs w:val="21"/>
        </w:rPr>
      </w:pPr>
      <w:r>
        <w:rPr>
          <w:rFonts w:eastAsiaTheme="minorEastAsia"/>
          <w:color w:val="000000" w:themeColor="text1"/>
          <w:szCs w:val="21"/>
        </w:rPr>
        <w:t>资金面：外部环境来看，市场已经在交易美债利率下行，未来有望逐步看到外部金融条件改善；国内情况来看，央行持续推动降准，下调存量地产利率，我们判断整体资金环境会维持友好的态势。</w:t>
      </w:r>
    </w:p>
    <w:p w:rsidR="005404AD" w:rsidRDefault="00C20DFB">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制造业是我国的重要产业支柱，随着高质量发展的深入推进，相信未来会有越来越多的优质制造公司能将国内的成功推广到国际市场上，构成拉动我们经济的重要力量，我国出口型企业仍面临大的舞台机遇。</w:t>
      </w:r>
      <w:r>
        <w:rPr>
          <w:rFonts w:eastAsiaTheme="minorEastAsia"/>
          <w:color w:val="000000" w:themeColor="text1"/>
          <w:szCs w:val="21"/>
        </w:rPr>
        <w:t>A</w:t>
      </w:r>
      <w:r>
        <w:rPr>
          <w:rFonts w:eastAsiaTheme="minorEastAsia"/>
          <w:color w:val="000000" w:themeColor="text1"/>
          <w:szCs w:val="21"/>
        </w:rPr>
        <w:t>股目前的估值处于历史低位水平，在目前估值水平下，从选股的角度，我们发现不论是高股息板块还是</w:t>
      </w:r>
      <w:r>
        <w:rPr>
          <w:rFonts w:eastAsiaTheme="minorEastAsia"/>
          <w:color w:val="000000" w:themeColor="text1"/>
          <w:szCs w:val="21"/>
        </w:rPr>
        <w:t>科技成长板块，都具有值得深度挖掘的相关细分。此外，高端制造、产业升级是我国经济未来提升全球竞争力的重要突破领域，我们仍将保持持续关注，力争分享经济提质带来的红利。</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关于基金运作，在个股配置方面，未来本基金将加大各行业中成长性与估值相对匹配的公司进行配置。在行业配置上，我们坚持较为均衡的行业配置思路，追求通过选股获取合理的超额收益。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5404AD" w:rsidRDefault="00C20DF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本报告期摩根研究驱动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:8.82%</w:t>
      </w:r>
      <w:r>
        <w:rPr>
          <w:rFonts w:eastAsiaTheme="minorEastAsia"/>
          <w:color w:val="000000" w:themeColor="text1"/>
          <w:szCs w:val="21"/>
        </w:rPr>
        <w:t>，同期业绩比较基准收益率为</w:t>
      </w:r>
      <w:r>
        <w:rPr>
          <w:rFonts w:eastAsiaTheme="minorEastAsia"/>
          <w:color w:val="000000" w:themeColor="text1"/>
          <w:szCs w:val="21"/>
        </w:rPr>
        <w:t>:14.58%</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摩根研究驱动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:8.60%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:14.58%</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404AD" w:rsidRDefault="00C20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07</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09</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41,599,083.01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91.24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41,599,083.01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91.24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3,972,026.35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21,429.88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45,592,539.24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26,278,910.51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57.92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1,023,780.00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477,342.00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2,268,200.00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11,550,850.50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25.46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41,599,083.01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91.68</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5404AD">
        <w:tc>
          <w:tcPr>
            <w:tcW w:w="817" w:type="dxa"/>
            <w:vAlign w:val="center"/>
          </w:tcPr>
          <w:p w:rsidR="005404AD" w:rsidRDefault="00C20DFB">
            <w:pPr>
              <w:jc w:val="center"/>
            </w:pPr>
            <w:r>
              <w:rPr>
                <w:rFonts w:eastAsiaTheme="minorEastAsia"/>
                <w:kern w:val="0"/>
                <w:szCs w:val="21"/>
              </w:rPr>
              <w:t>1</w:t>
            </w:r>
          </w:p>
        </w:tc>
        <w:tc>
          <w:tcPr>
            <w:tcW w:w="1276" w:type="dxa"/>
            <w:vAlign w:val="center"/>
          </w:tcPr>
          <w:p w:rsidR="005404AD" w:rsidRDefault="00C20DFB">
            <w:pPr>
              <w:jc w:val="center"/>
            </w:pPr>
            <w:r>
              <w:rPr>
                <w:rFonts w:eastAsiaTheme="minorEastAsia"/>
                <w:kern w:val="0"/>
                <w:szCs w:val="21"/>
              </w:rPr>
              <w:t>300750</w:t>
            </w:r>
          </w:p>
        </w:tc>
        <w:tc>
          <w:tcPr>
            <w:tcW w:w="1701" w:type="dxa"/>
            <w:vAlign w:val="center"/>
          </w:tcPr>
          <w:p w:rsidR="005404AD" w:rsidRDefault="00C20DFB">
            <w:pPr>
              <w:jc w:val="center"/>
            </w:pPr>
            <w:r>
              <w:rPr>
                <w:rFonts w:eastAsiaTheme="minorEastAsia"/>
                <w:kern w:val="0"/>
                <w:szCs w:val="21"/>
              </w:rPr>
              <w:t>宁德时代</w:t>
            </w:r>
          </w:p>
        </w:tc>
        <w:tc>
          <w:tcPr>
            <w:tcW w:w="1276" w:type="dxa"/>
            <w:vAlign w:val="center"/>
          </w:tcPr>
          <w:p w:rsidR="005404AD" w:rsidRDefault="00C20DFB">
            <w:pPr>
              <w:jc w:val="right"/>
            </w:pPr>
            <w:r>
              <w:rPr>
                <w:rFonts w:eastAsiaTheme="minorEastAsia"/>
                <w:kern w:val="0"/>
                <w:szCs w:val="21"/>
              </w:rPr>
              <w:t>7,900.00</w:t>
            </w:r>
          </w:p>
        </w:tc>
        <w:tc>
          <w:tcPr>
            <w:tcW w:w="1842" w:type="dxa"/>
            <w:vAlign w:val="center"/>
          </w:tcPr>
          <w:p w:rsidR="005404AD" w:rsidRDefault="00C20DFB">
            <w:pPr>
              <w:jc w:val="right"/>
            </w:pPr>
            <w:r>
              <w:rPr>
                <w:rFonts w:eastAsiaTheme="minorEastAsia"/>
                <w:kern w:val="0"/>
                <w:szCs w:val="21"/>
              </w:rPr>
              <w:t>1,989,931.00</w:t>
            </w:r>
          </w:p>
        </w:tc>
        <w:tc>
          <w:tcPr>
            <w:tcW w:w="1616" w:type="dxa"/>
            <w:vAlign w:val="center"/>
          </w:tcPr>
          <w:p w:rsidR="005404AD" w:rsidRDefault="00C20DFB">
            <w:pPr>
              <w:jc w:val="right"/>
            </w:pPr>
            <w:r>
              <w:rPr>
                <w:rFonts w:eastAsiaTheme="minorEastAsia"/>
                <w:kern w:val="0"/>
                <w:szCs w:val="21"/>
              </w:rPr>
              <w:t>4.39</w:t>
            </w:r>
          </w:p>
        </w:tc>
      </w:tr>
      <w:tr w:rsidR="005404AD">
        <w:tc>
          <w:tcPr>
            <w:tcW w:w="817" w:type="dxa"/>
            <w:vAlign w:val="center"/>
          </w:tcPr>
          <w:p w:rsidR="005404AD" w:rsidRDefault="00C20DFB">
            <w:pPr>
              <w:jc w:val="center"/>
            </w:pPr>
            <w:r>
              <w:rPr>
                <w:rFonts w:eastAsiaTheme="minorEastAsia"/>
                <w:kern w:val="0"/>
                <w:szCs w:val="21"/>
              </w:rPr>
              <w:t>2</w:t>
            </w:r>
          </w:p>
        </w:tc>
        <w:tc>
          <w:tcPr>
            <w:tcW w:w="1276" w:type="dxa"/>
            <w:vAlign w:val="center"/>
          </w:tcPr>
          <w:p w:rsidR="005404AD" w:rsidRDefault="00C20DFB">
            <w:pPr>
              <w:jc w:val="center"/>
            </w:pPr>
            <w:r>
              <w:rPr>
                <w:rFonts w:eastAsiaTheme="minorEastAsia"/>
                <w:kern w:val="0"/>
                <w:szCs w:val="21"/>
              </w:rPr>
              <w:t>688981</w:t>
            </w:r>
          </w:p>
        </w:tc>
        <w:tc>
          <w:tcPr>
            <w:tcW w:w="1701" w:type="dxa"/>
            <w:vAlign w:val="center"/>
          </w:tcPr>
          <w:p w:rsidR="005404AD" w:rsidRDefault="00C20DFB">
            <w:pPr>
              <w:jc w:val="center"/>
            </w:pPr>
            <w:r>
              <w:rPr>
                <w:rFonts w:eastAsiaTheme="minorEastAsia"/>
                <w:kern w:val="0"/>
                <w:szCs w:val="21"/>
              </w:rPr>
              <w:t>中芯国际</w:t>
            </w:r>
          </w:p>
        </w:tc>
        <w:tc>
          <w:tcPr>
            <w:tcW w:w="1276" w:type="dxa"/>
            <w:vAlign w:val="center"/>
          </w:tcPr>
          <w:p w:rsidR="005404AD" w:rsidRDefault="00C20DFB">
            <w:pPr>
              <w:jc w:val="right"/>
            </w:pPr>
            <w:r>
              <w:rPr>
                <w:rFonts w:eastAsiaTheme="minorEastAsia"/>
                <w:kern w:val="0"/>
                <w:szCs w:val="21"/>
              </w:rPr>
              <w:t>27,128.00</w:t>
            </w:r>
          </w:p>
        </w:tc>
        <w:tc>
          <w:tcPr>
            <w:tcW w:w="1842" w:type="dxa"/>
            <w:vAlign w:val="center"/>
          </w:tcPr>
          <w:p w:rsidR="005404AD" w:rsidRDefault="00C20DFB">
            <w:pPr>
              <w:jc w:val="right"/>
            </w:pPr>
            <w:r>
              <w:rPr>
                <w:rFonts w:eastAsiaTheme="minorEastAsia"/>
                <w:kern w:val="0"/>
                <w:szCs w:val="21"/>
              </w:rPr>
              <w:t>1,627,408.72</w:t>
            </w:r>
          </w:p>
        </w:tc>
        <w:tc>
          <w:tcPr>
            <w:tcW w:w="1616" w:type="dxa"/>
            <w:vAlign w:val="center"/>
          </w:tcPr>
          <w:p w:rsidR="005404AD" w:rsidRDefault="00C20DFB">
            <w:pPr>
              <w:jc w:val="right"/>
            </w:pPr>
            <w:r>
              <w:rPr>
                <w:rFonts w:eastAsiaTheme="minorEastAsia"/>
                <w:kern w:val="0"/>
                <w:szCs w:val="21"/>
              </w:rPr>
              <w:t>3.59</w:t>
            </w:r>
          </w:p>
        </w:tc>
      </w:tr>
      <w:tr w:rsidR="005404AD">
        <w:tc>
          <w:tcPr>
            <w:tcW w:w="817" w:type="dxa"/>
            <w:vAlign w:val="center"/>
          </w:tcPr>
          <w:p w:rsidR="005404AD" w:rsidRDefault="00C20DFB">
            <w:pPr>
              <w:jc w:val="center"/>
            </w:pPr>
            <w:r>
              <w:rPr>
                <w:rFonts w:eastAsiaTheme="minorEastAsia"/>
                <w:kern w:val="0"/>
                <w:szCs w:val="21"/>
              </w:rPr>
              <w:t>3</w:t>
            </w:r>
          </w:p>
        </w:tc>
        <w:tc>
          <w:tcPr>
            <w:tcW w:w="1276" w:type="dxa"/>
            <w:vAlign w:val="center"/>
          </w:tcPr>
          <w:p w:rsidR="005404AD" w:rsidRDefault="00C20DFB">
            <w:pPr>
              <w:jc w:val="center"/>
            </w:pPr>
            <w:r>
              <w:rPr>
                <w:rFonts w:eastAsiaTheme="minorEastAsia"/>
                <w:kern w:val="0"/>
                <w:szCs w:val="21"/>
              </w:rPr>
              <w:t>600031</w:t>
            </w:r>
          </w:p>
        </w:tc>
        <w:tc>
          <w:tcPr>
            <w:tcW w:w="1701" w:type="dxa"/>
            <w:vAlign w:val="center"/>
          </w:tcPr>
          <w:p w:rsidR="005404AD" w:rsidRDefault="00C20DFB">
            <w:pPr>
              <w:jc w:val="center"/>
            </w:pPr>
            <w:r>
              <w:rPr>
                <w:rFonts w:eastAsiaTheme="minorEastAsia"/>
                <w:kern w:val="0"/>
                <w:szCs w:val="21"/>
              </w:rPr>
              <w:t>三一重工</w:t>
            </w:r>
          </w:p>
        </w:tc>
        <w:tc>
          <w:tcPr>
            <w:tcW w:w="1276" w:type="dxa"/>
            <w:vAlign w:val="center"/>
          </w:tcPr>
          <w:p w:rsidR="005404AD" w:rsidRDefault="00C20DFB">
            <w:pPr>
              <w:jc w:val="right"/>
            </w:pPr>
            <w:r>
              <w:rPr>
                <w:rFonts w:eastAsiaTheme="minorEastAsia"/>
                <w:kern w:val="0"/>
                <w:szCs w:val="21"/>
              </w:rPr>
              <w:t>84,700.00</w:t>
            </w:r>
          </w:p>
        </w:tc>
        <w:tc>
          <w:tcPr>
            <w:tcW w:w="1842" w:type="dxa"/>
            <w:vAlign w:val="center"/>
          </w:tcPr>
          <w:p w:rsidR="005404AD" w:rsidRDefault="00C20DFB">
            <w:pPr>
              <w:jc w:val="right"/>
            </w:pPr>
            <w:r>
              <w:rPr>
                <w:rFonts w:eastAsiaTheme="minorEastAsia"/>
                <w:kern w:val="0"/>
                <w:szCs w:val="21"/>
              </w:rPr>
              <w:t>1,599,136.00</w:t>
            </w:r>
          </w:p>
        </w:tc>
        <w:tc>
          <w:tcPr>
            <w:tcW w:w="1616" w:type="dxa"/>
            <w:vAlign w:val="center"/>
          </w:tcPr>
          <w:p w:rsidR="005404AD" w:rsidRDefault="00C20DFB">
            <w:pPr>
              <w:jc w:val="right"/>
            </w:pPr>
            <w:r>
              <w:rPr>
                <w:rFonts w:eastAsiaTheme="minorEastAsia"/>
                <w:kern w:val="0"/>
                <w:szCs w:val="21"/>
              </w:rPr>
              <w:t>3.52</w:t>
            </w:r>
          </w:p>
        </w:tc>
      </w:tr>
      <w:tr w:rsidR="005404AD">
        <w:tc>
          <w:tcPr>
            <w:tcW w:w="817" w:type="dxa"/>
            <w:vAlign w:val="center"/>
          </w:tcPr>
          <w:p w:rsidR="005404AD" w:rsidRDefault="00C20DFB">
            <w:pPr>
              <w:jc w:val="center"/>
            </w:pPr>
            <w:r>
              <w:rPr>
                <w:rFonts w:eastAsiaTheme="minorEastAsia"/>
                <w:kern w:val="0"/>
                <w:szCs w:val="21"/>
              </w:rPr>
              <w:t>4</w:t>
            </w:r>
          </w:p>
        </w:tc>
        <w:tc>
          <w:tcPr>
            <w:tcW w:w="1276" w:type="dxa"/>
            <w:vAlign w:val="center"/>
          </w:tcPr>
          <w:p w:rsidR="005404AD" w:rsidRDefault="00C20DFB">
            <w:pPr>
              <w:jc w:val="center"/>
            </w:pPr>
            <w:r>
              <w:rPr>
                <w:rFonts w:eastAsiaTheme="minorEastAsia"/>
                <w:kern w:val="0"/>
                <w:szCs w:val="21"/>
              </w:rPr>
              <w:t>603444</w:t>
            </w:r>
          </w:p>
        </w:tc>
        <w:tc>
          <w:tcPr>
            <w:tcW w:w="1701" w:type="dxa"/>
            <w:vAlign w:val="center"/>
          </w:tcPr>
          <w:p w:rsidR="005404AD" w:rsidRDefault="00C20DFB">
            <w:pPr>
              <w:jc w:val="center"/>
            </w:pPr>
            <w:r>
              <w:rPr>
                <w:rFonts w:eastAsiaTheme="minorEastAsia"/>
                <w:kern w:val="0"/>
                <w:szCs w:val="21"/>
              </w:rPr>
              <w:t>吉比特</w:t>
            </w:r>
          </w:p>
        </w:tc>
        <w:tc>
          <w:tcPr>
            <w:tcW w:w="1276" w:type="dxa"/>
            <w:vAlign w:val="center"/>
          </w:tcPr>
          <w:p w:rsidR="005404AD" w:rsidRDefault="00C20DFB">
            <w:pPr>
              <w:jc w:val="right"/>
            </w:pPr>
            <w:r>
              <w:rPr>
                <w:rFonts w:eastAsiaTheme="minorEastAsia"/>
                <w:kern w:val="0"/>
                <w:szCs w:val="21"/>
              </w:rPr>
              <w:t>6,300.00</w:t>
            </w:r>
          </w:p>
        </w:tc>
        <w:tc>
          <w:tcPr>
            <w:tcW w:w="1842" w:type="dxa"/>
            <w:vAlign w:val="center"/>
          </w:tcPr>
          <w:p w:rsidR="005404AD" w:rsidRDefault="00C20DFB">
            <w:pPr>
              <w:jc w:val="right"/>
            </w:pPr>
            <w:r>
              <w:rPr>
                <w:rFonts w:eastAsiaTheme="minorEastAsia"/>
                <w:kern w:val="0"/>
                <w:szCs w:val="21"/>
              </w:rPr>
              <w:t>1,538,460.00</w:t>
            </w:r>
          </w:p>
        </w:tc>
        <w:tc>
          <w:tcPr>
            <w:tcW w:w="1616" w:type="dxa"/>
            <w:vAlign w:val="center"/>
          </w:tcPr>
          <w:p w:rsidR="005404AD" w:rsidRDefault="00C20DFB">
            <w:pPr>
              <w:jc w:val="right"/>
            </w:pPr>
            <w:r>
              <w:rPr>
                <w:rFonts w:eastAsiaTheme="minorEastAsia"/>
                <w:kern w:val="0"/>
                <w:szCs w:val="21"/>
              </w:rPr>
              <w:t>3.39</w:t>
            </w:r>
          </w:p>
        </w:tc>
      </w:tr>
      <w:tr w:rsidR="005404AD">
        <w:tc>
          <w:tcPr>
            <w:tcW w:w="817" w:type="dxa"/>
            <w:vAlign w:val="center"/>
          </w:tcPr>
          <w:p w:rsidR="005404AD" w:rsidRDefault="00C20DFB">
            <w:pPr>
              <w:jc w:val="center"/>
            </w:pPr>
            <w:r>
              <w:rPr>
                <w:rFonts w:eastAsiaTheme="minorEastAsia"/>
                <w:kern w:val="0"/>
                <w:szCs w:val="21"/>
              </w:rPr>
              <w:t>5</w:t>
            </w:r>
          </w:p>
        </w:tc>
        <w:tc>
          <w:tcPr>
            <w:tcW w:w="1276" w:type="dxa"/>
            <w:vAlign w:val="center"/>
          </w:tcPr>
          <w:p w:rsidR="005404AD" w:rsidRDefault="00C20DFB">
            <w:pPr>
              <w:jc w:val="center"/>
            </w:pPr>
            <w:r>
              <w:rPr>
                <w:rFonts w:eastAsiaTheme="minorEastAsia"/>
                <w:kern w:val="0"/>
                <w:szCs w:val="21"/>
              </w:rPr>
              <w:t>601009</w:t>
            </w:r>
          </w:p>
        </w:tc>
        <w:tc>
          <w:tcPr>
            <w:tcW w:w="1701" w:type="dxa"/>
            <w:vAlign w:val="center"/>
          </w:tcPr>
          <w:p w:rsidR="005404AD" w:rsidRDefault="00C20DFB">
            <w:pPr>
              <w:jc w:val="center"/>
            </w:pPr>
            <w:r>
              <w:rPr>
                <w:rFonts w:eastAsiaTheme="minorEastAsia"/>
                <w:kern w:val="0"/>
                <w:szCs w:val="21"/>
              </w:rPr>
              <w:t>南京银行</w:t>
            </w:r>
          </w:p>
        </w:tc>
        <w:tc>
          <w:tcPr>
            <w:tcW w:w="1276" w:type="dxa"/>
            <w:vAlign w:val="center"/>
          </w:tcPr>
          <w:p w:rsidR="005404AD" w:rsidRDefault="00C20DFB">
            <w:pPr>
              <w:jc w:val="right"/>
            </w:pPr>
            <w:r>
              <w:rPr>
                <w:rFonts w:eastAsiaTheme="minorEastAsia"/>
                <w:kern w:val="0"/>
                <w:szCs w:val="21"/>
              </w:rPr>
              <w:t>140,300.00</w:t>
            </w:r>
          </w:p>
        </w:tc>
        <w:tc>
          <w:tcPr>
            <w:tcW w:w="1842" w:type="dxa"/>
            <w:vAlign w:val="center"/>
          </w:tcPr>
          <w:p w:rsidR="005404AD" w:rsidRDefault="00C20DFB">
            <w:pPr>
              <w:jc w:val="right"/>
            </w:pPr>
            <w:r>
              <w:rPr>
                <w:rFonts w:eastAsiaTheme="minorEastAsia"/>
                <w:kern w:val="0"/>
                <w:szCs w:val="21"/>
              </w:rPr>
              <w:t>1,536,285.00</w:t>
            </w:r>
          </w:p>
        </w:tc>
        <w:tc>
          <w:tcPr>
            <w:tcW w:w="1616" w:type="dxa"/>
            <w:vAlign w:val="center"/>
          </w:tcPr>
          <w:p w:rsidR="005404AD" w:rsidRDefault="00C20DFB">
            <w:pPr>
              <w:jc w:val="right"/>
            </w:pPr>
            <w:r>
              <w:rPr>
                <w:rFonts w:eastAsiaTheme="minorEastAsia"/>
                <w:kern w:val="0"/>
                <w:szCs w:val="21"/>
              </w:rPr>
              <w:t>3.39</w:t>
            </w:r>
          </w:p>
        </w:tc>
      </w:tr>
      <w:tr w:rsidR="005404AD">
        <w:tc>
          <w:tcPr>
            <w:tcW w:w="817" w:type="dxa"/>
            <w:vAlign w:val="center"/>
          </w:tcPr>
          <w:p w:rsidR="005404AD" w:rsidRDefault="00C20DFB">
            <w:pPr>
              <w:jc w:val="center"/>
            </w:pPr>
            <w:r>
              <w:rPr>
                <w:rFonts w:eastAsiaTheme="minorEastAsia"/>
                <w:kern w:val="0"/>
                <w:szCs w:val="21"/>
              </w:rPr>
              <w:t>6</w:t>
            </w:r>
          </w:p>
        </w:tc>
        <w:tc>
          <w:tcPr>
            <w:tcW w:w="1276" w:type="dxa"/>
            <w:vAlign w:val="center"/>
          </w:tcPr>
          <w:p w:rsidR="005404AD" w:rsidRDefault="00C20DFB">
            <w:pPr>
              <w:jc w:val="center"/>
            </w:pPr>
            <w:r>
              <w:rPr>
                <w:rFonts w:eastAsiaTheme="minorEastAsia"/>
                <w:kern w:val="0"/>
                <w:szCs w:val="21"/>
              </w:rPr>
              <w:t>601166</w:t>
            </w:r>
          </w:p>
        </w:tc>
        <w:tc>
          <w:tcPr>
            <w:tcW w:w="1701" w:type="dxa"/>
            <w:vAlign w:val="center"/>
          </w:tcPr>
          <w:p w:rsidR="005404AD" w:rsidRDefault="00C20DFB">
            <w:pPr>
              <w:jc w:val="center"/>
            </w:pPr>
            <w:r>
              <w:rPr>
                <w:rFonts w:eastAsiaTheme="minorEastAsia"/>
                <w:kern w:val="0"/>
                <w:szCs w:val="21"/>
              </w:rPr>
              <w:t>兴业银行</w:t>
            </w:r>
          </w:p>
        </w:tc>
        <w:tc>
          <w:tcPr>
            <w:tcW w:w="1276" w:type="dxa"/>
            <w:vAlign w:val="center"/>
          </w:tcPr>
          <w:p w:rsidR="005404AD" w:rsidRDefault="00C20DFB">
            <w:pPr>
              <w:jc w:val="right"/>
            </w:pPr>
            <w:r>
              <w:rPr>
                <w:rFonts w:eastAsiaTheme="minorEastAsia"/>
                <w:kern w:val="0"/>
                <w:szCs w:val="21"/>
              </w:rPr>
              <w:t>79,500.00</w:t>
            </w:r>
          </w:p>
        </w:tc>
        <w:tc>
          <w:tcPr>
            <w:tcW w:w="1842" w:type="dxa"/>
            <w:vAlign w:val="center"/>
          </w:tcPr>
          <w:p w:rsidR="005404AD" w:rsidRDefault="00C20DFB">
            <w:pPr>
              <w:jc w:val="right"/>
            </w:pPr>
            <w:r>
              <w:rPr>
                <w:rFonts w:eastAsiaTheme="minorEastAsia"/>
                <w:kern w:val="0"/>
                <w:szCs w:val="21"/>
              </w:rPr>
              <w:t>1,531,965.00</w:t>
            </w:r>
          </w:p>
        </w:tc>
        <w:tc>
          <w:tcPr>
            <w:tcW w:w="1616" w:type="dxa"/>
            <w:vAlign w:val="center"/>
          </w:tcPr>
          <w:p w:rsidR="005404AD" w:rsidRDefault="00C20DFB">
            <w:pPr>
              <w:jc w:val="right"/>
            </w:pPr>
            <w:r>
              <w:rPr>
                <w:rFonts w:eastAsiaTheme="minorEastAsia"/>
                <w:kern w:val="0"/>
                <w:szCs w:val="21"/>
              </w:rPr>
              <w:t>3.38</w:t>
            </w:r>
          </w:p>
        </w:tc>
      </w:tr>
      <w:tr w:rsidR="005404AD">
        <w:tc>
          <w:tcPr>
            <w:tcW w:w="817" w:type="dxa"/>
            <w:vAlign w:val="center"/>
          </w:tcPr>
          <w:p w:rsidR="005404AD" w:rsidRDefault="00C20DFB">
            <w:pPr>
              <w:jc w:val="center"/>
            </w:pPr>
            <w:r>
              <w:rPr>
                <w:rFonts w:eastAsiaTheme="minorEastAsia"/>
                <w:kern w:val="0"/>
                <w:szCs w:val="21"/>
              </w:rPr>
              <w:t>7</w:t>
            </w:r>
          </w:p>
        </w:tc>
        <w:tc>
          <w:tcPr>
            <w:tcW w:w="1276" w:type="dxa"/>
            <w:vAlign w:val="center"/>
          </w:tcPr>
          <w:p w:rsidR="005404AD" w:rsidRDefault="00C20DFB">
            <w:pPr>
              <w:jc w:val="center"/>
            </w:pPr>
            <w:r>
              <w:rPr>
                <w:rFonts w:eastAsiaTheme="minorEastAsia"/>
                <w:kern w:val="0"/>
                <w:szCs w:val="21"/>
              </w:rPr>
              <w:t>601601</w:t>
            </w:r>
          </w:p>
        </w:tc>
        <w:tc>
          <w:tcPr>
            <w:tcW w:w="1701" w:type="dxa"/>
            <w:vAlign w:val="center"/>
          </w:tcPr>
          <w:p w:rsidR="005404AD" w:rsidRDefault="00C20DFB">
            <w:pPr>
              <w:jc w:val="center"/>
            </w:pPr>
            <w:r>
              <w:rPr>
                <w:rFonts w:eastAsiaTheme="minorEastAsia"/>
                <w:kern w:val="0"/>
                <w:szCs w:val="21"/>
              </w:rPr>
              <w:t>中国太保</w:t>
            </w:r>
          </w:p>
        </w:tc>
        <w:tc>
          <w:tcPr>
            <w:tcW w:w="1276" w:type="dxa"/>
            <w:vAlign w:val="center"/>
          </w:tcPr>
          <w:p w:rsidR="005404AD" w:rsidRDefault="00C20DFB">
            <w:pPr>
              <w:jc w:val="right"/>
            </w:pPr>
            <w:r>
              <w:rPr>
                <w:rFonts w:eastAsiaTheme="minorEastAsia"/>
                <w:kern w:val="0"/>
                <w:szCs w:val="21"/>
              </w:rPr>
              <w:t>37,700.00</w:t>
            </w:r>
          </w:p>
        </w:tc>
        <w:tc>
          <w:tcPr>
            <w:tcW w:w="1842" w:type="dxa"/>
            <w:vAlign w:val="center"/>
          </w:tcPr>
          <w:p w:rsidR="005404AD" w:rsidRDefault="00C20DFB">
            <w:pPr>
              <w:jc w:val="right"/>
            </w:pPr>
            <w:r>
              <w:rPr>
                <w:rFonts w:eastAsiaTheme="minorEastAsia"/>
                <w:kern w:val="0"/>
                <w:szCs w:val="21"/>
              </w:rPr>
              <w:t>1,474,070.00</w:t>
            </w:r>
          </w:p>
        </w:tc>
        <w:tc>
          <w:tcPr>
            <w:tcW w:w="1616" w:type="dxa"/>
            <w:vAlign w:val="center"/>
          </w:tcPr>
          <w:p w:rsidR="005404AD" w:rsidRDefault="00C20DFB">
            <w:pPr>
              <w:jc w:val="right"/>
            </w:pPr>
            <w:r>
              <w:rPr>
                <w:rFonts w:eastAsiaTheme="minorEastAsia"/>
                <w:kern w:val="0"/>
                <w:szCs w:val="21"/>
              </w:rPr>
              <w:t>3.25</w:t>
            </w:r>
          </w:p>
        </w:tc>
      </w:tr>
      <w:tr w:rsidR="005404AD">
        <w:tc>
          <w:tcPr>
            <w:tcW w:w="817" w:type="dxa"/>
            <w:vAlign w:val="center"/>
          </w:tcPr>
          <w:p w:rsidR="005404AD" w:rsidRDefault="00C20DFB">
            <w:pPr>
              <w:jc w:val="center"/>
            </w:pPr>
            <w:r>
              <w:rPr>
                <w:rFonts w:eastAsiaTheme="minorEastAsia"/>
                <w:kern w:val="0"/>
                <w:szCs w:val="21"/>
              </w:rPr>
              <w:t>8</w:t>
            </w:r>
          </w:p>
        </w:tc>
        <w:tc>
          <w:tcPr>
            <w:tcW w:w="1276" w:type="dxa"/>
            <w:vAlign w:val="center"/>
          </w:tcPr>
          <w:p w:rsidR="005404AD" w:rsidRDefault="00C20DFB">
            <w:pPr>
              <w:jc w:val="center"/>
            </w:pPr>
            <w:r>
              <w:rPr>
                <w:rFonts w:eastAsiaTheme="minorEastAsia"/>
                <w:kern w:val="0"/>
                <w:szCs w:val="21"/>
              </w:rPr>
              <w:t>000921</w:t>
            </w:r>
          </w:p>
        </w:tc>
        <w:tc>
          <w:tcPr>
            <w:tcW w:w="1701" w:type="dxa"/>
            <w:vAlign w:val="center"/>
          </w:tcPr>
          <w:p w:rsidR="005404AD" w:rsidRDefault="00C20DFB">
            <w:pPr>
              <w:jc w:val="center"/>
            </w:pPr>
            <w:r>
              <w:rPr>
                <w:rFonts w:eastAsiaTheme="minorEastAsia"/>
                <w:kern w:val="0"/>
                <w:szCs w:val="21"/>
              </w:rPr>
              <w:t>海信家电</w:t>
            </w:r>
          </w:p>
        </w:tc>
        <w:tc>
          <w:tcPr>
            <w:tcW w:w="1276" w:type="dxa"/>
            <w:vAlign w:val="center"/>
          </w:tcPr>
          <w:p w:rsidR="005404AD" w:rsidRDefault="00C20DFB">
            <w:pPr>
              <w:jc w:val="right"/>
            </w:pPr>
            <w:r>
              <w:rPr>
                <w:rFonts w:eastAsiaTheme="minorEastAsia"/>
                <w:kern w:val="0"/>
                <w:szCs w:val="21"/>
              </w:rPr>
              <w:t>41,200.00</w:t>
            </w:r>
          </w:p>
        </w:tc>
        <w:tc>
          <w:tcPr>
            <w:tcW w:w="1842" w:type="dxa"/>
            <w:vAlign w:val="center"/>
          </w:tcPr>
          <w:p w:rsidR="005404AD" w:rsidRDefault="00C20DFB">
            <w:pPr>
              <w:jc w:val="right"/>
            </w:pPr>
            <w:r>
              <w:rPr>
                <w:rFonts w:eastAsiaTheme="minorEastAsia"/>
                <w:kern w:val="0"/>
                <w:szCs w:val="21"/>
              </w:rPr>
              <w:t>1,462,600.00</w:t>
            </w:r>
          </w:p>
        </w:tc>
        <w:tc>
          <w:tcPr>
            <w:tcW w:w="1616" w:type="dxa"/>
            <w:vAlign w:val="center"/>
          </w:tcPr>
          <w:p w:rsidR="005404AD" w:rsidRDefault="00C20DFB">
            <w:pPr>
              <w:jc w:val="right"/>
            </w:pPr>
            <w:r>
              <w:rPr>
                <w:rFonts w:eastAsiaTheme="minorEastAsia"/>
                <w:kern w:val="0"/>
                <w:szCs w:val="21"/>
              </w:rPr>
              <w:t>3.22</w:t>
            </w:r>
          </w:p>
        </w:tc>
      </w:tr>
      <w:tr w:rsidR="005404AD">
        <w:tc>
          <w:tcPr>
            <w:tcW w:w="817" w:type="dxa"/>
            <w:vAlign w:val="center"/>
          </w:tcPr>
          <w:p w:rsidR="005404AD" w:rsidRDefault="00C20DFB">
            <w:pPr>
              <w:jc w:val="center"/>
            </w:pPr>
            <w:r>
              <w:rPr>
                <w:rFonts w:eastAsiaTheme="minorEastAsia"/>
                <w:kern w:val="0"/>
                <w:szCs w:val="21"/>
              </w:rPr>
              <w:t>9</w:t>
            </w:r>
          </w:p>
        </w:tc>
        <w:tc>
          <w:tcPr>
            <w:tcW w:w="1276" w:type="dxa"/>
            <w:vAlign w:val="center"/>
          </w:tcPr>
          <w:p w:rsidR="005404AD" w:rsidRDefault="00C20DFB">
            <w:pPr>
              <w:jc w:val="center"/>
            </w:pPr>
            <w:r>
              <w:rPr>
                <w:rFonts w:eastAsiaTheme="minorEastAsia"/>
                <w:kern w:val="0"/>
                <w:szCs w:val="21"/>
              </w:rPr>
              <w:t>601319</w:t>
            </w:r>
          </w:p>
        </w:tc>
        <w:tc>
          <w:tcPr>
            <w:tcW w:w="1701" w:type="dxa"/>
            <w:vAlign w:val="center"/>
          </w:tcPr>
          <w:p w:rsidR="005404AD" w:rsidRDefault="00C20DFB">
            <w:pPr>
              <w:jc w:val="center"/>
            </w:pPr>
            <w:r>
              <w:rPr>
                <w:rFonts w:eastAsiaTheme="minorEastAsia"/>
                <w:kern w:val="0"/>
                <w:szCs w:val="21"/>
              </w:rPr>
              <w:t>中国人保</w:t>
            </w:r>
          </w:p>
        </w:tc>
        <w:tc>
          <w:tcPr>
            <w:tcW w:w="1276" w:type="dxa"/>
            <w:vAlign w:val="center"/>
          </w:tcPr>
          <w:p w:rsidR="005404AD" w:rsidRDefault="00C20DFB">
            <w:pPr>
              <w:jc w:val="right"/>
            </w:pPr>
            <w:r>
              <w:rPr>
                <w:rFonts w:eastAsiaTheme="minorEastAsia"/>
                <w:kern w:val="0"/>
                <w:szCs w:val="21"/>
              </w:rPr>
              <w:t>191,800.00</w:t>
            </w:r>
          </w:p>
        </w:tc>
        <w:tc>
          <w:tcPr>
            <w:tcW w:w="1842" w:type="dxa"/>
            <w:vAlign w:val="center"/>
          </w:tcPr>
          <w:p w:rsidR="005404AD" w:rsidRDefault="00C20DFB">
            <w:pPr>
              <w:jc w:val="right"/>
            </w:pPr>
            <w:r>
              <w:rPr>
                <w:rFonts w:eastAsiaTheme="minorEastAsia"/>
                <w:kern w:val="0"/>
                <w:szCs w:val="21"/>
              </w:rPr>
              <w:t>1,426,992.00</w:t>
            </w:r>
          </w:p>
        </w:tc>
        <w:tc>
          <w:tcPr>
            <w:tcW w:w="1616" w:type="dxa"/>
            <w:vAlign w:val="center"/>
          </w:tcPr>
          <w:p w:rsidR="005404AD" w:rsidRDefault="00C20DFB">
            <w:pPr>
              <w:jc w:val="right"/>
            </w:pPr>
            <w:r>
              <w:rPr>
                <w:rFonts w:eastAsiaTheme="minorEastAsia"/>
                <w:kern w:val="0"/>
                <w:szCs w:val="21"/>
              </w:rPr>
              <w:t>3.14</w:t>
            </w:r>
          </w:p>
        </w:tc>
      </w:tr>
      <w:tr w:rsidR="005404AD">
        <w:tc>
          <w:tcPr>
            <w:tcW w:w="817" w:type="dxa"/>
            <w:vAlign w:val="center"/>
          </w:tcPr>
          <w:p w:rsidR="005404AD" w:rsidRDefault="00C20DFB">
            <w:pPr>
              <w:jc w:val="center"/>
            </w:pPr>
            <w:r>
              <w:rPr>
                <w:rFonts w:eastAsiaTheme="minorEastAsia"/>
                <w:kern w:val="0"/>
                <w:szCs w:val="21"/>
              </w:rPr>
              <w:t>10</w:t>
            </w:r>
          </w:p>
        </w:tc>
        <w:tc>
          <w:tcPr>
            <w:tcW w:w="1276" w:type="dxa"/>
            <w:vAlign w:val="center"/>
          </w:tcPr>
          <w:p w:rsidR="005404AD" w:rsidRDefault="00C20DFB">
            <w:pPr>
              <w:jc w:val="center"/>
            </w:pPr>
            <w:r>
              <w:rPr>
                <w:rFonts w:eastAsiaTheme="minorEastAsia"/>
                <w:kern w:val="0"/>
                <w:szCs w:val="21"/>
              </w:rPr>
              <w:t>600276</w:t>
            </w:r>
          </w:p>
        </w:tc>
        <w:tc>
          <w:tcPr>
            <w:tcW w:w="1701" w:type="dxa"/>
            <w:vAlign w:val="center"/>
          </w:tcPr>
          <w:p w:rsidR="005404AD" w:rsidRDefault="00C20DFB">
            <w:pPr>
              <w:jc w:val="center"/>
            </w:pPr>
            <w:r>
              <w:rPr>
                <w:rFonts w:eastAsiaTheme="minorEastAsia"/>
                <w:kern w:val="0"/>
                <w:szCs w:val="21"/>
              </w:rPr>
              <w:t>恒瑞医药</w:t>
            </w:r>
          </w:p>
        </w:tc>
        <w:tc>
          <w:tcPr>
            <w:tcW w:w="1276" w:type="dxa"/>
            <w:vAlign w:val="center"/>
          </w:tcPr>
          <w:p w:rsidR="005404AD" w:rsidRDefault="00C20DFB">
            <w:pPr>
              <w:jc w:val="right"/>
            </w:pPr>
            <w:r>
              <w:rPr>
                <w:rFonts w:eastAsiaTheme="minorEastAsia"/>
                <w:kern w:val="0"/>
                <w:szCs w:val="21"/>
              </w:rPr>
              <w:t>26,200.00</w:t>
            </w:r>
          </w:p>
        </w:tc>
        <w:tc>
          <w:tcPr>
            <w:tcW w:w="1842" w:type="dxa"/>
            <w:vAlign w:val="center"/>
          </w:tcPr>
          <w:p w:rsidR="005404AD" w:rsidRDefault="00C20DFB">
            <w:pPr>
              <w:jc w:val="right"/>
            </w:pPr>
            <w:r>
              <w:rPr>
                <w:rFonts w:eastAsiaTheme="minorEastAsia"/>
                <w:kern w:val="0"/>
                <w:szCs w:val="21"/>
              </w:rPr>
              <w:t>1,370,260.00</w:t>
            </w:r>
          </w:p>
        </w:tc>
        <w:tc>
          <w:tcPr>
            <w:tcW w:w="1616" w:type="dxa"/>
            <w:vAlign w:val="center"/>
          </w:tcPr>
          <w:p w:rsidR="005404AD" w:rsidRDefault="00C20DFB">
            <w:pPr>
              <w:jc w:val="right"/>
            </w:pPr>
            <w:r>
              <w:rPr>
                <w:rFonts w:eastAsiaTheme="minorEastAsia"/>
                <w:kern w:val="0"/>
                <w:szCs w:val="21"/>
              </w:rPr>
              <w:t>3.02</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lastRenderedPageBreak/>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本基金投资的前十名证券的发行主体中，中国太平洋保险</w:t>
      </w:r>
      <w:r w:rsidRPr="00B27A29">
        <w:rPr>
          <w:rFonts w:eastAsiaTheme="minorEastAsia"/>
          <w:color w:val="000000" w:themeColor="text1"/>
          <w:szCs w:val="21"/>
        </w:rPr>
        <w:t>(</w:t>
      </w:r>
      <w:r w:rsidRPr="00B27A29">
        <w:rPr>
          <w:rFonts w:eastAsiaTheme="minorEastAsia"/>
          <w:color w:val="000000" w:themeColor="text1"/>
          <w:szCs w:val="21"/>
        </w:rPr>
        <w:t>集团</w:t>
      </w:r>
      <w:r w:rsidRPr="00B27A29">
        <w:rPr>
          <w:rFonts w:eastAsiaTheme="minorEastAsia"/>
          <w:color w:val="000000" w:themeColor="text1"/>
          <w:szCs w:val="21"/>
        </w:rPr>
        <w:t>)</w:t>
      </w:r>
      <w:r w:rsidRPr="00B27A29">
        <w:rPr>
          <w:rFonts w:eastAsiaTheme="minorEastAsia"/>
          <w:color w:val="000000" w:themeColor="text1"/>
          <w:szCs w:val="21"/>
        </w:rPr>
        <w:t>股份有限公司报告编制日前一年内曾受到国家外汇管理局上海市分局的处罚，兴业银行股份有限公司报告编制日前一年内曾受到国家金融监督管理总局福建监管局的处罚。</w:t>
      </w:r>
    </w:p>
    <w:p w:rsidR="005404AD" w:rsidRDefault="00C20DFB">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20,916.42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513.46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21,429.88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40,312,794.46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9,921,214.16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168,352.73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22,252.51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1,141,376.07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2,225,115.00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39,339,771.12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7,718,351.67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1,151,733.94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1,151,733.94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2.45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lastRenderedPageBreak/>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5404AD" w:rsidRDefault="00C20DF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5404AD" w:rsidRDefault="00C20DF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摩根研究驱动股票型证券投资基金基金合同</w:t>
      </w:r>
    </w:p>
    <w:p w:rsidR="005404AD" w:rsidRDefault="00C20DF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摩根研究驱动股票型证券投资基金托管协议</w:t>
      </w:r>
    </w:p>
    <w:p w:rsidR="005404AD" w:rsidRDefault="00C20DF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5404AD" w:rsidRDefault="00C20DF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5404AD" w:rsidRDefault="00C20DF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5404AD" w:rsidRDefault="00C20DF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20DF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20DFB">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20DFB">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摩根研究驱动股票型证券投资基金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04AD"/>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0DFB"/>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23C787-CED0-43D3-8F11-15FF7636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13</Pages>
  <Words>1148</Words>
  <Characters>6545</Characters>
  <Application>Microsoft Office Word</Application>
  <DocSecurity>0</DocSecurity>
  <Lines>54</Lines>
  <Paragraphs>15</Paragraphs>
  <ScaleCrop>false</ScaleCrop>
  <Company>TRT. Ltd. Co.</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220</cp:revision>
  <cp:lastPrinted>2007-07-19T00:46:00Z</cp:lastPrinted>
  <dcterms:created xsi:type="dcterms:W3CDTF">2013-06-21T06:56:00Z</dcterms:created>
  <dcterms:modified xsi:type="dcterms:W3CDTF">2024-10-24T07:17:00Z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