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70302E6C"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0371E3DE"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433F6E3A"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737471D9"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5540764F"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2507A4DE"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上投摩根慧选成长股票型证券投资基金</w:t>
      </w:r>
    </w:p>
    <w:p w14:paraId="314CAF44"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2021年第1季度报告</w:t>
      </w:r>
    </w:p>
    <w:p w14:paraId="65EC9CA4" w14:textId="77777777" w:rsidR="005E6DF3" w:rsidRDefault="005C671B">
      <w:pPr>
        <w:spacing w:line="360" w:lineRule="auto"/>
        <w:jc w:val="center"/>
        <w:rPr>
          <w:rFonts w:eastAsiaTheme="minorEastAsia"/>
          <w:b/>
          <w:color w:themeColor="text1" w:val="000000"/>
          <w:szCs w:val="21"/>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2021年3月31日</w:t>
      </w:r>
    </w:p>
    <w:p w14:paraId="414230B8" w14:textId="77777777" w:rsidR="005E6DF3" w:rsidRDefault="005E6DF3">
      <w:pPr>
        <w:spacing w:line="360" w:lineRule="auto"/>
        <w:jc w:val="center"/>
        <w:rPr>
          <w:rFonts w:eastAsiaTheme="minorEastAsia"/>
          <w:b/>
          <w:color w:themeColor="text1" w:val="000000"/>
          <w:szCs w:val="21"/>
        </w:rPr>
      </w:pPr>
    </w:p>
    <w:p w14:paraId="2353E753" w14:textId="77777777" w:rsidR="005E6DF3" w:rsidRDefault="005E6DF3">
      <w:pPr>
        <w:spacing w:line="360" w:lineRule="auto"/>
        <w:jc w:val="center"/>
        <w:rPr>
          <w:rFonts w:eastAsiaTheme="minorEastAsia"/>
          <w:b/>
          <w:color w:themeColor="text1" w:val="000000"/>
          <w:szCs w:val="21"/>
        </w:rPr>
      </w:pPr>
    </w:p>
    <w:p w14:paraId="64DE24E1" w14:textId="77777777" w:rsidR="005E6DF3" w:rsidRDefault="005E6DF3">
      <w:pPr>
        <w:spacing w:line="360" w:lineRule="auto"/>
        <w:jc w:val="center"/>
        <w:rPr>
          <w:rFonts w:eastAsiaTheme="minorEastAsia"/>
          <w:b/>
          <w:color w:themeColor="text1" w:val="000000"/>
          <w:szCs w:val="21"/>
        </w:rPr>
      </w:pPr>
    </w:p>
    <w:p w14:paraId="3939C1C0" w14:textId="77777777" w:rsidR="005E6DF3" w:rsidRDefault="005E6DF3">
      <w:pPr>
        <w:spacing w:line="360" w:lineRule="auto"/>
        <w:jc w:val="center"/>
        <w:rPr>
          <w:rFonts w:eastAsiaTheme="minorEastAsia"/>
          <w:b/>
          <w:color w:themeColor="text1" w:val="000000"/>
          <w:szCs w:val="21"/>
        </w:rPr>
      </w:pPr>
    </w:p>
    <w:p w14:paraId="77CABFCF" w14:textId="77777777" w:rsidR="005E6DF3" w:rsidRDefault="005E6DF3">
      <w:pPr>
        <w:spacing w:line="360" w:lineRule="auto"/>
        <w:jc w:val="center"/>
        <w:rPr>
          <w:rFonts w:eastAsiaTheme="minorEastAsia"/>
          <w:b/>
          <w:color w:themeColor="text1" w:val="000000"/>
          <w:szCs w:val="21"/>
        </w:rPr>
      </w:pPr>
    </w:p>
    <w:p w14:paraId="382D58F8" w14:textId="77777777" w:rsidR="005E6DF3" w:rsidRDefault="005E6DF3">
      <w:pPr>
        <w:spacing w:line="360" w:lineRule="auto"/>
        <w:jc w:val="center"/>
        <w:rPr>
          <w:rFonts w:eastAsiaTheme="minorEastAsia"/>
          <w:b/>
          <w:color w:themeColor="text1" w:val="000000"/>
          <w:szCs w:val="21"/>
        </w:rPr>
      </w:pPr>
    </w:p>
    <w:p w14:paraId="3EBAE3CE" w14:textId="77777777" w:rsidR="005E6DF3" w:rsidRDefault="005E6DF3">
      <w:pPr>
        <w:spacing w:line="360" w:lineRule="auto"/>
        <w:jc w:val="center"/>
        <w:rPr>
          <w:rFonts w:eastAsiaTheme="minorEastAsia"/>
          <w:b/>
          <w:color w:themeColor="text1" w:val="000000"/>
          <w:szCs w:val="21"/>
        </w:rPr>
      </w:pPr>
    </w:p>
    <w:p w14:paraId="22C23B24" w14:textId="77777777" w:rsidR="005E6DF3" w:rsidRDefault="005E6DF3">
      <w:pPr>
        <w:spacing w:line="360" w:lineRule="auto"/>
        <w:jc w:val="center"/>
        <w:rPr>
          <w:rFonts w:eastAsiaTheme="minorEastAsia"/>
          <w:b/>
          <w:color w:themeColor="text1" w:val="000000"/>
          <w:szCs w:val="21"/>
        </w:rPr>
      </w:pPr>
    </w:p>
    <w:p w14:paraId="10639DBC" w14:textId="77777777" w:rsidR="005E6DF3" w:rsidRDefault="005E6DF3">
      <w:pPr>
        <w:spacing w:line="360" w:lineRule="auto"/>
        <w:jc w:val="center"/>
        <w:rPr>
          <w:rFonts w:eastAsiaTheme="minorEastAsia"/>
          <w:b/>
          <w:color w:themeColor="text1" w:val="000000"/>
          <w:szCs w:val="21"/>
        </w:rPr>
      </w:pPr>
    </w:p>
    <w:p w14:paraId="58A6FDFA" w14:textId="77777777" w:rsidR="005E6DF3" w:rsidRDefault="005E6DF3">
      <w:pPr>
        <w:spacing w:line="360" w:lineRule="auto"/>
        <w:jc w:val="center"/>
        <w:rPr>
          <w:rFonts w:eastAsiaTheme="minorEastAsia"/>
          <w:b/>
          <w:color w:themeColor="text1" w:val="000000"/>
          <w:szCs w:val="21"/>
        </w:rPr>
      </w:pPr>
    </w:p>
    <w:p w14:paraId="196A4101" w14:textId="77777777" w:rsidR="005E6DF3" w:rsidRDefault="005E6DF3">
      <w:pPr>
        <w:spacing w:line="360" w:lineRule="auto"/>
        <w:jc w:val="center"/>
        <w:rPr>
          <w:rFonts w:eastAsiaTheme="minorEastAsia"/>
          <w:b/>
          <w:color w:themeColor="text1" w:val="000000"/>
          <w:szCs w:val="21"/>
        </w:rPr>
      </w:pPr>
    </w:p>
    <w:p w14:paraId="1C4C8D65" w14:textId="77777777" w:rsidR="005E6DF3" w:rsidRDefault="005E6DF3">
      <w:pPr>
        <w:spacing w:line="360" w:lineRule="auto"/>
        <w:jc w:val="center"/>
        <w:rPr>
          <w:rFonts w:eastAsiaTheme="minorEastAsia"/>
          <w:b/>
          <w:color w:themeColor="text1" w:val="000000"/>
          <w:szCs w:val="21"/>
        </w:rPr>
      </w:pPr>
    </w:p>
    <w:p w14:paraId="3FD920DA" w14:textId="77777777" w:rsidR="005E6DF3" w:rsidRDefault="005E6DF3">
      <w:pPr>
        <w:spacing w:line="360" w:lineRule="auto"/>
        <w:jc w:val="center"/>
        <w:rPr>
          <w:rFonts w:eastAsiaTheme="minorEastAsia"/>
          <w:b/>
          <w:color w:themeColor="text1" w:val="000000"/>
          <w:szCs w:val="21"/>
        </w:rPr>
      </w:pPr>
    </w:p>
    <w:p w14:paraId="07CE17C7" w14:textId="77777777" w:rsidR="005E6DF3" w:rsidRDefault="005E6DF3">
      <w:pPr>
        <w:spacing w:line="360" w:lineRule="auto"/>
        <w:rPr>
          <w:rFonts w:eastAsiaTheme="minorEastAsia"/>
          <w:b/>
          <w:color w:themeColor="text1" w:val="000000"/>
          <w:szCs w:val="21"/>
        </w:rPr>
      </w:pPr>
    </w:p>
    <w:p w14:paraId="0872D2D6"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基金管理人：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上投摩根基金管理有限公司</w:t>
      </w:r>
    </w:p>
    <w:p w14:paraId="380F0F4B"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基金托管人：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中国银行股份有限公司</w:t>
      </w:r>
    </w:p>
    <w:p w14:paraId="34CA88E3" w14:textId="77777777" w:rsidR="005E6DF3" w:rsidRDefault="005C671B">
      <w:pPr>
        <w:spacing w:line="360" w:lineRule="auto"/>
        <w:ind w:firstLine="2168" w:firstLineChars="900"/>
        <w:rPr>
          <w:rFonts w:eastAsiaTheme="minorEastAsia"/>
          <w:color w:themeColor="text1" w:val="000000"/>
          <w:szCs w:val="21"/>
        </w:rPr>
        <w:sectPr w:rsidR="005E6DF3">
          <w:headerReference r:id="rId8" w:type="default"/>
          <w:footerReference r:id="rId9" w:type="default"/>
          <w:pgSz w:h="15840" w:w="11926"/>
          <w:pgMar w:bottom="851" w:footer="992" w:gutter="0" w:header="851" w:left="1418" w:right="1418" w:top="1418"/>
          <w:cols w:space="720"/>
        </w:sectPr>
      </w:pPr>
      <w:r>
        <w:rPr>
          <w:rFonts w:eastAsiaTheme="minorEastAsia"/>
          <w:b/>
          <w:color w:themeColor="text1" w:val="000000"/>
          <w:sz w:val="24"/>
        </w:rPr>
        <w:t>报告送出日期：</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二〇二一年四月二十二日</w:t>
      </w:r>
    </w:p>
    <w:p w14:paraId="58F241BB" w14:textId="77777777" w:rsidR="005E6DF3" w:rsidRDefault="005C671B">
      <w:pPr>
        <w:pStyle w:val="1"/>
        <w:spacing w:after="312" w:afterLines="100" w:before="312" w:beforeLines="100" w:line="360" w:lineRule="auto"/>
        <w:jc w:val="center"/>
        <w:rPr>
          <w:rFonts w:eastAsiaTheme="minorEastAsia"/>
          <w:b w:val="0"/>
          <w:color w:themeColor="text1" w:val="000000"/>
          <w:kern w:val="0"/>
          <w:sz w:val="21"/>
          <w:szCs w:val="21"/>
        </w:rPr>
      </w:pPr>
      <w:r>
        <w:rPr>
          <w:rFonts w:eastAsiaTheme="minorEastAsia"/>
          <w:color w:themeColor="text1" w:val="000000"/>
          <w:kern w:val="0"/>
          <w:sz w:val="21"/>
          <w:szCs w:val="21"/>
        </w:rPr>
        <w:lastRenderedPageBreak/>
        <w:t xml:space="preserve">§1  </w:t>
      </w:r>
      <w:r>
        <w:rPr>
          <w:rFonts w:eastAsiaTheme="minorEastAsia"/>
          <w:color w:themeColor="text1" w:val="000000"/>
          <w:kern w:val="0"/>
          <w:sz w:val="21"/>
          <w:szCs w:val="21"/>
        </w:rPr>
        <w:t>重要提示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基金托管人中国银行股份有限公司根据本基金合同规定，于2021年4月21日复核了本报告中的财务指标、净值表现和投资组合报告等内容，保证复核内容不存在虚假记载、误导性陈述或者重大遗漏。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本报告中财务资料未经审计。</w:t>
      </w:r>
    </w:p>
    <w:p w14:paraId="60D097E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本报告期自2021年1月1日起至3月31日止。</w:t>
      </w:r>
    </w:p>
    <w:p w14:paraId="3D601AC9"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§2  </w:t>
      </w:r>
      <w:r>
        <w:rPr>
          <w:rFonts w:eastAsiaTheme="minorEastAsia"/>
          <w:color w:themeColor="text1" w:val="000000"/>
          <w:kern w:val="0"/>
          <w:sz w:val="21"/>
          <w:szCs w:val="21"/>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77EE61EB" w14:textId="77777777" w:rsidR="005E6DF3">
        <w:tc>
          <w:tcPr>
            <w:tcW w:type="dxa" w:w="2835"/>
            <w:vAlign w:val="center"/>
          </w:tcPr>
          <w:p w14:paraId="2AF06EC2"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基金简称</w:t>
            </w:r>
          </w:p>
        </w:tc>
        <w:tc>
          <w:tcPr>
            <w:tcW w:type="dxa" w:w="5479"/>
            <w:gridSpan w:val="2"/>
            <w:vAlign w:val="center"/>
          </w:tcPr>
          <w:p w14:paraId="64D5C4DE"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上投摩根慧选成长股票</w:t>
            </w:r>
          </w:p>
        </w:tc>
      </w:tr>
      <w:tr w14:paraId="06C24646" w14:textId="77777777" w:rsidR="005E6DF3">
        <w:tc>
          <w:tcPr>
            <w:tcW w:type="dxa" w:w="2835"/>
            <w:vAlign w:val="center"/>
          </w:tcPr>
          <w:p w14:paraId="08A33FC4"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基金主代码</w:t>
            </w:r>
          </w:p>
        </w:tc>
        <w:tc>
          <w:tcPr>
            <w:tcW w:type="dxa" w:w="5479"/>
            <w:gridSpan w:val="2"/>
            <w:tcBorders>
              <w:bottom w:color="auto" w:space="0" w:sz="4" w:val="single"/>
            </w:tcBorders>
            <w:vAlign w:val="center"/>
          </w:tcPr>
          <w:p w14:paraId="79D1F573"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008314</w:t>
            </w:r>
          </w:p>
        </w:tc>
      </w:tr>
      <w:tr w14:paraId="5FDD259D" w14:textId="77777777" w:rsidR="005E6DF3">
        <w:tc>
          <w:tcPr>
            <w:tcW w:type="dxa" w:w="2835"/>
            <w:vAlign w:val="center"/>
          </w:tcPr>
          <w:p w14:paraId="09B9FD26"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基金运作方式</w:t>
            </w:r>
          </w:p>
        </w:tc>
        <w:tc>
          <w:tcPr>
            <w:tcW w:type="dxa" w:w="5479"/>
            <w:gridSpan w:val="2"/>
            <w:tcBorders>
              <w:top w:color="auto" w:space="0" w:sz="4" w:val="single"/>
            </w:tcBorders>
            <w:vAlign w:val="center"/>
          </w:tcPr>
          <w:p w14:paraId="3F3142D1"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契约型开放式</w:t>
            </w:r>
          </w:p>
        </w:tc>
      </w:tr>
      <w:tr w14:paraId="44F37806" w14:textId="77777777" w:rsidR="005E6DF3">
        <w:tc>
          <w:tcPr>
            <w:tcW w:type="dxa" w:w="2835"/>
            <w:vAlign w:val="center"/>
          </w:tcPr>
          <w:p w14:paraId="41F8E22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基金合同生效日</w:t>
            </w:r>
          </w:p>
        </w:tc>
        <w:tc>
          <w:tcPr>
            <w:tcW w:type="dxa" w:w="5479"/>
            <w:gridSpan w:val="2"/>
            <w:vAlign w:val="center"/>
          </w:tcPr>
          <w:p w14:paraId="040813FD"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2020年1月22日</w:t>
            </w:r>
          </w:p>
        </w:tc>
      </w:tr>
      <w:tr w14:paraId="0FC57815" w14:textId="77777777" w:rsidR="005E6DF3">
        <w:tc>
          <w:tcPr>
            <w:tcW w:type="dxa" w:w="2835"/>
            <w:vAlign w:val="center"/>
          </w:tcPr>
          <w:p w14:paraId="4B5050F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报告期末基金份额总额</w:t>
            </w:r>
          </w:p>
        </w:tc>
        <w:tc>
          <w:tcPr>
            <w:tcW w:type="dxa" w:w="5479"/>
            <w:gridSpan w:val="2"/>
            <w:vAlign w:val="center"/>
          </w:tcPr>
          <w:p w14:paraId="633F55A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3,966,468,556.75</w:t>
            </w:r>
            <w:r>
              <w:rPr>
                <w:rFonts w:eastAsiaTheme="minorEastAsia"/>
                <w:color w:themeColor="text1" w:val="000000"/>
                <w:kern w:val="0"/>
                <w:szCs w:val="21"/>
              </w:rPr>
              <w:t>份</w:t>
            </w:r>
          </w:p>
        </w:tc>
      </w:tr>
      <w:tr w14:paraId="1A3A8C6E" w14:textId="77777777" w:rsidR="005E6DF3">
        <w:tc>
          <w:tcPr>
            <w:tcW w:type="dxa" w:w="2835"/>
            <w:vAlign w:val="center"/>
          </w:tcPr>
          <w:p w14:paraId="259C68A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投资目标</w:t>
            </w:r>
          </w:p>
        </w:tc>
        <w:tc>
          <w:tcPr>
            <w:tcW w:type="dxa" w:w="5479"/>
            <w:gridSpan w:val="2"/>
            <w:vAlign w:val="center"/>
          </w:tcPr>
          <w:p w14:paraId="7C67191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采用定量及定性研究方法，通过自上而下资产配置与自下而上精选个股相结合，基于严格的风险控制，力争实现基金资产的长期增值。</w:t>
            </w:r>
          </w:p>
        </w:tc>
      </w:tr>
      <w:tr w14:paraId="5876F692" w14:textId="77777777" w:rsidR="005E6DF3">
        <w:tc>
          <w:tcPr>
            <w:tcW w:type="dxa" w:w="2835"/>
            <w:vAlign w:val="center"/>
          </w:tcPr>
          <w:p w14:paraId="532A223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投资策略</w:t>
            </w:r>
          </w:p>
        </w:tc>
        <w:tc>
          <w:tcPr>
            <w:tcW w:type="dxa" w:w="5479"/>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
          <w:p w14:paraId="126F720C"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坚持“成长与价值并重”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tc>
      </w:tr>
      <w:tr w14:paraId="6B3E3F3F" w14:textId="77777777" w:rsidR="005E6DF3">
        <w:tc>
          <w:tcPr>
            <w:tcW w:type="dxa" w:w="2835"/>
            <w:vAlign w:val="center"/>
          </w:tcPr>
          <w:p w14:paraId="66DE326D"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业绩比较基准</w:t>
            </w:r>
          </w:p>
        </w:tc>
        <w:tc>
          <w:tcPr>
            <w:tcW w:type="dxa" w:w="5479"/>
            <w:gridSpan w:val="2"/>
            <w:vAlign w:val="center"/>
          </w:tcPr>
          <w:p w14:paraId="7541754F"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中证800指数收益率*75%+中证港股通指数收益率*10%+上证国债指数收益率*15%</w:t>
            </w:r>
          </w:p>
        </w:tc>
      </w:tr>
      <w:tr w14:paraId="09F30C0F" w14:textId="77777777" w:rsidR="005E6DF3">
        <w:tc>
          <w:tcPr>
            <w:tcW w:type="dxa" w:w="2835"/>
            <w:vAlign w:val="center"/>
          </w:tcPr>
          <w:p w14:paraId="4E0D554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风险收益特征</w:t>
            </w:r>
          </w:p>
        </w:tc>
        <w:tc>
          <w:tcPr>
            <w:tcW w:type="dxa" w:w="5479"/>
            <w:gridSpan w:val="2"/>
            <w:vAlign w:val="center"/>
          </w:tcPr>
          <w:p w14:paraId="708DC60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本基金属于股票型基金产品，预期风险和收益水平高于混合型基金、债券型基金和货币市场基金。</w:t>
            </w:r>
          </w:p>
        </w:tc>
      </w:tr>
      <w:tr w14:paraId="51A78BF3" w14:textId="77777777" w:rsidR="005E6DF3">
        <w:tc>
          <w:tcPr>
            <w:tcW w:type="dxa" w:w="2835"/>
            <w:vAlign w:val="center"/>
          </w:tcPr>
          <w:p w14:paraId="4C22455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基金管理人</w:t>
            </w:r>
          </w:p>
        </w:tc>
        <w:tc>
          <w:tcPr>
            <w:tcW w:type="dxa" w:w="5479"/>
            <w:gridSpan w:val="2"/>
            <w:vAlign w:val="center"/>
          </w:tcPr>
          <w:p w14:paraId="59CABC5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上投摩根基金管理有限公司</w:t>
            </w:r>
          </w:p>
        </w:tc>
      </w:tr>
      <w:tr w14:paraId="2A099E64" w14:textId="77777777" w:rsidR="005E6DF3">
        <w:tc>
          <w:tcPr>
            <w:tcW w:type="dxa" w:w="2835"/>
            <w:vAlign w:val="center"/>
          </w:tcPr>
          <w:p w14:paraId="23B0D44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基金托管人</w:t>
            </w:r>
          </w:p>
        </w:tc>
        <w:tc>
          <w:tcPr>
            <w:tcW w:type="dxa" w:w="5479"/>
            <w:gridSpan w:val="2"/>
            <w:vAlign w:val="center"/>
          </w:tcPr>
          <w:p w14:paraId="51CC69F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中国银行股份有限公司</w:t>
            </w:r>
          </w:p>
        </w:tc>
      </w:tr>
      <w:tr w14:paraId="09AF5332" w14:textId="77777777" w:rsidR="005E6DF3">
        <w:tc>
          <w:tcPr>
            <w:tcW w:type="dxa" w:w="2835"/>
            <w:vAlign w:val="center"/>
          </w:tcPr>
          <w:p w14:paraId="26C4598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hint="eastAsia"/>
                <w:color w:themeColor="text1" w:val="000000"/>
                <w:szCs w:val="21"/>
              </w:rPr>
              <w:t>下属分级</w:t>
            </w:r>
            <w:r>
              <w:rPr>
                <w:rFonts w:eastAsiaTheme="minorEastAsia"/>
                <w:color w:themeColor="text1" w:val="000000"/>
                <w:szCs w:val="21"/>
              </w:rPr>
              <w:t>基金的基金简称</w:t>
            </w:r>
          </w:p>
        </w:tc>
        <w:tc>
          <w:tcPr>
            <w:tcW w:type="dxa" w:w="2739"/>
            <w:vAlign w:val="center"/>
          </w:tcPr>
          <w:p w14:paraId="55AC2042"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上投摩根慧选成长股票A</w:t>
            </w:r>
          </w:p>
        </w:tc>
        <w:tc>
          <w:tcPr>
            <w:tcW w:type="dxa" w:w="2740"/>
            <w:vAlign w:val="center"/>
          </w:tcPr>
          <w:p w14:paraId="475E59FE"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上投摩根慧选成长股票C</w:t>
            </w:r>
          </w:p>
        </w:tc>
      </w:tr>
      <w:tr w14:paraId="57D77F7B" w14:textId="77777777" w:rsidR="005E6DF3">
        <w:tc>
          <w:tcPr>
            <w:tcW w:type="dxa" w:w="2835"/>
            <w:vAlign w:val="center"/>
          </w:tcPr>
          <w:p w14:paraId="14B6B9C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下属</w:t>
            </w:r>
            <w:r>
              <w:rPr>
                <w:rFonts w:eastAsiaTheme="minorEastAsia" w:hint="eastAsia"/>
                <w:color w:themeColor="text1" w:val="000000"/>
                <w:szCs w:val="21"/>
              </w:rPr>
              <w:t>分</w:t>
            </w:r>
            <w:r>
              <w:rPr>
                <w:rFonts w:eastAsiaTheme="minorEastAsia"/>
                <w:color w:themeColor="text1" w:val="000000"/>
                <w:szCs w:val="21"/>
              </w:rPr>
              <w:t>级基金的交易代码</w:t>
            </w:r>
            <w:r>
              <w:rPr>
                <w:rFonts w:eastAsiaTheme="minorEastAsia"/>
                <w:color w:themeColor="text1" w:val="000000"/>
                <w:szCs w:val="21"/>
              </w:rPr>
              <w:t/>
            </w:r>
            <w:proofErr w:type="spellStart"/>
            <w:r>
              <w:rPr>
                <w:color w:themeColor="text1" w:val="000000"/>
                <w:szCs w:val="21"/>
              </w:rPr>
              <w:t/>
            </w:r>
            <w:proofErr w:type="spellEnd"/>
            <w:r>
              <w:rPr>
                <w:rFonts w:eastAsiaTheme="minorEastAsia"/>
                <w:color w:themeColor="text1" w:val="000000"/>
                <w:szCs w:val="21"/>
              </w:rPr>
              <w:t/>
            </w:r>
          </w:p>
        </w:tc>
        <w:tc>
          <w:tcPr>
            <w:tcW w:type="dxa" w:w="2739"/>
            <w:vAlign w:val="center"/>
          </w:tcPr>
          <w:p w14:paraId="4101EB79"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008314</w:t>
            </w:r>
          </w:p>
        </w:tc>
        <w:tc>
          <w:tcPr>
            <w:tcW w:type="dxa" w:w="2740"/>
            <w:vAlign w:val="center"/>
          </w:tcPr>
          <w:p w14:paraId="01B3552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r>
              <w:rPr>
                <w:rFonts w:eastAsiaTheme="minorEastAsia"/>
                <w:color w:themeColor="text1" w:val="000000"/>
                <w:szCs w:val="21"/>
              </w:rPr>
              <w:t>008315</w:t>
            </w:r>
          </w:p>
        </w:tc>
      </w:tr>
      <w:tr w14:paraId="083EB83F" w14:textId="77777777" w:rsidR="005E6DF3">
        <w:tc>
          <w:tcPr>
            <w:tcW w:type="dxa" w:w="2835"/>
            <w:vAlign w:val="center"/>
          </w:tcPr>
          <w:p w14:paraId="334614C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报告期末下属</w:t>
            </w:r>
            <w:r>
              <w:rPr>
                <w:rFonts w:eastAsiaTheme="minorEastAsia" w:hint="eastAsia"/>
                <w:color w:themeColor="text1" w:val="000000"/>
                <w:szCs w:val="21"/>
              </w:rPr>
              <w:t>分</w:t>
            </w:r>
            <w:r>
              <w:rPr>
                <w:rFonts w:eastAsiaTheme="minorEastAsia"/>
                <w:color w:themeColor="text1" w:val="000000"/>
                <w:szCs w:val="21"/>
              </w:rPr>
              <w:t>级基金的份额总额</w:t>
            </w:r>
          </w:p>
        </w:tc>
        <w:tc>
          <w:tcPr>
            <w:tcW w:type="dxa" w:w="2739"/>
            <w:vAlign w:val="center"/>
          </w:tcPr>
          <w:p w14:paraId="22984E3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3,201,842,666.87</w:t>
            </w:r>
            <w:r>
              <w:rPr>
                <w:rFonts w:eastAsiaTheme="minorEastAsia"/>
                <w:color w:themeColor="text1" w:val="000000"/>
                <w:kern w:val="0"/>
                <w:szCs w:val="21"/>
              </w:rPr>
              <w:t>份</w:t>
            </w:r>
          </w:p>
        </w:tc>
        <w:tc>
          <w:tcPr>
            <w:tcW w:type="dxa" w:w="2740"/>
            <w:vAlign w:val="center"/>
          </w:tcPr>
          <w:p w14:paraId="47FE7797"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764,625,889.88</w:t>
            </w:r>
            <w:r>
              <w:rPr>
                <w:rFonts w:eastAsiaTheme="minorEastAsia"/>
                <w:color w:themeColor="text1" w:val="000000"/>
                <w:kern w:val="0"/>
                <w:szCs w:val="21"/>
              </w:rPr>
              <w:t>份</w:t>
            </w:r>
          </w:p>
        </w:tc>
      </w:tr>
    </w:tbl>
    <w:p w14:paraId="03CEEBE2"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§3  </w:t>
      </w:r>
      <w:r>
        <w:rPr>
          <w:rFonts w:eastAsiaTheme="minorEastAsia"/>
          <w:color w:themeColor="text1" w:val="000000"/>
          <w:kern w:val="0"/>
          <w:sz w:val="21"/>
          <w:szCs w:val="21"/>
        </w:rPr>
        <w:t>主要财务指标和基金净值表现</w:t>
      </w:r>
    </w:p>
    <w:p w14:paraId="343BFA65"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3.1 </w:t>
      </w:r>
      <w:r>
        <w:rPr>
          <w:rFonts w:eastAsiaTheme="minorEastAsia"/>
          <w:b/>
          <w:color w:themeColor="text1" w:val="000000"/>
          <w:kern w:val="0"/>
          <w:szCs w:val="21"/>
        </w:rPr>
        <w:t>主要财务指标</w:t>
      </w:r>
    </w:p>
    <w:p w14:paraId="7C01BE7E"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481"/>
        <w:gridCol w:w="2481"/>
      </w:tblGrid>
      <w:tr w14:paraId="62729AC3" w14:textId="77777777" w:rsidR="005E6DF3">
        <w:tc>
          <w:tcPr>
            <w:tcW w:type="dxa" w:w="3402"/>
            <w:vMerge w:val="restart"/>
            <w:vAlign w:val="center"/>
          </w:tcPr>
          <w:p w14:paraId="69F5E4C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主要财务指标</w:t>
            </w:r>
          </w:p>
        </w:tc>
        <w:tc>
          <w:tcPr>
            <w:tcW w:type="dxa" w:w="4962"/>
            <w:gridSpan w:val="2"/>
            <w:vAlign w:val="center"/>
          </w:tcPr>
          <w:p w14:paraId="1955990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报告期</w:t>
            </w:r>
          </w:p>
          <w:p w14:paraId="03DD78D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w:t>
            </w:r>
            <w:proofErr w:type="spellStart"/>
            <w:r>
              <w:rPr>
                <w:rFonts w:eastAsiaTheme="minorEastAsia"/>
                <w:color w:themeColor="text1" w:val="000000"/>
                <w:szCs w:val="21"/>
              </w:rPr>
              <w:t/>
            </w:r>
            <w:proofErr w:type="spellEnd"/>
            <w:r>
              <w:rPr>
                <w:rFonts w:eastAsiaTheme="minorEastAsia"/>
                <w:color w:themeColor="text1" w:val="000000"/>
                <w:szCs w:val="21"/>
              </w:rPr>
              <w:t>2021年1月1日-</w:t>
            </w:r>
            <w:proofErr w:type="spellStart"/>
            <w:r>
              <w:rPr>
                <w:rFonts w:eastAsiaTheme="minorEastAsia"/>
                <w:color w:themeColor="text1" w:val="000000"/>
                <w:szCs w:val="21"/>
              </w:rPr>
              <w:t/>
            </w:r>
            <w:proofErr w:type="spellEnd"/>
            <w:r>
              <w:rPr>
                <w:rFonts w:eastAsiaTheme="minorEastAsia"/>
                <w:color w:themeColor="text1" w:val="000000"/>
                <w:szCs w:val="21"/>
              </w:rPr>
              <w:t>2021年3月31日)</w:t>
            </w:r>
          </w:p>
        </w:tc>
      </w:tr>
      <w:tr w14:paraId="59104F38" w14:textId="77777777" w:rsidR="005E6DF3">
        <w:tc>
          <w:tcPr>
            <w:tcW w:type="dxa" w:w="3402"/>
            <w:vMerge/>
            <w:vAlign w:val="center"/>
          </w:tcPr>
          <w:p w14:paraId="61A81AEE" w14:textId="77777777" w:rsidR="005E6DF3" w:rsidRDefault="005E6DF3">
            <w:pPr>
              <w:adjustRightInd w:val="0"/>
              <w:spacing w:before="29" w:line="360" w:lineRule="auto"/>
              <w:ind w:left="17"/>
              <w:rPr>
                <w:rFonts w:eastAsiaTheme="minorEastAsia"/>
                <w:color w:themeColor="text1" w:val="000000"/>
                <w:kern w:val="0"/>
                <w:szCs w:val="21"/>
              </w:rPr>
            </w:pPr>
          </w:p>
        </w:tc>
        <w:tc>
          <w:tcPr>
            <w:tcW w:type="dxa" w:w="2481"/>
            <w:vAlign w:val="center"/>
          </w:tcPr>
          <w:p w14:paraId="091E127A"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上投摩根慧选成长股票A</w:t>
            </w:r>
          </w:p>
        </w:tc>
        <w:tc>
          <w:tcPr>
            <w:tcW w:type="dxa" w:w="2481"/>
            <w:vAlign w:val="center"/>
          </w:tcPr>
          <w:p w14:paraId="61B78904"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上投摩根慧选成长股票C</w:t>
            </w:r>
          </w:p>
        </w:tc>
      </w:tr>
      <w:tr w14:paraId="0059DFD8" w14:textId="77777777" w:rsidR="005E6DF3">
        <w:tc>
          <w:tcPr>
            <w:tcW w:type="dxa" w:w="3402"/>
            <w:vAlign w:val="center"/>
          </w:tcPr>
          <w:p w14:paraId="61BBFF58"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1.</w:t>
            </w:r>
            <w:r>
              <w:rPr>
                <w:rFonts w:eastAsiaTheme="minorEastAsia"/>
                <w:color w:themeColor="text1" w:val="000000"/>
                <w:kern w:val="0"/>
                <w:szCs w:val="21"/>
              </w:rPr>
              <w:t>本期已实现收益</w:t>
            </w:r>
          </w:p>
        </w:tc>
        <w:tc>
          <w:tcPr>
            <w:tcW w:type="dxa" w:w="2481"/>
            <w:vAlign w:val="center"/>
          </w:tcPr>
          <w:p w14:paraId="043FB14F"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392,766,604.06</w:t>
            </w:r>
          </w:p>
        </w:tc>
        <w:tc>
          <w:tcPr>
            <w:tcW w:type="dxa" w:w="2481"/>
            <w:vAlign w:val="center"/>
          </w:tcPr>
          <w:p w14:paraId="1A81CB1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78,945,012.22</w:t>
            </w:r>
          </w:p>
        </w:tc>
      </w:tr>
      <w:tr w14:paraId="690250F2" w14:textId="77777777" w:rsidR="005E6DF3">
        <w:tc>
          <w:tcPr>
            <w:tcW w:type="dxa" w:w="3402"/>
            <w:vAlign w:val="center"/>
          </w:tcPr>
          <w:p w14:paraId="12ED1FD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2.</w:t>
            </w:r>
            <w:r>
              <w:rPr>
                <w:rFonts w:eastAsiaTheme="minorEastAsia"/>
                <w:color w:themeColor="text1" w:val="000000"/>
                <w:kern w:val="0"/>
                <w:szCs w:val="21"/>
              </w:rPr>
              <w:t>本期利润</w:t>
            </w:r>
          </w:p>
        </w:tc>
        <w:tc>
          <w:tcPr>
            <w:tcW w:type="dxa" w:w="2481"/>
            <w:vAlign w:val="center"/>
          </w:tcPr>
          <w:p w14:paraId="2DEA26D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-443,920,413.25</w:t>
            </w:r>
          </w:p>
        </w:tc>
        <w:tc>
          <w:tcPr>
            <w:tcW w:type="dxa" w:w="2481"/>
            <w:vAlign w:val="center"/>
          </w:tcPr>
          <w:p w14:paraId="0AE0B16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-167,041,253.77</w:t>
            </w:r>
          </w:p>
        </w:tc>
      </w:tr>
      <w:tr w14:paraId="0BFB5843" w14:textId="77777777" w:rsidR="005E6DF3">
        <w:tc>
          <w:tcPr>
            <w:tcW w:type="dxa" w:w="3402"/>
            <w:vAlign w:val="center"/>
          </w:tcPr>
          <w:p w14:paraId="18E84B47"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3.</w:t>
            </w:r>
            <w:r>
              <w:rPr>
                <w:rFonts w:eastAsiaTheme="minorEastAsia"/>
                <w:color w:themeColor="text1" w:val="000000"/>
                <w:kern w:val="0"/>
                <w:szCs w:val="21"/>
              </w:rPr>
              <w:t>加权平均基金份额本期利润</w:t>
            </w:r>
          </w:p>
        </w:tc>
        <w:tc>
          <w:tcPr>
            <w:tcW w:type="dxa" w:w="2481"/>
            <w:vAlign w:val="center"/>
          </w:tcPr>
          <w:p w14:paraId="229CA3D5"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-0.1433</w:t>
            </w:r>
          </w:p>
        </w:tc>
        <w:tc>
          <w:tcPr>
            <w:tcW w:type="dxa" w:w="2481"/>
            <w:vAlign w:val="center"/>
          </w:tcPr>
          <w:p w14:paraId="6E45EF54"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-0.2616</w:t>
            </w:r>
          </w:p>
        </w:tc>
      </w:tr>
      <w:tr w14:paraId="6153416B" w14:textId="77777777" w:rsidR="005E6DF3">
        <w:tc>
          <w:tcPr>
            <w:tcW w:type="dxa" w:w="3402"/>
            <w:vAlign w:val="center"/>
          </w:tcPr>
          <w:p w14:paraId="4475C7C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4.</w:t>
            </w:r>
            <w:r>
              <w:rPr>
                <w:rFonts w:eastAsiaTheme="minorEastAsia"/>
                <w:color w:themeColor="text1" w:val="000000"/>
                <w:kern w:val="0"/>
                <w:szCs w:val="21"/>
              </w:rPr>
              <w:t>期末基金资产净值</w:t>
            </w:r>
          </w:p>
        </w:tc>
        <w:tc>
          <w:tcPr>
            <w:tcW w:type="dxa" w:w="2481"/>
            <w:vAlign w:val="center"/>
          </w:tcPr>
          <w:p w14:paraId="757EC58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5,622,315,379.55</w:t>
            </w:r>
          </w:p>
        </w:tc>
        <w:tc>
          <w:tcPr>
            <w:tcW w:type="dxa" w:w="2481"/>
            <w:vAlign w:val="center"/>
          </w:tcPr>
          <w:p w14:paraId="1B6DE0BC"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1,330,236,677.93</w:t>
            </w:r>
          </w:p>
        </w:tc>
      </w:tr>
      <w:tr w14:paraId="11868B78" w14:textId="77777777" w:rsidR="005E6DF3">
        <w:trPr>
          <w:trHeight w:val="158"/>
        </w:trPr>
        <w:tc>
          <w:tcPr>
            <w:tcW w:type="dxa" w:w="3402"/>
            <w:vAlign w:val="center"/>
          </w:tcPr>
          <w:p w14:paraId="52019DC1"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5.</w:t>
            </w:r>
            <w:r>
              <w:rPr>
                <w:rFonts w:eastAsiaTheme="minorEastAsia"/>
                <w:color w:themeColor="text1" w:val="000000"/>
                <w:kern w:val="0"/>
                <w:szCs w:val="21"/>
              </w:rPr>
              <w:t>期末基金份额净值</w:t>
            </w:r>
          </w:p>
        </w:tc>
        <w:tc>
          <w:tcPr>
            <w:tcW w:type="dxa" w:w="2481"/>
            <w:vAlign w:val="center"/>
          </w:tcPr>
          <w:p w14:paraId="230DE6E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1.7560</w:t>
            </w:r>
          </w:p>
        </w:tc>
        <w:tc>
          <w:tcPr>
            <w:tcW w:type="dxa" w:w="2481"/>
            <w:vAlign w:val="center"/>
          </w:tcPr>
          <w:p w14:paraId="67610EE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1.7397</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xml:space="preserve">注：本期已实现收益指基金本期利息收入、投资收益、其他收入(不含公允价值变动收益)扣除相关费用后的余额，本期利润为本期已实现收益加上本期公允价值变动收益。 </w:t>
      </w:r>
    </w:p>
    <w:p w14:paraId="0BF3BAB1"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上述基金业绩指标不包括持有人认购或交易基金的各项费用（例如，开放式基金的申购赎回费、红利再投资费、基金转换费等），计入费用后实际收益水平要低于所列数字。</w:t>
      </w:r>
    </w:p>
    <w:p w14:paraId="204DDFD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3.2 </w:t>
      </w:r>
      <w:r>
        <w:rPr>
          <w:rFonts w:eastAsiaTheme="minorEastAsia"/>
          <w:b/>
          <w:color w:themeColor="text1" w:val="000000"/>
          <w:kern w:val="0"/>
          <w:szCs w:val="21"/>
        </w:rPr>
        <w:t>基金净值表现</w:t>
      </w:r>
    </w:p>
    <w:p w14:paraId="6691C04E"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3.2.1</w:t>
      </w:r>
      <w:r>
        <w:rPr>
          <w:rFonts w:eastAsiaTheme="minorEastAsia"/>
          <w:b/>
          <w:color w:themeColor="text1" w:val="000000"/>
          <w:kern w:val="0"/>
          <w:szCs w:val="21"/>
        </w:rPr>
        <w:t>本报告</w:t>
      </w:r>
      <w:proofErr w:type="gramStart"/>
      <w:r>
        <w:rPr>
          <w:rFonts w:eastAsiaTheme="minorEastAsia"/>
          <w:b/>
          <w:color w:themeColor="text1" w:val="000000"/>
          <w:kern w:val="0"/>
          <w:szCs w:val="21"/>
        </w:rPr>
        <w:t>期基金</w:t>
      </w:r>
      <w:proofErr w:type="gramEnd"/>
      <w:r>
        <w:rPr>
          <w:rFonts w:eastAsiaTheme="minorEastAsia"/>
          <w:b/>
          <w:color w:themeColor="text1" w:val="000000"/>
          <w:kern w:val="0"/>
          <w:szCs w:val="21"/>
        </w:rPr>
        <w:t>份额净值增长率及其与同期业绩比较基准收益率的比较</w:t>
      </w:r>
    </w:p>
    <w:p w14:paraId="008B51D2" w14:textId="77777777" w:rsidR="005E6DF3" w:rsidRDefault="005C671B">
      <w:pPr>
        <w:spacing w:line="360" w:lineRule="auto"/>
        <w:rPr>
          <w:rFonts w:eastAsiaTheme="minorEastAsia"/>
          <w:b/>
          <w:color w:themeColor="text1" w:val="000000"/>
          <w:szCs w:val="21"/>
        </w:rPr>
      </w:pPr>
      <w:r>
        <w:rPr>
          <w:rFonts w:eastAsiaTheme="minorEastAsia"/>
          <w:b/>
          <w:color w:themeColor="text1" w:val="000000"/>
          <w:szCs w:val="21"/>
        </w:rPr>
        <w:t>1</w:t>
      </w:r>
      <w:r>
        <w:rPr>
          <w:rFonts w:eastAsiaTheme="minorEastAsia"/>
          <w:b/>
          <w:color w:themeColor="text1" w:val="000000"/>
          <w:szCs w:val="21"/>
        </w:rPr>
        <w:t>、</w:t>
      </w: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上投摩根慧选成长股票A</w:t>
      </w:r>
      <w:r>
        <w:rPr>
          <w:rFonts w:eastAsiaTheme="minorEastAsia"/>
          <w:b/>
          <w:color w:themeColor="text1" w:val="00000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13CD749B" w14:textId="77777777" w:rsidR="005E6DF3">
        <w:tc>
          <w:tcPr>
            <w:tcW w:type="dxa" w:w="1290"/>
            <w:vAlign w:val="center"/>
          </w:tcPr>
          <w:p w14:paraId="7BCEA4D3"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196340E"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3A57D6C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56D7540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1DBF722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548BF5D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1862727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-4.93%</w:t>
            </w:r>
          </w:p>
        </w:tc>
        <w:tc>
          <w:tcPr>
            <w:vAlign w:val="center"/>
          </w:tcPr>
          <w:p>
            <w:pPr>
              <w:jc w:val="right"/>
            </w:pPr>
            <w:r>
              <w:rPr>
                <w:rFonts w:eastAsiaTheme="minorEastAsia"/>
                <w:color w:themeColor="text1" w:val="000000"/>
                <w:szCs w:val="21"/>
              </w:rPr>
              <w:t>2.09%</w:t>
            </w:r>
          </w:p>
        </w:tc>
        <w:tc>
          <w:tcPr>
            <w:vAlign w:val="center"/>
          </w:tcPr>
          <w:p>
            <w:pPr>
              <w:jc w:val="right"/>
            </w:pPr>
            <w:r>
              <w:rPr>
                <w:rFonts w:eastAsiaTheme="minorEastAsia"/>
                <w:color w:themeColor="text1" w:val="000000"/>
                <w:szCs w:val="21"/>
              </w:rPr>
              <w:t>-1.52%</w:t>
            </w:r>
          </w:p>
        </w:tc>
        <w:tc>
          <w:tcPr>
            <w:vAlign w:val="center"/>
          </w:tcPr>
          <w:p>
            <w:pPr>
              <w:jc w:val="right"/>
            </w:pPr>
            <w:r>
              <w:rPr>
                <w:rFonts w:eastAsiaTheme="minorEastAsia"/>
                <w:color w:themeColor="text1" w:val="000000"/>
                <w:szCs w:val="21"/>
              </w:rPr>
              <w:t>1.23%</w:t>
            </w:r>
          </w:p>
        </w:tc>
        <w:tc>
          <w:tcPr>
            <w:vAlign w:val="center"/>
          </w:tcPr>
          <w:p>
            <w:pPr>
              <w:jc w:val="right"/>
            </w:pPr>
            <w:r>
              <w:rPr>
                <w:rFonts w:eastAsiaTheme="minorEastAsia"/>
                <w:color w:themeColor="text1" w:val="000000"/>
                <w:szCs w:val="21"/>
              </w:rPr>
              <w:t>-3.41%</w:t>
            </w:r>
          </w:p>
        </w:tc>
        <w:tc>
          <w:tcPr>
            <w:vAlign w:val="center"/>
          </w:tcPr>
          <w:p>
            <w:pPr>
              <w:jc w:val="right"/>
            </w:pPr>
            <w:r>
              <w:rPr>
                <w:rFonts w:eastAsiaTheme="minorEastAsia"/>
                <w:color w:themeColor="text1" w:val="000000"/>
                <w:szCs w:val="21"/>
              </w:rPr>
              <w:t>0.86%</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12.54%</w:t>
            </w:r>
          </w:p>
        </w:tc>
        <w:tc>
          <w:tcPr>
            <w:vAlign w:val="center"/>
          </w:tcPr>
          <w:p>
            <w:pPr>
              <w:jc w:val="right"/>
            </w:pPr>
            <w:r>
              <w:rPr>
                <w:rFonts w:eastAsiaTheme="minorEastAsia"/>
                <w:color w:themeColor="text1" w:val="000000"/>
                <w:szCs w:val="21"/>
              </w:rPr>
              <w:t>1.74%</w:t>
            </w:r>
          </w:p>
        </w:tc>
        <w:tc>
          <w:tcPr>
            <w:vAlign w:val="center"/>
          </w:tcPr>
          <w:p>
            <w:pPr>
              <w:jc w:val="right"/>
            </w:pPr>
            <w:r>
              <w:rPr>
                <w:rFonts w:eastAsiaTheme="minorEastAsia"/>
                <w:color w:themeColor="text1" w:val="000000"/>
                <w:szCs w:val="21"/>
              </w:rPr>
              <w:t>7.88%</w:t>
            </w:r>
          </w:p>
        </w:tc>
        <w:tc>
          <w:tcPr>
            <w:vAlign w:val="center"/>
          </w:tcPr>
          <w:p>
            <w:pPr>
              <w:jc w:val="right"/>
            </w:pPr>
            <w:r>
              <w:rPr>
                <w:rFonts w:eastAsiaTheme="minorEastAsia"/>
                <w:color w:themeColor="text1" w:val="000000"/>
                <w:szCs w:val="21"/>
              </w:rPr>
              <w:t>1.04%</w:t>
            </w:r>
          </w:p>
        </w:tc>
        <w:tc>
          <w:tcPr>
            <w:vAlign w:val="center"/>
          </w:tcPr>
          <w:p>
            <w:pPr>
              <w:jc w:val="right"/>
            </w:pPr>
            <w:r>
              <w:rPr>
                <w:rFonts w:eastAsiaTheme="minorEastAsia"/>
                <w:color w:themeColor="text1" w:val="000000"/>
                <w:szCs w:val="21"/>
              </w:rPr>
              <w:t>4.66%</w:t>
            </w:r>
          </w:p>
        </w:tc>
        <w:tc>
          <w:tcPr>
            <w:vAlign w:val="center"/>
          </w:tcPr>
          <w:p>
            <w:pPr>
              <w:jc w:val="right"/>
            </w:pPr>
            <w:r>
              <w:rPr>
                <w:rFonts w:eastAsiaTheme="minorEastAsia"/>
                <w:color w:themeColor="text1" w:val="000000"/>
                <w:szCs w:val="21"/>
              </w:rPr>
              <w:t>0.70%</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81.72%</w:t>
            </w:r>
          </w:p>
        </w:tc>
        <w:tc>
          <w:tcPr>
            <w:vAlign w:val="center"/>
          </w:tcPr>
          <w:p>
            <w:pPr>
              <w:jc w:val="right"/>
            </w:pPr>
            <w:r>
              <w:rPr>
                <w:rFonts w:eastAsiaTheme="minorEastAsia"/>
                <w:color w:themeColor="text1" w:val="000000"/>
                <w:szCs w:val="21"/>
              </w:rPr>
              <w:t>1.68%</w:t>
            </w:r>
          </w:p>
        </w:tc>
        <w:tc>
          <w:tcPr>
            <w:vAlign w:val="center"/>
          </w:tcPr>
          <w:p>
            <w:pPr>
              <w:jc w:val="right"/>
            </w:pPr>
            <w:r>
              <w:rPr>
                <w:rFonts w:eastAsiaTheme="minorEastAsia"/>
                <w:color w:themeColor="text1" w:val="000000"/>
                <w:szCs w:val="21"/>
              </w:rPr>
              <w:t>28.48%</w:t>
            </w:r>
          </w:p>
        </w:tc>
        <w:tc>
          <w:tcPr>
            <w:vAlign w:val="center"/>
          </w:tcPr>
          <w:p>
            <w:pPr>
              <w:jc w:val="right"/>
            </w:pPr>
            <w:r>
              <w:rPr>
                <w:rFonts w:eastAsiaTheme="minorEastAsia"/>
                <w:color w:themeColor="text1" w:val="000000"/>
                <w:szCs w:val="21"/>
              </w:rPr>
              <w:t>1.06%</w:t>
            </w:r>
          </w:p>
        </w:tc>
        <w:tc>
          <w:tcPr>
            <w:vAlign w:val="center"/>
          </w:tcPr>
          <w:p>
            <w:pPr>
              <w:jc w:val="right"/>
            </w:pPr>
            <w:r>
              <w:rPr>
                <w:rFonts w:eastAsiaTheme="minorEastAsia"/>
                <w:color w:themeColor="text1" w:val="000000"/>
                <w:szCs w:val="21"/>
              </w:rPr>
              <w:t>53.24%</w:t>
            </w:r>
          </w:p>
        </w:tc>
        <w:tc>
          <w:tcPr>
            <w:vAlign w:val="center"/>
          </w:tcPr>
          <w:p>
            <w:pPr>
              <w:jc w:val="right"/>
            </w:pPr>
            <w:r>
              <w:rPr>
                <w:rFonts w:eastAsiaTheme="minorEastAsia"/>
                <w:color w:themeColor="text1" w:val="000000"/>
                <w:szCs w:val="21"/>
              </w:rPr>
              <w:t>0.62%</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75.60%</w:t>
            </w:r>
          </w:p>
        </w:tc>
        <w:tc>
          <w:tcPr>
            <w:vAlign w:val="center"/>
          </w:tcPr>
          <w:p>
            <w:pPr>
              <w:jc w:val="right"/>
            </w:pPr>
            <w:r>
              <w:rPr>
                <w:rFonts w:eastAsiaTheme="minorEastAsia"/>
                <w:color w:themeColor="text1" w:val="000000"/>
                <w:szCs w:val="21"/>
              </w:rPr>
              <w:t>1.61%</w:t>
            </w:r>
          </w:p>
        </w:tc>
        <w:tc>
          <w:tcPr>
            <w:vAlign w:val="center"/>
          </w:tcPr>
          <w:p>
            <w:pPr>
              <w:jc w:val="right"/>
            </w:pPr>
            <w:r>
              <w:rPr>
                <w:rFonts w:eastAsiaTheme="minorEastAsia"/>
                <w:color w:themeColor="text1" w:val="000000"/>
                <w:szCs w:val="21"/>
              </w:rPr>
              <w:t>17.18%</w:t>
            </w:r>
          </w:p>
        </w:tc>
        <w:tc>
          <w:tcPr>
            <w:vAlign w:val="center"/>
          </w:tcPr>
          <w:p>
            <w:pPr>
              <w:jc w:val="right"/>
            </w:pPr>
            <w:r>
              <w:rPr>
                <w:rFonts w:eastAsiaTheme="minorEastAsia"/>
                <w:color w:themeColor="text1" w:val="000000"/>
                <w:szCs w:val="21"/>
              </w:rPr>
              <w:t>1.22%</w:t>
            </w:r>
          </w:p>
        </w:tc>
        <w:tc>
          <w:tcPr>
            <w:vAlign w:val="center"/>
          </w:tcPr>
          <w:p>
            <w:pPr>
              <w:jc w:val="right"/>
            </w:pPr>
            <w:r>
              <w:rPr>
                <w:rFonts w:eastAsiaTheme="minorEastAsia"/>
                <w:color w:themeColor="text1" w:val="000000"/>
                <w:szCs w:val="21"/>
              </w:rPr>
              <w:t>58.42%</w:t>
            </w:r>
          </w:p>
        </w:tc>
        <w:tc>
          <w:tcPr>
            <w:vAlign w:val="center"/>
          </w:tcPr>
          <w:p>
            <w:pPr>
              <w:jc w:val="right"/>
            </w:pPr>
            <w:r>
              <w:rPr>
                <w:rFonts w:eastAsiaTheme="minorEastAsia"/>
                <w:color w:themeColor="text1" w:val="000000"/>
                <w:szCs w:val="21"/>
              </w:rPr>
              <w:t>0.39%</w:t>
            </w:r>
          </w:p>
        </w:tc>
      </w:tr>
    </w:tbl>
    <w:p w14:paraId="1AC087F9" w14:textId="77777777" w:rsidR="005E6DF3" w:rsidRDefault="005C671B">
      <w:pPr>
        <w:adjustRightInd w:val="0"/>
        <w:spacing w:before="312" w:beforeLines="100" w:line="360" w:lineRule="auto"/>
        <w:rPr>
          <w:rFonts w:eastAsiaTheme="minorEastAsia"/>
          <w:b/>
          <w:color w:themeColor="text1" w:val="000000"/>
          <w:kern w:val="0"/>
          <w:szCs w:val="21"/>
        </w:rPr>
      </w:pPr>
      <w:r>
        <w:rPr>
          <w:rFonts w:eastAsiaTheme="minorEastAsia"/>
          <w:b/>
          <w:color w:themeColor="text1" w:val="000000"/>
          <w:szCs w:val="21"/>
        </w:rPr>
        <w:lastRenderedPageBreak/>
        <w:t>2</w:t>
      </w:r>
      <w:r>
        <w:rPr>
          <w:rFonts w:eastAsiaTheme="minorEastAsia"/>
          <w:b/>
          <w:color w:themeColor="text1" w:val="000000"/>
          <w:szCs w:val="21"/>
        </w:rPr>
        <w:t>、</w:t>
      </w:r>
      <w:r>
        <w:rPr>
          <w:rFonts w:eastAsiaTheme="minorEastAsia"/>
          <w:b/>
          <w:color w:themeColor="text1" w:val="000000"/>
          <w:kern w:val="0"/>
          <w:szCs w:val="21"/>
        </w:rPr>
        <w:t>上投摩根慧选成长股票C</w:t>
      </w:r>
      <w:r>
        <w:rPr>
          <w:rFonts w:eastAsiaTheme="minorEastAsia"/>
          <w:b/>
          <w:color w:themeColor="text1" w:val="000000"/>
          <w:kern w:val="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4F26FCF0" w14:textId="77777777" w:rsidR="005E6DF3">
        <w:tc>
          <w:tcPr>
            <w:tcW w:type="dxa" w:w="1290"/>
            <w:vAlign w:val="center"/>
          </w:tcPr>
          <w:p w14:paraId="672D1BAB"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88B6283"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264F0AF1"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416380B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214EAD8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6264BA5C"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4D4E47D8"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-5.12%</w:t>
            </w:r>
          </w:p>
        </w:tc>
        <w:tc>
          <w:tcPr>
            <w:vAlign w:val="center"/>
          </w:tcPr>
          <w:p>
            <w:pPr>
              <w:jc w:val="right"/>
            </w:pPr>
            <w:r>
              <w:rPr>
                <w:rFonts w:eastAsiaTheme="minorEastAsia"/>
                <w:color w:themeColor="text1" w:val="000000"/>
                <w:szCs w:val="21"/>
              </w:rPr>
              <w:t>2.09%</w:t>
            </w:r>
          </w:p>
        </w:tc>
        <w:tc>
          <w:tcPr>
            <w:vAlign w:val="center"/>
          </w:tcPr>
          <w:p>
            <w:pPr>
              <w:jc w:val="right"/>
            </w:pPr>
            <w:r>
              <w:rPr>
                <w:rFonts w:eastAsiaTheme="minorEastAsia"/>
                <w:color w:themeColor="text1" w:val="000000"/>
                <w:szCs w:val="21"/>
              </w:rPr>
              <w:t>-1.52%</w:t>
            </w:r>
          </w:p>
        </w:tc>
        <w:tc>
          <w:tcPr>
            <w:vAlign w:val="center"/>
          </w:tcPr>
          <w:p>
            <w:pPr>
              <w:jc w:val="right"/>
            </w:pPr>
            <w:r>
              <w:rPr>
                <w:rFonts w:eastAsiaTheme="minorEastAsia"/>
                <w:color w:themeColor="text1" w:val="000000"/>
                <w:szCs w:val="21"/>
              </w:rPr>
              <w:t>1.23%</w:t>
            </w:r>
          </w:p>
        </w:tc>
        <w:tc>
          <w:tcPr>
            <w:vAlign w:val="center"/>
          </w:tcPr>
          <w:p>
            <w:pPr>
              <w:jc w:val="right"/>
            </w:pPr>
            <w:r>
              <w:rPr>
                <w:rFonts w:eastAsiaTheme="minorEastAsia"/>
                <w:color w:themeColor="text1" w:val="000000"/>
                <w:szCs w:val="21"/>
              </w:rPr>
              <w:t>-3.60%</w:t>
            </w:r>
          </w:p>
        </w:tc>
        <w:tc>
          <w:tcPr>
            <w:vAlign w:val="center"/>
          </w:tcPr>
          <w:p>
            <w:pPr>
              <w:jc w:val="right"/>
            </w:pPr>
            <w:r>
              <w:rPr>
                <w:rFonts w:eastAsiaTheme="minorEastAsia"/>
                <w:color w:themeColor="text1" w:val="000000"/>
                <w:szCs w:val="21"/>
              </w:rPr>
              <w:t>0.86%</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12.09%</w:t>
            </w:r>
          </w:p>
        </w:tc>
        <w:tc>
          <w:tcPr>
            <w:vAlign w:val="center"/>
          </w:tcPr>
          <w:p>
            <w:pPr>
              <w:jc w:val="right"/>
            </w:pPr>
            <w:r>
              <w:rPr>
                <w:rFonts w:eastAsiaTheme="minorEastAsia"/>
                <w:color w:themeColor="text1" w:val="000000"/>
                <w:szCs w:val="21"/>
              </w:rPr>
              <w:t>1.74%</w:t>
            </w:r>
          </w:p>
        </w:tc>
        <w:tc>
          <w:tcPr>
            <w:vAlign w:val="center"/>
          </w:tcPr>
          <w:p>
            <w:pPr>
              <w:jc w:val="right"/>
            </w:pPr>
            <w:r>
              <w:rPr>
                <w:rFonts w:eastAsiaTheme="minorEastAsia"/>
                <w:color w:themeColor="text1" w:val="000000"/>
                <w:szCs w:val="21"/>
              </w:rPr>
              <w:t>7.88%</w:t>
            </w:r>
          </w:p>
        </w:tc>
        <w:tc>
          <w:tcPr>
            <w:vAlign w:val="center"/>
          </w:tcPr>
          <w:p>
            <w:pPr>
              <w:jc w:val="right"/>
            </w:pPr>
            <w:r>
              <w:rPr>
                <w:rFonts w:eastAsiaTheme="minorEastAsia"/>
                <w:color w:themeColor="text1" w:val="000000"/>
                <w:szCs w:val="21"/>
              </w:rPr>
              <w:t>1.04%</w:t>
            </w:r>
          </w:p>
        </w:tc>
        <w:tc>
          <w:tcPr>
            <w:vAlign w:val="center"/>
          </w:tcPr>
          <w:p>
            <w:pPr>
              <w:jc w:val="right"/>
            </w:pPr>
            <w:r>
              <w:rPr>
                <w:rFonts w:eastAsiaTheme="minorEastAsia"/>
                <w:color w:themeColor="text1" w:val="000000"/>
                <w:szCs w:val="21"/>
              </w:rPr>
              <w:t>4.21%</w:t>
            </w:r>
          </w:p>
        </w:tc>
        <w:tc>
          <w:tcPr>
            <w:vAlign w:val="center"/>
          </w:tcPr>
          <w:p>
            <w:pPr>
              <w:jc w:val="right"/>
            </w:pPr>
            <w:r>
              <w:rPr>
                <w:rFonts w:eastAsiaTheme="minorEastAsia"/>
                <w:color w:themeColor="text1" w:val="000000"/>
                <w:szCs w:val="21"/>
              </w:rPr>
              <w:t>0.70%</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80.30%</w:t>
            </w:r>
          </w:p>
        </w:tc>
        <w:tc>
          <w:tcPr>
            <w:vAlign w:val="center"/>
          </w:tcPr>
          <w:p>
            <w:pPr>
              <w:jc w:val="right"/>
            </w:pPr>
            <w:r>
              <w:rPr>
                <w:rFonts w:eastAsiaTheme="minorEastAsia"/>
                <w:color w:themeColor="text1" w:val="000000"/>
                <w:szCs w:val="21"/>
              </w:rPr>
              <w:t>1.68%</w:t>
            </w:r>
          </w:p>
        </w:tc>
        <w:tc>
          <w:tcPr>
            <w:vAlign w:val="center"/>
          </w:tcPr>
          <w:p>
            <w:pPr>
              <w:jc w:val="right"/>
            </w:pPr>
            <w:r>
              <w:rPr>
                <w:rFonts w:eastAsiaTheme="minorEastAsia"/>
                <w:color w:themeColor="text1" w:val="000000"/>
                <w:szCs w:val="21"/>
              </w:rPr>
              <w:t>28.48%</w:t>
            </w:r>
          </w:p>
        </w:tc>
        <w:tc>
          <w:tcPr>
            <w:vAlign w:val="center"/>
          </w:tcPr>
          <w:p>
            <w:pPr>
              <w:jc w:val="right"/>
            </w:pPr>
            <w:r>
              <w:rPr>
                <w:rFonts w:eastAsiaTheme="minorEastAsia"/>
                <w:color w:themeColor="text1" w:val="000000"/>
                <w:szCs w:val="21"/>
              </w:rPr>
              <w:t>1.06%</w:t>
            </w:r>
          </w:p>
        </w:tc>
        <w:tc>
          <w:tcPr>
            <w:vAlign w:val="center"/>
          </w:tcPr>
          <w:p>
            <w:pPr>
              <w:jc w:val="right"/>
            </w:pPr>
            <w:r>
              <w:rPr>
                <w:rFonts w:eastAsiaTheme="minorEastAsia"/>
                <w:color w:themeColor="text1" w:val="000000"/>
                <w:szCs w:val="21"/>
              </w:rPr>
              <w:t>51.82%</w:t>
            </w:r>
          </w:p>
        </w:tc>
        <w:tc>
          <w:tcPr>
            <w:vAlign w:val="center"/>
          </w:tcPr>
          <w:p>
            <w:pPr>
              <w:jc w:val="right"/>
            </w:pPr>
            <w:r>
              <w:rPr>
                <w:rFonts w:eastAsiaTheme="minorEastAsia"/>
                <w:color w:themeColor="text1" w:val="000000"/>
                <w:szCs w:val="21"/>
              </w:rPr>
              <w:t>0.62%</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73.97%</w:t>
            </w:r>
          </w:p>
        </w:tc>
        <w:tc>
          <w:tcPr>
            <w:vAlign w:val="center"/>
          </w:tcPr>
          <w:p>
            <w:pPr>
              <w:jc w:val="right"/>
            </w:pPr>
            <w:r>
              <w:rPr>
                <w:rFonts w:eastAsiaTheme="minorEastAsia"/>
                <w:color w:themeColor="text1" w:val="000000"/>
                <w:szCs w:val="21"/>
              </w:rPr>
              <w:t>1.61%</w:t>
            </w:r>
          </w:p>
        </w:tc>
        <w:tc>
          <w:tcPr>
            <w:vAlign w:val="center"/>
          </w:tcPr>
          <w:p>
            <w:pPr>
              <w:jc w:val="right"/>
            </w:pPr>
            <w:r>
              <w:rPr>
                <w:rFonts w:eastAsiaTheme="minorEastAsia"/>
                <w:color w:themeColor="text1" w:val="000000"/>
                <w:szCs w:val="21"/>
              </w:rPr>
              <w:t>17.18%</w:t>
            </w:r>
          </w:p>
        </w:tc>
        <w:tc>
          <w:tcPr>
            <w:vAlign w:val="center"/>
          </w:tcPr>
          <w:p>
            <w:pPr>
              <w:jc w:val="right"/>
            </w:pPr>
            <w:r>
              <w:rPr>
                <w:rFonts w:eastAsiaTheme="minorEastAsia"/>
                <w:color w:themeColor="text1" w:val="000000"/>
                <w:szCs w:val="21"/>
              </w:rPr>
              <w:t>1.22%</w:t>
            </w:r>
          </w:p>
        </w:tc>
        <w:tc>
          <w:tcPr>
            <w:vAlign w:val="center"/>
          </w:tcPr>
          <w:p>
            <w:pPr>
              <w:jc w:val="right"/>
            </w:pPr>
            <w:r>
              <w:rPr>
                <w:rFonts w:eastAsiaTheme="minorEastAsia"/>
                <w:color w:themeColor="text1" w:val="000000"/>
                <w:szCs w:val="21"/>
              </w:rPr>
              <w:t>56.79%</w:t>
            </w:r>
          </w:p>
        </w:tc>
        <w:tc>
          <w:tcPr>
            <w:vAlign w:val="center"/>
          </w:tcPr>
          <w:p>
            <w:pPr>
              <w:jc w:val="right"/>
            </w:pPr>
            <w:r>
              <w:rPr>
                <w:rFonts w:eastAsiaTheme="minorEastAsia"/>
                <w:color w:themeColor="text1" w:val="000000"/>
                <w:szCs w:val="21"/>
              </w:rPr>
              <w:t>0.39%</w:t>
            </w:r>
          </w:p>
        </w:tc>
      </w:tr>
    </w:tbl>
    <w:p w14:paraId="4474696C"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3.2.2</w:t>
      </w:r>
      <w:r>
        <w:rPr>
          <w:rFonts w:eastAsiaTheme="minorEastAsia"/>
          <w:b/>
          <w:color w:themeColor="text1" w:val="000000"/>
          <w:kern w:val="0"/>
          <w:szCs w:val="21"/>
        </w:rPr>
        <w:t xml:space="preserve">　</w:t>
      </w:r>
      <w:r>
        <w:rPr>
          <w:rStyle w:val="af5"/>
          <w:color w:themeColor="text1" w:val="000000"/>
          <w:szCs w:val="21"/>
          <w:shd w:color="auto" w:fill="FFFFFF" w:val="clear"/>
        </w:rPr>
        <w:t/>
      </w:r>
      <w:proofErr w:type="spellStart"/>
      <w:r>
        <w:rPr>
          <w:rStyle w:val="af5"/>
          <w:color w:themeColor="text1" w:val="000000"/>
          <w:szCs w:val="21"/>
          <w:shd w:color="auto" w:fill="FFFFFF" w:val="clear"/>
        </w:rPr>
        <w:t/>
      </w:r>
      <w:proofErr w:type="spellEnd"/>
      <w:r>
        <w:rPr>
          <w:rStyle w:val="af5"/>
          <w:color w:themeColor="text1" w:val="000000"/>
          <w:szCs w:val="21"/>
          <w:shd w:color="auto" w:fill="FFFFFF" w:val="clear"/>
        </w:rPr>
        <w:t>自基金合同生效以来</w:t>
      </w:r>
      <w:r>
        <w:rPr>
          <w:rFonts w:eastAsiaTheme="minorEastAsia"/>
          <w:b/>
          <w:color w:themeColor="text1" w:val="000000"/>
          <w:szCs w:val="21"/>
        </w:rPr>
        <w:t>基金累计净值增长率变动及其与同期业绩比较基准收益率变动的比较</w:t>
      </w:r>
    </w:p>
    <w:p w14:paraId="40FD344B" w14:textId="77777777" w:rsidR="005E6DF3" w:rsidRDefault="005C671B">
      <w:pPr>
        <w:spacing w:line="360" w:lineRule="auto"/>
        <w:jc w:val="center"/>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上投摩根慧选成长股票型证券投资基金</w:t>
      </w:r>
    </w:p>
    <w:p w14:paraId="4CCBF5D7" w14:textId="77777777" w:rsidR="005E6DF3" w:rsidRDefault="005C671B">
      <w:pPr>
        <w:pStyle w:val="a9"/>
        <w:snapToGrid w:val="0"/>
        <w:spacing w:line="360" w:lineRule="auto"/>
        <w:jc w:val="center"/>
        <w:rPr>
          <w:rFonts w:ascii="Times New Roman" w:eastAsiaTheme="minorEastAsia" w:hAnsi="Times New Roman"/>
          <w:color w:themeColor="text1" w:val="000000"/>
        </w:rPr>
      </w:pPr>
      <w:r>
        <w:rPr>
          <w:rFonts w:ascii="Times New Roman" w:eastAsiaTheme="minorEastAsia" w:hAnsi="Times New Roman"/>
          <w:color w:themeColor="text1" w:val="000000"/>
        </w:rPr>
        <w:t>累计净值增长率与业绩比较基准收益率的历史走势对比图</w:t>
      </w:r>
    </w:p>
    <w:p w14:paraId="47A315B7" w14:textId="77777777" w:rsidR="005E6DF3" w:rsidRDefault="005C671B">
      <w:pPr>
        <w:pStyle w:val="a9"/>
        <w:snapToGrid w:val="0"/>
        <w:spacing w:line="360" w:lineRule="auto"/>
        <w:ind w:firstLine="480"/>
        <w:jc w:val="center"/>
        <w:rPr>
          <w:rFonts w:ascii="Times New Roman" w:eastAsiaTheme="minorEastAsia" w:hAnsi="Times New Roman"/>
          <w:color w:themeColor="text1" w:val="000000"/>
        </w:rPr>
      </w:pPr>
      <w:r>
        <w:rPr>
          <w:rFonts w:ascii="Times New Roman" w:eastAsiaTheme="minorEastAsia" w:hAnsi="Times New Roman"/>
          <w:color w:themeColor="text1" w:val="000000"/>
        </w:rPr>
        <w:t>(</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2020年1月22日</w:t>
      </w:r>
      <w:r>
        <w:rPr>
          <w:rFonts w:ascii="Times New Roman" w:eastAsiaTheme="minorEastAsia" w:hAnsi="Times New Roman"/>
          <w:color w:themeColor="text1" w:val="000000"/>
        </w:rPr>
        <w:t>至</w:t>
      </w:r>
      <w:r>
        <w:rPr>
          <w:rFonts w:ascii="Times New Roman" w:eastAsiaTheme="minorEastAsia" w:hAnsi="Times New Roman"/>
          <w:color w:themeColor="text1" w:val="000000"/>
        </w:rPr>
        <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2021年3月31日)</w:t>
      </w:r>
    </w:p>
    <w:p w14:paraId="5684FACD" w14:textId="77777777" w:rsidR="005E6DF3" w:rsidRDefault="005C671B">
      <w:pPr>
        <w:snapToGrid w:val="0"/>
        <w:spacing w:line="360" w:lineRule="auto"/>
        <w:rPr>
          <w:rFonts w:eastAsiaTheme="minorEastAsia"/>
          <w:color w:themeColor="text1" w:val="000000"/>
          <w:szCs w:val="21"/>
        </w:rPr>
      </w:pPr>
      <w:r>
        <w:rPr>
          <w:rFonts w:eastAsiaTheme="minorEastAsia"/>
          <w:color w:themeColor="text1" w:val="000000"/>
          <w:szCs w:val="21"/>
        </w:rPr>
        <w:t>1</w:t>
      </w:r>
      <w:r>
        <w:rPr>
          <w:rFonts w:eastAsiaTheme="minorEastAsia"/>
          <w:color w:themeColor="text1" w:val="000000"/>
          <w:szCs w:val="21"/>
        </w:rPr>
        <w:t>．</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上投摩根慧选成长股票A</w:t>
      </w:r>
      <w:r>
        <w:rPr>
          <w:rFonts w:eastAsiaTheme="minorEastAsia"/>
          <w:color w:themeColor="text1" w:val="000000"/>
          <w:szCs w:val="21"/>
        </w:rPr>
        <w:t>：</w:t>
      </w:r>
    </w:p>
    <w:p w14:paraId="469664D6"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5E1D8726" wp14:editId="2DD6A0AF">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2" name="图片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注：本基金合同生效日为2020年1月22日，图示的时间段为合同生效日至本报告期末。</w:t>
      </w:r>
    </w:p>
    <w:p w14:paraId="12A741D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本基金建仓期为本基金合同生效日起 6 个月，建仓期结束时资产配置比例符合本基金基金合同规定。</w:t>
      </w:r>
    </w:p>
    <w:p w14:paraId="359544EC" w14:textId="77777777" w:rsidR="005E6DF3" w:rsidRDefault="005C671B">
      <w:pPr>
        <w:snapToGrid w:val="0"/>
        <w:spacing w:before="312" w:beforeLines="100" w:line="360" w:lineRule="auto"/>
        <w:rPr>
          <w:rFonts w:eastAsiaTheme="minorEastAsia"/>
          <w:color w:themeColor="text1" w:val="000000"/>
          <w:szCs w:val="21"/>
        </w:rPr>
      </w:pPr>
      <w:r>
        <w:rPr>
          <w:rFonts w:eastAsiaTheme="minorEastAsia"/>
          <w:color w:themeColor="text1" w:val="000000"/>
          <w:szCs w:val="21"/>
        </w:rPr>
        <w:lastRenderedPageBreak/>
        <w:t>2</w:t>
      </w:r>
      <w:r>
        <w:rPr>
          <w:rFonts w:eastAsiaTheme="minorEastAsia"/>
          <w:color w:themeColor="text1" w:val="000000"/>
          <w:szCs w:val="21"/>
        </w:rPr>
        <w:t>．</w:t>
      </w:r>
      <w:r>
        <w:rPr>
          <w:rFonts w:eastAsiaTheme="minorEastAsia"/>
          <w:color w:themeColor="text1" w:val="000000"/>
          <w:szCs w:val="21"/>
        </w:rPr>
        <w:t>上投摩根慧选成长股票C</w:t>
      </w:r>
      <w:r>
        <w:rPr>
          <w:rFonts w:eastAsiaTheme="minorEastAsia"/>
          <w:color w:themeColor="text1" w:val="000000"/>
          <w:szCs w:val="21"/>
        </w:rPr>
        <w:t>：</w:t>
      </w:r>
    </w:p>
    <w:p w14:paraId="3A81E295"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1DDF3849" wp14:editId="177F12C7">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3" name="图片 3"/>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注：本基金合同生效日为2020年1月22日，图示的时间段为合同生效日至本报告期末。</w:t>
      </w:r>
    </w:p>
    <w:p w14:paraId="23DE4798"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本基金建仓期为本基金合同生效日起 6 个月，建仓期结束时资产配置比例符合本基金基金合同规定。</w:t>
      </w:r>
    </w:p>
    <w:p w14:paraId="2F6B8CB7" w14:textId="77777777" w:rsidR="005E6DF3" w:rsidRDefault="005E6DF3">
      <w:pPr>
        <w:tabs>
          <w:tab w:pos="1800" w:val="left"/>
        </w:tabs>
        <w:spacing w:line="288" w:lineRule="auto"/>
        <w:rPr>
          <w:rFonts w:eastAsiaTheme="minorEastAsia"/>
          <w:color w:themeColor="text1" w:val="000000"/>
          <w:szCs w:val="21"/>
        </w:rPr>
      </w:pPr>
    </w:p>
    <w:p w14:paraId="0A3FD3B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§4  </w:t>
      </w:r>
      <w:r>
        <w:rPr>
          <w:rFonts w:eastAsiaTheme="minorEastAsia"/>
          <w:color w:themeColor="text1" w:val="000000"/>
          <w:kern w:val="0"/>
          <w:sz w:val="21"/>
          <w:szCs w:val="21"/>
        </w:rPr>
        <w:t>管理人报告</w:t>
      </w:r>
    </w:p>
    <w:p w14:paraId="4DA9D74A"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4.1 </w:t>
      </w:r>
      <w:r>
        <w:rPr>
          <w:rFonts w:eastAsiaTheme="minorEastAsia"/>
          <w:b/>
          <w:color w:themeColor="text1" w:val="000000"/>
          <w:kern w:val="0"/>
          <w:szCs w:val="21"/>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52"/>
        <w:gridCol w:w="930"/>
        <w:gridCol w:w="1210"/>
        <w:gridCol w:w="1309"/>
        <w:gridCol w:w="1254"/>
        <w:gridCol w:w="3276"/>
      </w:tblGrid>
      <w:tr w14:paraId="1C0327D8" w14:textId="77777777" w:rsidR="005E6DF3">
        <w:tc>
          <w:tcPr>
            <w:tcW w:type="dxa" w:w="952"/>
            <w:vMerge w:val="restart"/>
            <w:vAlign w:val="center"/>
          </w:tcPr>
          <w:p w14:paraId="07B51A7D"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lastRenderedPageBreak/>
              <w:t>姓名</w:t>
            </w:r>
          </w:p>
        </w:tc>
        <w:tc>
          <w:tcPr>
            <w:tcW w:type="dxa" w:w="930"/>
            <w:vMerge w:val="restart"/>
            <w:vAlign w:val="center"/>
          </w:tcPr>
          <w:p w14:paraId="49C5D06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职务</w:t>
            </w:r>
          </w:p>
        </w:tc>
        <w:tc>
          <w:tcPr>
            <w:tcW w:type="dxa" w:w="2519"/>
            <w:gridSpan w:val="2"/>
            <w:vAlign w:val="center"/>
          </w:tcPr>
          <w:p w14:paraId="44D8D29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proofErr w:type="gramStart"/>
            <w:r>
              <w:rPr>
                <w:rFonts w:eastAsiaTheme="minorEastAsia"/>
                <w:color w:themeColor="text1" w:val="000000"/>
                <w:kern w:val="0"/>
                <w:szCs w:val="21"/>
              </w:rPr>
              <w:t>任本基金</w:t>
            </w:r>
            <w:proofErr w:type="gramEnd"/>
            <w:r>
              <w:rPr>
                <w:rFonts w:eastAsiaTheme="minorEastAsia"/>
                <w:color w:themeColor="text1" w:val="000000"/>
                <w:kern w:val="0"/>
                <w:szCs w:val="21"/>
              </w:rPr>
              <w:t>的基金经理期限</w:t>
            </w:r>
          </w:p>
        </w:tc>
        <w:tc>
          <w:tcPr>
            <w:tcW w:type="dxa" w:w="1254"/>
            <w:vMerge w:val="restart"/>
            <w:vAlign w:val="center"/>
          </w:tcPr>
          <w:p w14:paraId="4D13B628"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证券从业年限</w:t>
            </w:r>
          </w:p>
        </w:tc>
        <w:tc>
          <w:tcPr>
            <w:tcW w:type="dxa" w:w="3276"/>
            <w:vMerge w:val="restart"/>
            <w:vAlign w:val="center"/>
          </w:tcPr>
          <w:p w14:paraId="08400B6E"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说明</w:t>
            </w:r>
          </w:p>
        </w:tc>
      </w:tr>
      <w:tr w14:paraId="7C241B5B" w14:textId="77777777" w:rsidR="005E6DF3">
        <w:tc>
          <w:tcPr>
            <w:tcW w:type="dxa" w:w="952"/>
            <w:vMerge/>
            <w:vAlign w:val="center"/>
          </w:tcPr>
          <w:p w14:paraId="401C5BBE"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930"/>
            <w:vMerge/>
          </w:tcPr>
          <w:p w14:paraId="1AF84C70"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1210"/>
            <w:vAlign w:val="center"/>
          </w:tcPr>
          <w:p w14:paraId="429911F2"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任职日期</w:t>
            </w:r>
          </w:p>
        </w:tc>
        <w:tc>
          <w:tcPr>
            <w:tcW w:type="dxa" w:w="1309"/>
            <w:vAlign w:val="center"/>
          </w:tcPr>
          <w:p w14:paraId="05523FAB"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离任日期</w:t>
            </w:r>
          </w:p>
        </w:tc>
        <w:tc>
          <w:tcPr>
            <w:tcW w:type="dxa" w:w="1254"/>
            <w:vMerge/>
            <w:vAlign w:val="center"/>
          </w:tcPr>
          <w:p w14:paraId="3F6132ED"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3276"/>
            <w:vMerge/>
            <w:vAlign w:val="center"/>
          </w:tcPr>
          <w:p w14:paraId="0EEB8398"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r>
      <w:tr>
        <w:tc>
          <w:tcPr>
            <w:vAlign w:val="center"/>
          </w:tcPr>
          <w:p>
            <w:pPr>
              <w:jc w:val="center"/>
            </w:pPr>
            <w:r>
              <w:rPr>
                <w:rFonts w:eastAsiaTheme="minorEastAsia"/>
                <w:color w:themeColor="text1" w:val="000000"/>
                <w:szCs w:val="21"/>
              </w:rPr>
              <w:t>李德辉</w:t>
            </w:r>
          </w:p>
        </w:tc>
        <w:tc>
          <w:tcPr>
            <w:vAlign w:val="center"/>
          </w:tcPr>
          <w:p>
            <w:pPr>
              <w:jc w:val="center"/>
            </w:pPr>
            <w:r>
              <w:rPr>
                <w:rFonts w:eastAsiaTheme="minorEastAsia"/>
                <w:color w:themeColor="text1" w:val="000000"/>
                <w:szCs w:val="21"/>
              </w:rPr>
              <w:t>本基金基金经理</w:t>
            </w:r>
          </w:p>
        </w:tc>
        <w:tc>
          <w:tcPr>
            <w:vAlign w:val="center"/>
          </w:tcPr>
          <w:p>
            <w:pPr>
              <w:jc w:val="center"/>
            </w:pPr>
            <w:r>
              <w:rPr>
                <w:rFonts w:eastAsiaTheme="minorEastAsia"/>
                <w:color w:themeColor="text1" w:val="000000"/>
                <w:szCs w:val="21"/>
              </w:rPr>
              <w:t>2020-01-22</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9年</w:t>
            </w:r>
          </w:p>
        </w:tc>
        <w:tc>
          <w:tcPr>
            <w:vAlign w:val="center"/>
          </w:tcPr>
          <w:p>
            <w:pPr>
              <w:jc w:val="both"/>
            </w:pPr>
            <w:r>
              <w:rPr>
                <w:rFonts w:eastAsiaTheme="minorEastAsia"/>
                <w:color w:themeColor="text1" w:val="000000"/>
                <w:szCs w:val="21"/>
              </w:rPr>
              <w:t>李德辉先生，上海交通大学生物医学工程博士，2012年7月至2014年7月在农银汇理基金管理有限公司担任研究员。自2014年8月起加入上投摩根基金管理有限公司，先后担任研究员、行业专家兼基金经理助理、基金经理、高级基金经理。自2016年11月起担任上投摩根科技前沿灵活配置混合型证券投资基金基金经理，2018年3月至2019年7月同时担任上投摩根安全战略股票型证券投资基金基金经理及上投摩根双核平衡混合型证券投资基金基金经理，自2018年6月起同时担任上投摩根卓越制造股票型证券投资基金基金经理，自2019年3月起同时担任上投摩根智选30混合型证券投资基金基金经理，自2020年1月起同时担任上投摩根慧选成长股票型证券投资基金基金经理，自2020年9月起同时担任上投摩根慧见两年持有期混合型证券投资基金基金经理。</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注：1. 任职日期和离任日期均指根据公司决定确定的聘任日期和解聘日期。</w:t>
      </w:r>
    </w:p>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2. 李德辉先生为本基金首任基金经理，其任职日期为本基金基金合同生效之日；</w:t>
      </w:r>
    </w:p>
    <w:p w14:paraId="7F8F15EC" w14:textId="03B4A669"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3. 证券从业的含义遵从行业协会《证券业从业人员资格管理办法》的相关规定。</w:t>
      </w:r>
    </w:p>
    <w:p w14:paraId="2F490D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lastRenderedPageBreak/>
        <w:t>4.2</w:t>
      </w:r>
      <w:r>
        <w:rPr>
          <w:rFonts w:eastAsiaTheme="minorEastAsia" w:hint="eastAsia"/>
          <w:b/>
          <w:color w:themeColor="text1" w:val="000000"/>
          <w:kern w:val="0"/>
          <w:szCs w:val="21"/>
        </w:rPr>
        <w:t>管理人对报告期内本基金运作遵规守信情况的说明</w:t>
      </w:r>
    </w:p>
    <w:p w14:paraId="20A8009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在本报告期内，基金管理人不存在损害基金份额持有人利益的行为，勤勉尽责地为基金份额持有人谋求利益。基金管理人遵守了《证券投资基金法》及其他有关法律法规、《上投摩根慧选成长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14:paraId="682C2D65"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4.3 </w:t>
      </w:r>
      <w:r>
        <w:rPr>
          <w:rFonts w:eastAsiaTheme="minorEastAsia"/>
          <w:b/>
          <w:color w:themeColor="text1" w:val="000000"/>
          <w:kern w:val="0"/>
          <w:szCs w:val="21"/>
        </w:rPr>
        <w:t>公平交易专项说明</w:t>
      </w:r>
    </w:p>
    <w:p w14:paraId="01D67BE6"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4.3.1 </w:t>
      </w:r>
      <w:r>
        <w:rPr>
          <w:rFonts w:eastAsiaTheme="minorEastAsia"/>
          <w:color w:themeColor="text1" w:val="000000"/>
          <w:szCs w:val="21"/>
        </w:rPr>
        <w:t>公平交易制度的执行情况</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C5BD1DE"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报告期内，通过对不同投资组合之间的收益率差异比较、对同向交易和反向交易的交易时机和交易价差监控分析，未发现整体公平交易执行出现异常的情况。</w:t>
      </w:r>
    </w:p>
    <w:p w14:paraId="098EE4AE"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4.3.2 </w:t>
      </w:r>
      <w:r>
        <w:rPr>
          <w:rFonts w:eastAsiaTheme="minorEastAsia"/>
          <w:color w:themeColor="text1" w:val="000000"/>
          <w:szCs w:val="21"/>
        </w:rPr>
        <w:t>异常交易行为的专项说明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报告期内，通过对交易价格、交易时间、交易方向等的分析，未发现有可能导致不公平交易和利益输送的异常交易行为。</w:t>
      </w:r>
    </w:p>
    <w:p w14:paraId="49E7A61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所有投资组合参与的交易所公开竞价同日反向交易成交较少的单边交易量超过该证券当日成交量的5%的情形：无。</w:t>
      </w:r>
    </w:p>
    <w:p w14:paraId="56DB0FF3"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4.4 </w:t>
      </w:r>
      <w:r>
        <w:rPr>
          <w:rFonts w:eastAsiaTheme="minorEastAsia"/>
          <w:b/>
          <w:color w:themeColor="text1" w:val="000000"/>
          <w:kern w:val="0"/>
          <w:szCs w:val="21"/>
        </w:rPr>
        <w:t>报告期内基金的投资策略和业绩表现说明</w:t>
      </w:r>
    </w:p>
    <w:p w14:paraId="2CFFD072"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4.4.1</w:t>
      </w:r>
      <w:r>
        <w:rPr>
          <w:rFonts w:eastAsiaTheme="minorEastAsia"/>
          <w:color w:themeColor="text1" w:val="000000"/>
          <w:szCs w:val="21"/>
        </w:rPr>
        <w:t>报告期内基金投资策略和运作分析</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2021年一季度权益市场波动较大，市场担心流动性、货币政策收缩预期以及整个市场相对位置较高。本基金由于结构相对偏重核心资产，导致业绩跑输市场。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展望二季度，我们认为大概率宏观经济和流动性都是从高位区域回到长期合理区域，这个过程可能影响部分公司的盈利预期和估值水平，前期市场下跌已反映了部分预期，但未来可能仍有一些不确定性。从长期潜在预期回报看，目前市场大部分市值较大、质地优良的核心资产年化回报属于中低水平，较过去两年有较大幅度下降，但中长期看仍是不差的资产。组合管理方面，我们将采取更均衡的行业配置，兼顾确定性的核心资产和低估值的价值股，平衡组合风格和波动。</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我们中长期看好的成长赛道仍为科技、新能源汽车、医药、消费等行业。科技行业，我们仍看好传统有较强网络效应的互联网公司，同时看好新兴有较强创新能力的软件或半导体公司。新能源汽车行业，看好电动化和智能化的普及，希望能布局一些有潜质的公司。医药行业，人口老龄化带来总需求增加，但是支付能力又相对不足，需要选择有较强创新能力或者需求来自海外的公司来应对不确定性。消费行业，我们看好成熟赛道的优质龙头公司，同时积极挖掘新兴赛道的潜力公司，因为年轻人会带来新的品牌崛起。短周期我们偏防御选择一些公用事业和金融等低估值资产。</w:t>
      </w:r>
    </w:p>
    <w:p w14:paraId="6CEC5FDB"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个股选择上，我们坚持供给端有壁垒和需求端有增长两个维度，希望通过优秀公司的韧性来降低行业需求的波动性风险，力争获取长期稳定超额收益。</w:t>
      </w:r>
    </w:p>
    <w:p w14:paraId="43264879"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4.4.2</w:t>
      </w:r>
      <w:r>
        <w:rPr>
          <w:rFonts w:eastAsiaTheme="minorEastAsia"/>
          <w:color w:themeColor="text1" w:val="000000"/>
          <w:szCs w:val="21"/>
        </w:rPr>
        <w:t>报告期内基金的业绩表现</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本报告期上投摩根慧选成长股票A份额净值增长率为:-4.93%，同期业绩比较基准收益率为:-1.52%,</w:t>
      </w:r>
    </w:p>
    <w:p w14:paraId="2EB723C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上投摩根慧选成长股票C份额净值增长率为:-5.12%，同期业绩比较基准收益率为:-1.52%。</w:t>
      </w:r>
    </w:p>
    <w:p w14:paraId="42E51AC8" w14:textId="77777777" w:rsidR="005E6DF3" w:rsidRDefault="005E6DF3">
      <w:pPr>
        <w:spacing w:line="360" w:lineRule="auto"/>
        <w:ind w:firstLine="420" w:firstLineChars="200"/>
        <w:rPr>
          <w:rFonts w:eastAsiaTheme="minorEastAsia"/>
          <w:color w:themeColor="text1" w:val="000000"/>
          <w:szCs w:val="21"/>
        </w:rPr>
      </w:pPr>
    </w:p>
    <w:p w14:paraId="3BD9E8DD" w14:textId="77777777" w:rsidR="005E6DF3" w:rsidRDefault="005C671B">
      <w:pPr>
        <w:spacing w:line="360" w:lineRule="auto"/>
        <w:rPr>
          <w:rFonts w:eastAsiaTheme="minorEastAsia"/>
          <w:color w:themeColor="text1" w:val="00000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4</w:t>
      </w:r>
      <w:r>
        <w:rPr>
          <w:rFonts w:eastAsiaTheme="minorEastAsia" w:hint="eastAsia"/>
          <w:b/>
          <w:color w:themeColor="text1" w:val="000000"/>
          <w:kern w:val="0"/>
          <w:szCs w:val="21"/>
        </w:rPr>
        <w:t>.5</w:t>
      </w:r>
      <w:r>
        <w:rPr>
          <w:rFonts w:asciiTheme="minorEastAsia" w:eastAsiaTheme="minorEastAsia" w:hAnsiTheme="minorEastAsia" w:hint="eastAsia"/>
          <w:b/>
          <w:color w:themeColor="text1" w:val="000000"/>
          <w:kern w:val="0"/>
          <w:szCs w:val="21"/>
        </w:rPr>
        <w:t>报告期内基金持有人数或基金资产净值预警说明</w:t>
      </w:r>
    </w:p>
    <w:p w14:paraId="31C74752" w14:textId="77777777" w:rsidR="005E6DF3" w:rsidRDefault="005C671B">
      <w:pPr>
        <w:spacing w:line="360" w:lineRule="auto"/>
        <w:ind w:firstLine="420" w:firstLineChars="200"/>
        <w:rPr>
          <w:rFonts w:eastAsiaTheme="minorEastAsia"/>
          <w:color w:themeColor="text1" w:val="000000"/>
          <w:kern w:val="0"/>
          <w:szCs w:val="21"/>
        </w:rPr>
      </w:pPr>
      <w:r>
        <w:rPr>
          <w:rFonts w:eastAsiaTheme="minorEastAsia"/>
          <w:color w:themeColor="text1" w:val="000000"/>
          <w:kern w:val="0"/>
          <w:szCs w:val="21"/>
        </w:rPr>
        <w:t/>
      </w:r>
      <w:r>
        <w:rPr>
          <w:rFonts w:eastAsiaTheme="minorEastAsia"/>
          <w:color w:themeColor="text1" w:val="000000"/>
          <w:szCs w:val="21"/>
        </w:rPr>
        <w:t/>
      </w:r>
      <w:r>
        <w:rPr>
          <w:rFonts w:eastAsiaTheme="minorEastAsia"/>
          <w:color w:themeColor="text1" w:val="000000"/>
          <w:kern w:val="0"/>
          <w:szCs w:val="21"/>
        </w:rPr>
        <w:t>无。</w:t>
      </w:r>
    </w:p>
    <w:p w14:paraId="4507D0E2" w14:textId="77777777" w:rsidR="005E6DF3" w:rsidRDefault="005E6DF3">
      <w:pPr>
        <w:spacing w:line="360" w:lineRule="auto"/>
        <w:ind w:firstLine="420" w:firstLineChars="200"/>
        <w:rPr>
          <w:rFonts w:asciiTheme="minorEastAsia" w:eastAsiaTheme="minorEastAsia" w:hAnsiTheme="minorEastAsia"/>
          <w:color w:themeColor="text1" w:val="000000"/>
          <w:szCs w:val="21"/>
        </w:rPr>
      </w:pPr>
    </w:p>
    <w:p w14:paraId="57E53B80"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§5  </w:t>
      </w:r>
      <w:r>
        <w:rPr>
          <w:rFonts w:eastAsiaTheme="minorEastAsia"/>
          <w:color w:themeColor="text1" w:val="000000"/>
          <w:kern w:val="0"/>
          <w:sz w:val="21"/>
          <w:szCs w:val="21"/>
        </w:rPr>
        <w:t>投资组合报告</w:t>
      </w:r>
    </w:p>
    <w:p w14:paraId="10288FB2"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5.1 </w:t>
      </w:r>
      <w:r>
        <w:rPr>
          <w:rFonts w:eastAsiaTheme="minorEastAsia"/>
          <w:b/>
          <w:color w:themeColor="text1" w:val="000000"/>
          <w:kern w:val="0"/>
          <w:szCs w:val="21"/>
        </w:rPr>
        <w:t>报告期末基金资产组合情况</w:t>
      </w:r>
    </w:p>
    <w:tbl>
      <w:tblPr>
        <w:tblStyle w:val="afa"/>
        <w:tblW w:type="dxa" w:w="8897"/>
        <w:tblInd w:type="dxa" w:w="108"/>
        <w:tblLayout w:type="fixed"/>
        <w:tblLook w:firstColumn="1" w:firstRow="1" w:lastColumn="0" w:lastRow="0" w:noHBand="0" w:noVBand="1" w:val="04A0"/>
      </w:tblPr>
      <w:tblGrid>
        <w:gridCol w:w="720"/>
        <w:gridCol w:w="3357"/>
        <w:gridCol w:w="2977"/>
        <w:gridCol w:w="1843"/>
      </w:tblGrid>
      <w:tr w14:paraId="04F818ED" w14:textId="77777777" w:rsidR="005E6DF3">
        <w:tc>
          <w:tcPr>
            <w:tcW w:type="dxa" w:w="720"/>
            <w:vAlign w:val="center"/>
          </w:tcPr>
          <w:p w14:paraId="7F1D4C3E"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3357"/>
            <w:vAlign w:val="center"/>
          </w:tcPr>
          <w:p w14:paraId="2202E9A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项目</w:t>
            </w:r>
          </w:p>
        </w:tc>
        <w:tc>
          <w:tcPr>
            <w:tcW w:type="dxa" w:w="2977"/>
            <w:vAlign w:val="center"/>
          </w:tcPr>
          <w:p w14:paraId="64CA5A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金额</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843"/>
            <w:vAlign w:val="center"/>
          </w:tcPr>
          <w:p w14:paraId="41F8E86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占基金总资产的比例</w:t>
            </w:r>
            <w:r>
              <w:rPr>
                <w:rFonts w:eastAsiaTheme="minorEastAsia"/>
                <w:color w:themeColor="text1" w:val="000000"/>
                <w:szCs w:val="21"/>
              </w:rPr>
              <w:t>(%)</w:t>
            </w:r>
          </w:p>
        </w:tc>
      </w:tr>
      <w:tr w14:paraId="4D7B2B5D" w14:textId="77777777" w:rsidR="005E6DF3">
        <w:tc>
          <w:tcPr>
            <w:tcW w:type="dxa" w:w="720"/>
            <w:vAlign w:val="center"/>
          </w:tcPr>
          <w:p w14:paraId="3CE0F2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357"/>
            <w:vAlign w:val="center"/>
          </w:tcPr>
          <w:p w14:paraId="1CBE074B"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权益投资</w:t>
            </w:r>
          </w:p>
        </w:tc>
        <w:tc>
          <w:tcPr>
            <w:tcW w:type="dxa" w:w="2977"/>
            <w:vAlign w:val="center"/>
          </w:tcPr>
          <w:p w14:paraId="412A7C3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5,589,697,150.00</w:t>
            </w:r>
          </w:p>
        </w:tc>
        <w:tc>
          <w:tcPr>
            <w:tcW w:type="dxa" w:w="1843"/>
            <w:vAlign w:val="center"/>
          </w:tcPr>
          <w:p w14:paraId="15ED58F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79.09</w:t>
            </w:r>
          </w:p>
        </w:tc>
      </w:tr>
      <w:tr w14:paraId="5988250B" w14:textId="77777777" w:rsidR="005E6DF3">
        <w:tc>
          <w:tcPr>
            <w:tcW w:type="dxa" w:w="720"/>
            <w:vAlign w:val="center"/>
          </w:tcPr>
          <w:p w14:paraId="093B5FA3"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5D0A351"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其中：股票</w:t>
            </w:r>
          </w:p>
        </w:tc>
        <w:tc>
          <w:tcPr>
            <w:tcW w:type="dxa" w:w="2977"/>
            <w:vAlign w:val="center"/>
          </w:tcPr>
          <w:p w14:paraId="70162F9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5,589,697,150.00</w:t>
            </w:r>
          </w:p>
        </w:tc>
        <w:tc>
          <w:tcPr>
            <w:tcW w:type="dxa" w:w="1843"/>
            <w:vAlign w:val="center"/>
          </w:tcPr>
          <w:p w14:paraId="1E2DAE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79.09</w:t>
            </w:r>
          </w:p>
        </w:tc>
      </w:tr>
      <w:tr w14:paraId="3E179D41" w14:textId="77777777" w:rsidR="005E6DF3">
        <w:tc>
          <w:tcPr>
            <w:tcW w:type="dxa" w:w="720"/>
            <w:vAlign w:val="center"/>
          </w:tcPr>
          <w:p w14:paraId="5701F45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357"/>
            <w:vAlign w:val="center"/>
          </w:tcPr>
          <w:p w14:paraId="01082D57"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固定收益投资</w:t>
            </w:r>
          </w:p>
        </w:tc>
        <w:tc>
          <w:tcPr>
            <w:tcW w:type="dxa" w:w="2977"/>
            <w:vAlign w:val="center"/>
          </w:tcPr>
          <w:p w14:paraId="31C013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30C2D950"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113CDC1" w14:textId="77777777" w:rsidR="005E6DF3">
        <w:tc>
          <w:tcPr>
            <w:tcW w:type="dxa" w:w="720"/>
            <w:vAlign w:val="center"/>
          </w:tcPr>
          <w:p w14:paraId="2AF897E0"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1DE732A9"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其中：债券</w:t>
            </w:r>
          </w:p>
        </w:tc>
        <w:tc>
          <w:tcPr>
            <w:tcW w:type="dxa" w:w="2977"/>
            <w:vAlign w:val="center"/>
          </w:tcPr>
          <w:p w14:paraId="498F3F6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780539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B250BC9" w14:textId="77777777" w:rsidR="005E6DF3">
        <w:tc>
          <w:tcPr>
            <w:tcW w:type="dxa" w:w="720"/>
            <w:vAlign w:val="center"/>
          </w:tcPr>
          <w:p w14:paraId="5FC92F4A"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4282357" w14:textId="77777777" w:rsidR="005E6DF3" w:rsidRDefault="005C671B">
            <w:pPr>
              <w:autoSpaceDE w:val="0"/>
              <w:autoSpaceDN w:val="0"/>
              <w:adjustRightInd w:val="0"/>
              <w:spacing w:before="29" w:line="360" w:lineRule="auto"/>
              <w:ind w:firstLine="630" w:firstLineChars="300" w:left="17"/>
              <w:jc w:val="left"/>
              <w:rPr>
                <w:rFonts w:eastAsiaTheme="minorEastAsia"/>
                <w:color w:themeColor="text1" w:val="000000"/>
                <w:szCs w:val="21"/>
              </w:rPr>
            </w:pPr>
            <w:r>
              <w:rPr>
                <w:rFonts w:eastAsiaTheme="minorEastAsia"/>
                <w:color w:themeColor="text1" w:val="000000"/>
                <w:szCs w:val="21"/>
              </w:rPr>
              <w:t>资产支持证券</w:t>
            </w:r>
          </w:p>
        </w:tc>
        <w:tc>
          <w:tcPr>
            <w:tcW w:type="dxa" w:w="2977"/>
            <w:vAlign w:val="center"/>
          </w:tcPr>
          <w:p w14:paraId="52E0AB4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0189B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69CD0274" w14:textId="77777777" w:rsidR="005E6DF3">
        <w:tc>
          <w:tcPr>
            <w:tcW w:type="dxa" w:w="720"/>
          </w:tcPr>
          <w:p w14:paraId="7741CD7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357"/>
          </w:tcPr>
          <w:p w14:paraId="32738DCB" w14:textId="77777777" w:rsidR="005E6DF3" w:rsidRDefault="005C671B">
            <w:pPr>
              <w:spacing w:before="29" w:line="360" w:lineRule="auto"/>
              <w:ind w:left="105" w:leftChars="50"/>
              <w:rPr>
                <w:rFonts w:eastAsiaTheme="minorEastAsia"/>
                <w:color w:themeColor="text1" w:val="000000"/>
                <w:szCs w:val="21"/>
              </w:rPr>
            </w:pPr>
            <w:r>
              <w:rPr>
                <w:rFonts w:eastAsiaTheme="minorEastAsia"/>
                <w:color w:themeColor="text1" w:val="000000"/>
                <w:szCs w:val="21"/>
              </w:rPr>
              <w:t>贵金属投资</w:t>
            </w:r>
          </w:p>
        </w:tc>
        <w:tc>
          <w:tcPr>
            <w:tcW w:type="dxa" w:w="2977"/>
            <w:vAlign w:val="center"/>
          </w:tcPr>
          <w:p w14:paraId="1613767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3B5A023"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42434FE8" w14:textId="77777777" w:rsidR="005E6DF3">
        <w:tc>
          <w:tcPr>
            <w:tcW w:type="dxa" w:w="720"/>
            <w:vAlign w:val="center"/>
          </w:tcPr>
          <w:p w14:paraId="78E40EA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357"/>
            <w:vAlign w:val="center"/>
          </w:tcPr>
          <w:p w14:paraId="601225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金融衍生</w:t>
            </w:r>
            <w:proofErr w:type="gramStart"/>
            <w:r>
              <w:rPr>
                <w:rFonts w:eastAsiaTheme="minorEastAsia"/>
                <w:color w:themeColor="text1" w:val="000000"/>
                <w:szCs w:val="21"/>
              </w:rPr>
              <w:t>品投资</w:t>
            </w:r>
            <w:proofErr w:type="gramEnd"/>
          </w:p>
        </w:tc>
        <w:tc>
          <w:tcPr>
            <w:tcW w:type="dxa" w:w="2977"/>
            <w:vAlign w:val="center"/>
          </w:tcPr>
          <w:p w14:paraId="332E140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843"/>
            <w:vAlign w:val="center"/>
          </w:tcPr>
          <w:p w14:paraId="09C41416"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lastRenderedPageBreak/>
              <w:t/>
            </w:r>
            <w:r>
              <w:rPr>
                <w:rFonts w:eastAsiaTheme="minorEastAsia"/>
                <w:color w:themeColor="text1" w:val="000000"/>
                <w:szCs w:val="21"/>
              </w:rPr>
              <w:lastRenderedPageBreak/>
              <w:t>-</w:t>
            </w:r>
          </w:p>
        </w:tc>
      </w:tr>
      <w:tr w14:paraId="610CED91" w14:textId="77777777" w:rsidR="005E6DF3">
        <w:tc>
          <w:tcPr>
            <w:tcW w:type="dxa" w:w="720"/>
            <w:vAlign w:val="center"/>
          </w:tcPr>
          <w:p w14:paraId="2B5D4ECD"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357"/>
            <w:vAlign w:val="center"/>
          </w:tcPr>
          <w:p w14:paraId="35A4C7F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买入返售金融资产</w:t>
            </w:r>
          </w:p>
        </w:tc>
        <w:tc>
          <w:tcPr>
            <w:tcW w:type="dxa" w:w="2977"/>
            <w:vAlign w:val="center"/>
          </w:tcPr>
          <w:p w14:paraId="0D974E9B"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0AF52E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E6C851A" w14:textId="77777777" w:rsidR="005E6DF3">
        <w:tc>
          <w:tcPr>
            <w:tcW w:type="dxa" w:w="720"/>
            <w:vAlign w:val="center"/>
          </w:tcPr>
          <w:p w14:paraId="4802B89B"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2B70EA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其中：买断式回购的买入返售金融资产</w:t>
            </w:r>
          </w:p>
        </w:tc>
        <w:tc>
          <w:tcPr>
            <w:tcW w:type="dxa" w:w="2977"/>
            <w:vAlign w:val="center"/>
          </w:tcPr>
          <w:p w14:paraId="25F2418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c>
          <w:tcPr>
            <w:tcW w:type="dxa" w:w="1843"/>
            <w:vAlign w:val="center"/>
          </w:tcPr>
          <w:p w14:paraId="59C9667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4B6FB8F" w14:textId="77777777" w:rsidR="005E6DF3">
        <w:tc>
          <w:tcPr>
            <w:tcW w:type="dxa" w:w="720"/>
            <w:vAlign w:val="center"/>
          </w:tcPr>
          <w:p w14:paraId="443AEDD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357"/>
            <w:vAlign w:val="center"/>
          </w:tcPr>
          <w:p w14:paraId="23C24DAF"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银行存款和结算备付金合计</w:t>
            </w:r>
          </w:p>
        </w:tc>
        <w:tc>
          <w:tcPr>
            <w:tcW w:type="dxa" w:w="2977"/>
            <w:vAlign w:val="center"/>
          </w:tcPr>
          <w:p w14:paraId="702AF57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1,419,066,614.04</w:t>
            </w:r>
          </w:p>
        </w:tc>
        <w:tc>
          <w:tcPr>
            <w:tcW w:type="dxa" w:w="1843"/>
            <w:vAlign w:val="center"/>
          </w:tcPr>
          <w:p w14:paraId="3B1877C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20.08</w:t>
            </w:r>
          </w:p>
        </w:tc>
      </w:tr>
      <w:tr w14:paraId="0EC9E9BF" w14:textId="77777777" w:rsidR="005E6DF3">
        <w:tc>
          <w:tcPr>
            <w:tcW w:type="dxa" w:w="720"/>
            <w:vAlign w:val="center"/>
          </w:tcPr>
          <w:p w14:paraId="3AD69F8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357"/>
            <w:vAlign w:val="center"/>
          </w:tcPr>
          <w:p w14:paraId="56B2A528" w14:textId="77777777" w:rsidR="005E6DF3" w:rsidRDefault="005C671B">
            <w:pPr>
              <w:rPr>
                <w:rFonts w:eastAsiaTheme="minorEastAsia"/>
                <w:color w:themeColor="text1" w:val="000000"/>
                <w:szCs w:val="21"/>
              </w:rPr>
            </w:pPr>
            <w:r>
              <w:rPr>
                <w:rFonts w:eastAsiaTheme="minorEastAsia"/>
                <w:color w:themeColor="text1" w:val="000000"/>
                <w:szCs w:val="21"/>
              </w:rPr>
              <w:t>其他各项资产</w:t>
            </w:r>
          </w:p>
        </w:tc>
        <w:tc>
          <w:tcPr>
            <w:tcW w:type="dxa" w:w="2977"/>
            <w:vAlign w:val="center"/>
          </w:tcPr>
          <w:p w14:paraId="1E76C25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59,190,444.42</w:t>
            </w:r>
          </w:p>
        </w:tc>
        <w:tc>
          <w:tcPr>
            <w:tcW w:type="dxa" w:w="1843"/>
            <w:vAlign w:val="center"/>
          </w:tcPr>
          <w:p w14:paraId="4D09DF5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0.84</w:t>
            </w:r>
          </w:p>
        </w:tc>
      </w:tr>
      <w:tr w14:paraId="46D7EE51" w14:textId="77777777" w:rsidR="005E6DF3">
        <w:tc>
          <w:tcPr>
            <w:tcW w:type="dxa" w:w="720"/>
            <w:vAlign w:val="center"/>
          </w:tcPr>
          <w:p w14:paraId="7318EF6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color w:themeColor="text1" w:val="000000"/>
                <w:szCs w:val="21"/>
              </w:rPr>
              <w:lastRenderedPageBreak/>
              <w:t>8</w:t>
            </w:r>
          </w:p>
        </w:tc>
        <w:tc>
          <w:tcPr>
            <w:tcW w:type="dxa" w:w="3357"/>
            <w:vAlign w:val="center"/>
          </w:tcPr>
          <w:p w14:paraId="1EA4D993" w14:textId="77777777" w:rsidR="005E6DF3" w:rsidRDefault="005C671B">
            <w:pPr>
              <w:rPr>
                <w:rFonts w:eastAsiaTheme="minorEastAsia"/>
                <w:color w:themeColor="text1" w:val="000000"/>
                <w:szCs w:val="21"/>
              </w:rPr>
            </w:pPr>
            <w:r>
              <w:rPr>
                <w:rFonts w:eastAsiaTheme="minorEastAsia"/>
                <w:color w:themeColor="text1" w:val="000000"/>
                <w:szCs w:val="21"/>
              </w:rPr>
              <w:lastRenderedPageBreak/>
              <w:t>合计</w:t>
            </w:r>
          </w:p>
        </w:tc>
        <w:tc>
          <w:tcPr>
            <w:tcW w:type="dxa" w:w="2977"/>
            <w:vAlign w:val="center"/>
          </w:tcPr>
          <w:p w14:paraId="353B94D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7,067,954,208.46</w:t>
            </w:r>
          </w:p>
        </w:tc>
        <w:tc>
          <w:tcPr>
            <w:tcW w:type="dxa" w:w="1843"/>
            <w:vAlign w:val="center"/>
          </w:tcPr>
          <w:p w14:paraId="49C933E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100.00</w:t>
            </w:r>
          </w:p>
        </w:tc>
      </w:tr>
    </w:tbl>
    <w:p w14:paraId="46EFD2B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5.2 </w:t>
      </w:r>
      <w:r>
        <w:rPr>
          <w:rFonts w:eastAsiaTheme="minorEastAsia"/>
          <w:b/>
          <w:color w:themeColor="text1" w:val="000000"/>
          <w:kern w:val="0"/>
          <w:szCs w:val="21"/>
        </w:rPr>
        <w:t>报告期末按行业分类的股票投资组合</w:t>
      </w:r>
    </w:p>
    <w:p w14:paraId="7974A421" w14:textId="77777777" w:rsidR="005E6DF3" w:rsidRDefault="005C671B">
      <w:pPr>
        <w:rPr>
          <w:b/>
        </w:rPr>
      </w:pPr>
      <w:r>
        <w:rPr>
          <w:rFonts w:hint="eastAsia"/>
          <w:b/>
        </w:rPr>
        <w:t xml:space="preserve"> </w:t>
      </w:r>
      <w:r>
        <w:rPr>
          <w:b/>
          <w:color w:themeColor="text1" w:val="000000"/>
          <w:szCs w:val="21"/>
        </w:rPr>
        <w:t/>
      </w:r>
      <w:proofErr w:type="spellStart"/>
      <w:r>
        <w:rPr>
          <w:b/>
          <w:color w:themeColor="text1" w:val="000000"/>
          <w:szCs w:val="21"/>
        </w:rPr>
        <w:t/>
      </w:r>
      <w:proofErr w:type="spellEnd"/>
      <w:r>
        <w:rPr>
          <w:b/>
          <w:color w:themeColor="text1" w:val="000000"/>
          <w:szCs w:val="21"/>
        </w:rPr>
        <w:t/>
      </w:r>
      <w:r>
        <w:rPr>
          <w:rFonts w:eastAsiaTheme="minorEastAsia" w:hint="eastAsia"/>
          <w:b/>
          <w:color w:themeColor="text1" w:val="000000"/>
          <w:kern w:val="0"/>
          <w:szCs w:val="21"/>
        </w:rPr>
        <w:t>5.2.1</w:t>
      </w:r>
      <w:r>
        <w:rPr>
          <w:rFonts w:eastAsiaTheme="minorEastAsia" w:hint="eastAsia"/>
          <w:b/>
          <w:color w:themeColor="text1" w:val="000000"/>
          <w:kern w:val="0"/>
          <w:szCs w:val="21"/>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1ECAE379" w14:textId="77777777" w:rsidR="005E6DF3">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0AC96F6A"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代码</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CC3FEDC"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3615377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6FD4EF4"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占基金资产净值比例（％）</w:t>
            </w:r>
          </w:p>
        </w:tc>
      </w:tr>
      <w:tr w14:paraId="6590882E"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8563F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058A763"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441A64B2"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2,964,989.23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395D170"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0.04</w:t>
            </w:r>
          </w:p>
        </w:tc>
      </w:tr>
      <w:tr w14:paraId="78374162"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4C54C63"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0105F96"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1F2FCD7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p w14:paraId="07E93AA0" w14:textId="77777777" w:rsidR="005E6DF3" w:rsidRDefault="005E6DF3">
            <w:pPr>
              <w:jc w:val="right"/>
              <w:rPr>
                <w:rFonts w:eastAsiaTheme="minorEastAsia"/>
                <w:color w:themeColor="text1" w:val="000000"/>
                <w:szCs w:val="21"/>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97AC60C"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p w14:paraId="160C7D7F" w14:textId="77777777" w:rsidR="005E6DF3" w:rsidRDefault="005E6DF3">
            <w:pPr>
              <w:jc w:val="right"/>
              <w:rPr>
                <w:rFonts w:eastAsiaTheme="minorEastAsia"/>
                <w:color w:themeColor="text1" w:val="000000"/>
                <w:szCs w:val="21"/>
              </w:rPr>
            </w:pPr>
          </w:p>
        </w:tc>
      </w:tr>
      <w:tr w14:paraId="75458CB8"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AD43B0B"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AEA0B4F"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3FC0A85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2,268,925,471.61</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071F3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32.63</w:t>
            </w:r>
          </w:p>
        </w:tc>
      </w:tr>
      <w:tr w14:paraId="4409511C"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83465D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D3360F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171AB8BF" w14:textId="77777777" w:rsidR="005E6DF3" w:rsidRDefault="005C671B">
            <w:pPr>
              <w:jc w:val="right"/>
              <w:rPr>
                <w:rFonts w:eastAsiaTheme="minorEastAsia"/>
                <w:color w:themeColor="text1" w:val="000000"/>
                <w:szCs w:val="21"/>
              </w:rPr>
            </w:pPr>
            <w:r>
              <w:rPr>
                <w:rFonts w:eastAsiaTheme="minorEastAsia"/>
                <w:color w:themeColor="text1" w:val="000000"/>
                <w:szCs w:val="21"/>
              </w:rPr>
              <w:t>401,846,039.36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72E3DE4" w14:textId="77777777" w:rsidR="005E6DF3" w:rsidRDefault="005C671B">
            <w:pPr>
              <w:jc w:val="right"/>
              <w:rPr>
                <w:rFonts w:eastAsiaTheme="minorEastAsia"/>
                <w:color w:themeColor="text1" w:val="000000"/>
                <w:szCs w:val="21"/>
              </w:rPr>
            </w:pPr>
            <w:r>
              <w:rPr>
                <w:rFonts w:eastAsiaTheme="minorEastAsia"/>
                <w:color w:themeColor="text1" w:val="000000"/>
                <w:szCs w:val="21"/>
              </w:rPr>
              <w:t>5.78</w:t>
            </w:r>
          </w:p>
        </w:tc>
      </w:tr>
      <w:tr w14:paraId="51906F0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4796D9F"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16F4D6C"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5F9E7D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16,472.16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F4051D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w:t>
            </w:r>
          </w:p>
        </w:tc>
      </w:tr>
      <w:tr w14:paraId="4327CAE1"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D01770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C3F321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705B5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12,580.00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46CF60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w:t>
            </w:r>
          </w:p>
        </w:tc>
      </w:tr>
      <w:tr w14:paraId="60915CCA"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9EED2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3FC119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683A7D7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93,248,429.62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ECAC0E" w14:textId="77777777" w:rsidR="005E6DF3" w:rsidRDefault="005C671B">
            <w:pPr>
              <w:jc w:val="right"/>
              <w:rPr>
                <w:rFonts w:eastAsiaTheme="minorEastAsia"/>
                <w:color w:themeColor="text1" w:val="000000"/>
                <w:szCs w:val="21"/>
              </w:rPr>
            </w:pPr>
            <w:r>
              <w:rPr>
                <w:rFonts w:eastAsiaTheme="minorEastAsia"/>
                <w:color w:themeColor="text1" w:val="000000"/>
                <w:szCs w:val="21"/>
              </w:rPr>
              <w:t>1.34</w:t>
            </w:r>
          </w:p>
        </w:tc>
      </w:tr>
      <w:tr w14:paraId="32E0730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3A1AB1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C2C846B"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E0BD29"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2C5A1E4" w14:textId="77777777" w:rsidR="005E6DF3" w:rsidRDefault="005C671B">
            <w:pPr>
              <w:jc w:val="right"/>
              <w:rPr>
                <w:rFonts w:eastAsiaTheme="minorEastAsia"/>
                <w:color w:themeColor="text1" w:val="000000"/>
                <w:szCs w:val="21"/>
              </w:rPr>
            </w:pPr>
            <w:r>
              <w:rPr>
                <w:rFonts w:eastAsiaTheme="minorEastAsia"/>
                <w:color w:themeColor="text1" w:val="000000"/>
                <w:szCs w:val="21"/>
              </w:rPr>
              <w:lastRenderedPageBreak/>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3DC29D8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7AAC80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lastRenderedPageBreak/>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DC7F275"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1AAD446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231,535,415.35</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425EB5A" w14:textId="77777777" w:rsidR="005E6DF3" w:rsidRDefault="005C671B">
            <w:pPr>
              <w:jc w:val="right"/>
              <w:rPr>
                <w:rFonts w:eastAsiaTheme="minorEastAsia"/>
                <w:color w:themeColor="text1" w:val="000000"/>
                <w:szCs w:val="21"/>
              </w:rPr>
            </w:pPr>
            <w:r>
              <w:rPr>
                <w:rFonts w:eastAsiaTheme="minorEastAsia"/>
                <w:color w:themeColor="text1" w:val="000000"/>
                <w:szCs w:val="21"/>
              </w:rPr>
              <w:t>3.33</w:t>
            </w:r>
          </w:p>
        </w:tc>
      </w:tr>
      <w:tr w14:paraId="227F68A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E2343D3"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9EDDD6D"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15548E7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383,630,967.90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7EA4C56"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5.52</w:t>
            </w:r>
          </w:p>
        </w:tc>
      </w:tr>
      <w:tr w14:paraId="070935FD"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CDF3168"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977089E"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16928B3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108,331.32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F27899"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w:t>
            </w:r>
          </w:p>
        </w:tc>
      </w:tr>
      <w:tr w14:paraId="259E14B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768EB6D"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F1C7722"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6213389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390,308,012.64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6E6ED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5.61</w:t>
            </w:r>
          </w:p>
        </w:tc>
      </w:tr>
      <w:tr w14:paraId="5343ADBC"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8E046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4ACACA"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63528125"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182,720,836.02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1598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2.63</w:t>
            </w:r>
          </w:p>
        </w:tc>
      </w:tr>
      <w:tr w14:paraId="6808911A"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66CF98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DACE5DC"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6CFB2FDE"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1,101,539.21</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B6836BB" w14:textId="77777777" w:rsidR="005E6DF3" w:rsidRDefault="005C671B">
            <w:pPr>
              <w:jc w:val="right"/>
              <w:rPr>
                <w:rFonts w:eastAsiaTheme="minorEastAsia"/>
                <w:color w:themeColor="text1" w:val="000000"/>
                <w:szCs w:val="21"/>
              </w:rPr>
            </w:pPr>
            <w:r>
              <w:rPr>
                <w:rFonts w:eastAsiaTheme="minorEastAsia"/>
                <w:color w:themeColor="text1" w:val="000000"/>
                <w:szCs w:val="21"/>
              </w:rPr>
              <w:t>0.02</w:t>
            </w:r>
          </w:p>
        </w:tc>
      </w:tr>
      <w:tr w14:paraId="29DA128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BB38550"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0E130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3FB9EAC"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70304C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74AD531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E061B57"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539EF7"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120632B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2D446D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78D8DAA0"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5A1FD4"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483ECF1"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0425CD1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939C8CB"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14DA41B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24825E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4E22F63"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4440AC1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54,494.43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01731B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w:t>
            </w:r>
          </w:p>
        </w:tc>
      </w:tr>
      <w:tr w14:paraId="75E36F96"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4190C3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FF55FBB"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2366457F"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584E21E" w14:textId="77777777" w:rsidR="005E6DF3" w:rsidRDefault="005C671B">
            <w:pPr>
              <w:jc w:val="right"/>
              <w:rPr>
                <w:rFonts w:eastAsiaTheme="minorEastAsia"/>
                <w:color w:themeColor="text1" w:val="000000"/>
                <w:szCs w:val="21"/>
              </w:rPr>
            </w:pPr>
            <w:r>
              <w:rPr>
                <w:rFonts w:eastAsiaTheme="minorEastAsia"/>
                <w:color w:themeColor="text1" w:val="000000"/>
                <w:szCs w:val="21"/>
              </w:rPr>
              <w:lastRenderedPageBreak/>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21DEFFE9"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13CD3C4" w14:textId="77777777" w:rsidR="005E6DF3" w:rsidRDefault="005E6DF3">
            <w:pPr>
              <w:adjustRightInd w:val="0"/>
              <w:snapToGrid w:val="0"/>
              <w:spacing w:line="400" w:lineRule="exact"/>
              <w:jc w:val="center"/>
              <w:rPr>
                <w:rFonts w:eastAsiaTheme="minorEastAsia"/>
                <w:color w:themeColor="text1" w:val="000000"/>
                <w:szCs w:val="21"/>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0594CCDD"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3883F8C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3,956,473,578.85</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9EBB08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56.91</w:t>
            </w:r>
          </w:p>
        </w:tc>
      </w:tr>
    </w:tbl>
    <w:p w14:paraId="08EE8B25" w14:textId="77777777" w:rsidR="005E6DF3" w:rsidRDefault="005C671B">
      <w:pPr>
        <w:jc w:val="left"/>
        <w:rPr>
          <w:b/>
        </w:rPr>
      </w:pPr>
      <w:r>
        <w:rPr>
          <w:rFonts w:eastAsiaTheme="minorEastAsia" w:hint="eastAsia"/>
          <w:b/>
          <w:color w:themeColor="text1" w:val="000000"/>
          <w:szCs w:val="21"/>
        </w:rPr>
        <w:t xml:space="preserve"> </w:t>
      </w:r>
      <w:r>
        <w:rPr>
          <w:b/>
          <w:color w:themeColor="text1" w:val="000000"/>
          <w:szCs w:val="21"/>
        </w:rPr>
        <w:t/>
      </w:r>
      <w:proofErr w:type="spellStart"/>
      <w:r>
        <w:rPr>
          <w:b/>
          <w:color w:themeColor="text1" w:val="000000"/>
          <w:szCs w:val="21"/>
        </w:rPr>
        <w:t/>
      </w:r>
      <w:proofErr w:type="spellEnd"/>
      <w:r>
        <w:rPr>
          <w:b/>
          <w:color w:themeColor="text1" w:val="000000"/>
          <w:szCs w:val="21"/>
        </w:rPr>
        <w:t/>
      </w:r>
      <w:r>
        <w:rPr>
          <w:rFonts w:ascii="宋体" w:hAnsi="宋体" w:hint="eastAsia"/>
          <w:b/>
          <w:kern w:val="0"/>
          <w:sz w:val="18"/>
        </w:rPr>
        <w:t>5.2.2</w:t>
      </w:r>
      <w:r>
        <w:rPr>
          <w:rFonts w:hint="eastAsia"/>
          <w:b/>
        </w:rPr>
        <w:t>报告期末按行业分类的港股通投资股票投资组合</w:t>
      </w:r>
    </w:p>
    <w:tbl>
      <w:tblPr>
        <w:tblW w:type="dxa" w:w="8634"/>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2397"/>
        <w:gridCol w:w="3119"/>
        <w:gridCol w:w="3118"/>
      </w:tblGrid>
      <w:tr w14:paraId="3D69E3BD" w14:textId="77777777" w:rsidR="005E6DF3">
        <w:trPr>
          <w:jc w:val="center"/>
        </w:trPr>
        <w:tc>
          <w:tcPr>
            <w:tcW w:type="dxa" w:w="2397"/>
            <w:vAlign w:val="center"/>
          </w:tcPr>
          <w:p w14:paraId="425CB1C8" w14:textId="77777777" w:rsidR="005E6DF3" w:rsidRDefault="005C671B">
            <w:pPr>
              <w:spacing w:before="29" w:line="360" w:lineRule="auto"/>
              <w:ind w:left="17"/>
              <w:jc w:val="center"/>
              <w:rPr>
                <w:rFonts w:eastAsiaTheme="minorEastAsia"/>
                <w:color w:themeColor="text1" w:val="000000"/>
                <w:szCs w:val="21"/>
              </w:rPr>
            </w:pPr>
            <w:r>
              <w:rPr>
                <w:rFonts w:eastAsiaTheme="minorEastAsia" w:hint="eastAsia"/>
                <w:color w:themeColor="text1" w:val="000000"/>
                <w:szCs w:val="21"/>
              </w:rPr>
              <w:t>行业类别</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3119"/>
            <w:vAlign w:val="center"/>
          </w:tcPr>
          <w:p w14:paraId="791D1DFC" w14:textId="77777777" w:rsidR="005E6DF3" w:rsidRDefault="005C671B">
            <w:pPr>
              <w:spacing w:before="29" w:line="360" w:lineRule="auto"/>
              <w:ind w:left="17"/>
              <w:jc w:val="center"/>
              <w:rPr>
                <w:rFonts w:eastAsiaTheme="minorEastAsia"/>
                <w:color w:themeColor="text1" w:val="000000"/>
                <w:szCs w:val="21"/>
              </w:rPr>
            </w:pPr>
            <w:r>
              <w:rPr>
                <w:rFonts w:eastAsiaTheme="minorEastAsia" w:hint="eastAsia"/>
                <w:color w:themeColor="text1" w:val="000000"/>
                <w:szCs w:val="21"/>
              </w:rPr>
              <w:t>公允价值（人民币）</w:t>
            </w:r>
          </w:p>
        </w:tc>
        <w:tc>
          <w:tcPr>
            <w:tcW w:type="dxa" w:w="3118"/>
            <w:vAlign w:val="center"/>
          </w:tcPr>
          <w:p w14:paraId="6D144361" w14:textId="77777777" w:rsidR="005E6DF3" w:rsidRDefault="005C671B">
            <w:pPr>
              <w:spacing w:before="29" w:line="360" w:lineRule="auto"/>
              <w:ind w:left="17"/>
              <w:jc w:val="center"/>
              <w:rPr>
                <w:rFonts w:eastAsiaTheme="minorEastAsia"/>
                <w:color w:themeColor="text1" w:val="000000"/>
                <w:szCs w:val="21"/>
              </w:rPr>
            </w:pPr>
            <w:r>
              <w:rPr>
                <w:rFonts w:eastAsiaTheme="minorEastAsia" w:hint="eastAsia"/>
                <w:color w:themeColor="text1" w:val="000000"/>
                <w:szCs w:val="21"/>
              </w:rPr>
              <w:t>占基金资产净值比例（</w:t>
            </w:r>
            <w:r>
              <w:rPr>
                <w:rFonts w:eastAsiaTheme="minorEastAsia" w:hint="eastAsia"/>
                <w:color w:themeColor="text1" w:val="000000"/>
                <w:szCs w:val="21"/>
              </w:rPr>
              <w:t>%</w:t>
            </w:r>
            <w:r>
              <w:rPr>
                <w:rFonts w:eastAsiaTheme="minorEastAsia" w:hint="eastAsia"/>
                <w:color w:themeColor="text1" w:val="000000"/>
                <w:szCs w:val="21"/>
              </w:rPr>
              <w:t>）</w:t>
            </w:r>
          </w:p>
        </w:tc>
      </w:tr>
      <w:tr>
        <w:tc>
          <w:tcPr>
            <w:vAlign w:val="center"/>
          </w:tcPr>
          <w:p>
            <w:pPr>
              <w:jc w:val="center"/>
            </w:pPr>
            <w:r>
              <w:rPr>
                <w:rFonts w:eastAsiaTheme="minorEastAsia"/>
                <w:color w:themeColor="text1" w:val="000000"/>
                <w:szCs w:val="21"/>
              </w:rPr>
              <w:t>A 基础材料</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B 消费者非必需品</w:t>
            </w:r>
          </w:p>
        </w:tc>
        <w:tc>
          <w:tcPr>
            <w:vAlign w:val="center"/>
          </w:tcPr>
          <w:p>
            <w:pPr>
              <w:jc w:val="center"/>
            </w:pPr>
            <w:r>
              <w:rPr>
                <w:rFonts w:eastAsiaTheme="minorEastAsia"/>
                <w:color w:themeColor="text1" w:val="000000"/>
                <w:szCs w:val="21"/>
              </w:rPr>
              <w:t>601,510,371.66</w:t>
            </w:r>
          </w:p>
        </w:tc>
        <w:tc>
          <w:tcPr>
            <w:vAlign w:val="center"/>
          </w:tcPr>
          <w:p>
            <w:pPr>
              <w:jc w:val="center"/>
            </w:pPr>
            <w:r>
              <w:rPr>
                <w:rFonts w:eastAsiaTheme="minorEastAsia"/>
                <w:color w:themeColor="text1" w:val="000000"/>
                <w:szCs w:val="21"/>
              </w:rPr>
              <w:t>8.65</w:t>
            </w:r>
          </w:p>
        </w:tc>
      </w:tr>
      <w:tr>
        <w:tc>
          <w:tcPr>
            <w:vAlign w:val="center"/>
          </w:tcPr>
          <w:p>
            <w:pPr>
              <w:jc w:val="center"/>
            </w:pPr>
            <w:r>
              <w:rPr>
                <w:rFonts w:eastAsiaTheme="minorEastAsia"/>
                <w:color w:themeColor="text1" w:val="000000"/>
                <w:szCs w:val="21"/>
              </w:rPr>
              <w:t>C 消费者常用品</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D 能源</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E 金融</w:t>
            </w:r>
          </w:p>
        </w:tc>
        <w:tc>
          <w:tcPr>
            <w:vAlign w:val="center"/>
          </w:tcPr>
          <w:p>
            <w:pPr>
              <w:jc w:val="center"/>
            </w:pPr>
            <w:r>
              <w:rPr>
                <w:rFonts w:eastAsiaTheme="minorEastAsia"/>
                <w:color w:themeColor="text1" w:val="000000"/>
                <w:szCs w:val="21"/>
              </w:rPr>
              <w:t>408,388,744.72</w:t>
            </w:r>
          </w:p>
        </w:tc>
        <w:tc>
          <w:tcPr>
            <w:vAlign w:val="center"/>
          </w:tcPr>
          <w:p>
            <w:pPr>
              <w:jc w:val="center"/>
            </w:pPr>
            <w:r>
              <w:rPr>
                <w:rFonts w:eastAsiaTheme="minorEastAsia"/>
                <w:color w:themeColor="text1" w:val="000000"/>
                <w:szCs w:val="21"/>
              </w:rPr>
              <w:t>5.87</w:t>
            </w:r>
          </w:p>
        </w:tc>
      </w:tr>
      <w:tr>
        <w:tc>
          <w:tcPr>
            <w:vAlign w:val="center"/>
          </w:tcPr>
          <w:p>
            <w:pPr>
              <w:jc w:val="center"/>
            </w:pPr>
            <w:r>
              <w:rPr>
                <w:rFonts w:eastAsiaTheme="minorEastAsia"/>
                <w:color w:themeColor="text1" w:val="000000"/>
                <w:szCs w:val="21"/>
              </w:rPr>
              <w:t>F 医疗保健</w:t>
            </w:r>
          </w:p>
        </w:tc>
        <w:tc>
          <w:tcPr>
            <w:vAlign w:val="center"/>
          </w:tcPr>
          <w:p>
            <w:pPr>
              <w:jc w:val="center"/>
            </w:pPr>
            <w:r>
              <w:rPr>
                <w:rFonts w:eastAsiaTheme="minorEastAsia"/>
                <w:color w:themeColor="text1" w:val="000000"/>
                <w:szCs w:val="21"/>
              </w:rPr>
              <w:t>7,030,777.74</w:t>
            </w:r>
          </w:p>
        </w:tc>
        <w:tc>
          <w:tcPr>
            <w:vAlign w:val="center"/>
          </w:tcPr>
          <w:p>
            <w:pPr>
              <w:jc w:val="center"/>
            </w:pPr>
            <w:r>
              <w:rPr>
                <w:rFonts w:eastAsiaTheme="minorEastAsia"/>
                <w:color w:themeColor="text1" w:val="000000"/>
                <w:szCs w:val="21"/>
              </w:rPr>
              <w:t>0.10</w:t>
            </w:r>
          </w:p>
        </w:tc>
      </w:tr>
      <w:tr>
        <w:tc>
          <w:tcPr>
            <w:vAlign w:val="center"/>
          </w:tcPr>
          <w:p>
            <w:pPr>
              <w:jc w:val="center"/>
            </w:pPr>
            <w:r>
              <w:rPr>
                <w:rFonts w:eastAsiaTheme="minorEastAsia"/>
                <w:color w:themeColor="text1" w:val="000000"/>
                <w:szCs w:val="21"/>
              </w:rPr>
              <w:t>G 工业</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H 信息技术</w:t>
            </w:r>
          </w:p>
        </w:tc>
        <w:tc>
          <w:tcPr>
            <w:vAlign w:val="center"/>
          </w:tcPr>
          <w:p>
            <w:pPr>
              <w:jc w:val="center"/>
            </w:pPr>
            <w:r>
              <w:rPr>
                <w:rFonts w:eastAsiaTheme="minorEastAsia"/>
                <w:color w:themeColor="text1" w:val="000000"/>
                <w:szCs w:val="21"/>
              </w:rPr>
              <w:t>23,077,893.45</w:t>
            </w:r>
          </w:p>
        </w:tc>
        <w:tc>
          <w:tcPr>
            <w:vAlign w:val="center"/>
          </w:tcPr>
          <w:p>
            <w:pPr>
              <w:jc w:val="center"/>
            </w:pPr>
            <w:r>
              <w:rPr>
                <w:rFonts w:eastAsiaTheme="minorEastAsia"/>
                <w:color w:themeColor="text1" w:val="000000"/>
                <w:szCs w:val="21"/>
              </w:rPr>
              <w:t>0.33</w:t>
            </w:r>
          </w:p>
        </w:tc>
      </w:tr>
      <w:tr>
        <w:tc>
          <w:tcPr>
            <w:vAlign w:val="center"/>
          </w:tcPr>
          <w:p>
            <w:pPr>
              <w:jc w:val="center"/>
            </w:pPr>
            <w:r>
              <w:rPr>
                <w:rFonts w:eastAsiaTheme="minorEastAsia"/>
                <w:color w:themeColor="text1" w:val="000000"/>
                <w:szCs w:val="21"/>
              </w:rPr>
              <w:t>I 电信服务</w:t>
            </w:r>
          </w:p>
        </w:tc>
        <w:tc>
          <w:tcPr>
            <w:vAlign w:val="center"/>
          </w:tcPr>
          <w:p>
            <w:pPr>
              <w:jc w:val="center"/>
            </w:pPr>
            <w:r>
              <w:rPr>
                <w:rFonts w:eastAsiaTheme="minorEastAsia"/>
                <w:color w:themeColor="text1" w:val="000000"/>
                <w:szCs w:val="21"/>
              </w:rPr>
              <w:t>593,215,783.58</w:t>
            </w:r>
          </w:p>
        </w:tc>
        <w:tc>
          <w:tcPr>
            <w:vAlign w:val="center"/>
          </w:tcPr>
          <w:p>
            <w:pPr>
              <w:jc w:val="center"/>
            </w:pPr>
            <w:r>
              <w:rPr>
                <w:rFonts w:eastAsiaTheme="minorEastAsia"/>
                <w:color w:themeColor="text1" w:val="000000"/>
                <w:szCs w:val="21"/>
              </w:rPr>
              <w:t>8.53</w:t>
            </w:r>
          </w:p>
        </w:tc>
      </w:tr>
      <w:tr>
        <w:tc>
          <w:tcPr>
            <w:vAlign w:val="center"/>
          </w:tcPr>
          <w:p>
            <w:pPr>
              <w:jc w:val="center"/>
            </w:pPr>
            <w:r>
              <w:rPr>
                <w:rFonts w:eastAsiaTheme="minorEastAsia"/>
                <w:color w:themeColor="text1" w:val="000000"/>
                <w:szCs w:val="21"/>
              </w:rPr>
              <w:t>J 公用事业</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K 房地产</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w:t>
            </w:r>
          </w:p>
        </w:tc>
      </w:tr>
      <w:tr w14:paraId="14506F85" w14:textId="77777777" w:rsidR="005E6DF3">
        <w:trPr>
          <w:jc w:val="center"/>
        </w:trPr>
        <w:tc>
          <w:tcPr>
            <w:tcW w:type="dxa" w:w="2397"/>
            <w:vAlign w:val="center"/>
          </w:tcPr>
          <w:p w14:paraId="2F3610DF" w14:textId="77777777" w:rsidR="005E6DF3" w:rsidRDefault="005C671B">
            <w:pPr>
              <w:spacing w:before="29" w:line="360" w:lineRule="auto"/>
              <w:ind w:left="17"/>
              <w:jc w:val="center"/>
              <w:rPr>
                <w:rFonts w:eastAsiaTheme="minorEastAsia"/>
                <w:color w:themeColor="text1" w:val="000000"/>
                <w:szCs w:val="21"/>
              </w:rPr>
            </w:pPr>
            <w:r>
              <w:rPr>
                <w:rFonts w:eastAsiaTheme="minorEastAsia" w:hint="eastAsia"/>
                <w:color w:themeColor="text1" w:val="000000"/>
                <w:szCs w:val="21"/>
              </w:rPr>
              <w:t>合计</w:t>
            </w:r>
          </w:p>
        </w:tc>
        <w:tc>
          <w:tcPr>
            <w:tcW w:type="dxa" w:w="3119"/>
            <w:vAlign w:val="center"/>
          </w:tcPr>
          <w:p w14:paraId="48320CFC"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1,633,223,571.15</w:t>
            </w:r>
          </w:p>
        </w:tc>
        <w:tc>
          <w:tcPr>
            <w:tcW w:type="dxa" w:w="3118"/>
            <w:vAlign w:val="center"/>
          </w:tcPr>
          <w:p w14:paraId="4328EE7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hint="eastAsia"/>
                <w:color w:themeColor="text1" w:val="000000"/>
                <w:szCs w:val="21"/>
              </w:rPr>
              <w:t/>
            </w:r>
            <w:r>
              <w:rPr>
                <w:rFonts w:eastAsiaTheme="minorEastAsia"/>
                <w:color w:themeColor="text1" w:val="000000"/>
                <w:szCs w:val="21"/>
              </w:rPr>
              <w:t/>
            </w:r>
            <w:r>
              <w:rPr>
                <w:rFonts w:eastAsiaTheme="minorEastAsia" w:hint="eastAsia"/>
                <w:color w:themeColor="text1" w:val="000000"/>
                <w:szCs w:val="21"/>
              </w:rPr>
              <w:t>23.49</w:t>
            </w:r>
          </w:p>
        </w:tc>
      </w:tr>
    </w:tbl>
    <w:p w14:paraId="77E2B4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5.3 </w:t>
      </w:r>
      <w:r>
        <w:rPr>
          <w:rFonts w:eastAsiaTheme="minorEastAsia"/>
          <w:b/>
          <w:color w:themeColor="text1" w:val="000000"/>
          <w:kern w:val="0"/>
          <w:szCs w:val="21"/>
        </w:rPr>
        <w:t>报告期末按公允价值占基金资产净值比例大小排序的前十名股票投资明细</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1276"/>
        <w:gridCol w:w="1701"/>
        <w:gridCol w:w="1276"/>
        <w:gridCol w:w="1842"/>
        <w:gridCol w:w="1616"/>
      </w:tblGrid>
      <w:tr w14:paraId="0ED22E2B" w14:textId="77777777" w:rsidR="005E6DF3">
        <w:tc>
          <w:tcPr>
            <w:tcW w:type="dxa" w:w="817"/>
            <w:vAlign w:val="center"/>
          </w:tcPr>
          <w:p w14:paraId="4F43E9CC"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1276"/>
            <w:vAlign w:val="center"/>
          </w:tcPr>
          <w:p w14:paraId="7B6D212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股票代码</w:t>
            </w:r>
          </w:p>
        </w:tc>
        <w:tc>
          <w:tcPr>
            <w:tcW w:type="dxa" w:w="1701"/>
            <w:vAlign w:val="center"/>
          </w:tcPr>
          <w:p w14:paraId="249CF00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股票名称</w:t>
            </w:r>
          </w:p>
        </w:tc>
        <w:tc>
          <w:tcPr>
            <w:tcW w:type="dxa" w:w="1276"/>
            <w:vAlign w:val="center"/>
          </w:tcPr>
          <w:p w14:paraId="33B09B3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数量</w:t>
            </w:r>
            <w:r>
              <w:rPr>
                <w:rFonts w:eastAsiaTheme="minorEastAsia"/>
                <w:color w:themeColor="text1" w:val="000000"/>
                <w:szCs w:val="21"/>
              </w:rPr>
              <w:t>(</w:t>
            </w:r>
            <w:r>
              <w:rPr>
                <w:rFonts w:eastAsiaTheme="minorEastAsia"/>
                <w:color w:themeColor="text1" w:val="000000"/>
                <w:szCs w:val="21"/>
              </w:rPr>
              <w:t>股</w:t>
            </w:r>
            <w:r>
              <w:rPr>
                <w:rFonts w:eastAsiaTheme="minorEastAsia"/>
                <w:color w:themeColor="text1" w:val="000000"/>
                <w:szCs w:val="21"/>
              </w:rPr>
              <w:t>)</w:t>
            </w:r>
          </w:p>
        </w:tc>
        <w:tc>
          <w:tcPr>
            <w:tcW w:type="dxa" w:w="1842"/>
            <w:vAlign w:val="center"/>
          </w:tcPr>
          <w:p w14:paraId="193ED3E3" w14:textId="77777777" w:rsidR="005E6DF3" w:rsidRDefault="005C671B">
            <w:pPr>
              <w:autoSpaceDE w:val="0"/>
              <w:autoSpaceDN w:val="0"/>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16"/>
            <w:vAlign w:val="center"/>
          </w:tcPr>
          <w:p w14:paraId="1A53759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r>
              <w:rPr>
                <w:rFonts w:eastAsiaTheme="minorEastAsia"/>
                <w:color w:themeColor="text1" w:val="000000"/>
                <w:szCs w:val="21"/>
              </w:rPr>
              <w:t>％</w:t>
            </w: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00700</w:t>
            </w:r>
          </w:p>
        </w:tc>
        <w:tc>
          <w:tcPr>
            <w:vAlign w:val="center"/>
          </w:tcPr>
          <w:p>
            <w:pPr>
              <w:jc w:val="center"/>
            </w:pPr>
            <w:r>
              <w:rPr>
                <w:rFonts w:eastAsiaTheme="minorEastAsia"/>
                <w:color w:themeColor="text1" w:val="000000"/>
                <w:szCs w:val="21"/>
              </w:rPr>
              <w:t>腾讯控股</w:t>
            </w:r>
          </w:p>
        </w:tc>
        <w:tc>
          <w:tcPr>
            <w:vAlign w:val="center"/>
          </w:tcPr>
          <w:p>
            <w:pPr>
              <w:jc w:val="right"/>
            </w:pPr>
            <w:r>
              <w:rPr>
                <w:rFonts w:eastAsiaTheme="minorEastAsia"/>
                <w:color w:themeColor="text1" w:val="000000"/>
                <w:szCs w:val="21"/>
              </w:rPr>
              <w:t>1,130,900.00</w:t>
            </w:r>
          </w:p>
        </w:tc>
        <w:tc>
          <w:tcPr>
            <w:vAlign w:val="center"/>
          </w:tcPr>
          <w:p>
            <w:pPr>
              <w:jc w:val="right"/>
            </w:pPr>
            <w:r>
              <w:rPr>
                <w:rFonts w:eastAsiaTheme="minorEastAsia"/>
                <w:color w:themeColor="text1" w:val="000000"/>
                <w:szCs w:val="21"/>
              </w:rPr>
              <w:t>583,046,577.82</w:t>
            </w:r>
          </w:p>
        </w:tc>
        <w:tc>
          <w:tcPr>
            <w:vAlign w:val="center"/>
          </w:tcPr>
          <w:p>
            <w:pPr>
              <w:jc w:val="right"/>
            </w:pPr>
            <w:r>
              <w:rPr>
                <w:rFonts w:eastAsiaTheme="minorEastAsia"/>
                <w:color w:themeColor="text1" w:val="000000"/>
                <w:szCs w:val="21"/>
              </w:rPr>
              <w:t>8.39</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600519</w:t>
            </w:r>
          </w:p>
        </w:tc>
        <w:tc>
          <w:tcPr>
            <w:vAlign w:val="center"/>
          </w:tcPr>
          <w:p>
            <w:pPr>
              <w:jc w:val="center"/>
            </w:pPr>
            <w:r>
              <w:rPr>
                <w:rFonts w:eastAsiaTheme="minorEastAsia"/>
                <w:color w:themeColor="text1" w:val="000000"/>
                <w:szCs w:val="21"/>
              </w:rPr>
              <w:t>贵州茅台</w:t>
            </w:r>
          </w:p>
        </w:tc>
        <w:tc>
          <w:tcPr>
            <w:vAlign w:val="center"/>
          </w:tcPr>
          <w:p>
            <w:pPr>
              <w:jc w:val="right"/>
            </w:pPr>
            <w:r>
              <w:rPr>
                <w:rFonts w:eastAsiaTheme="minorEastAsia"/>
                <w:color w:themeColor="text1" w:val="000000"/>
                <w:szCs w:val="21"/>
              </w:rPr>
              <w:t>229,083.00</w:t>
            </w:r>
          </w:p>
        </w:tc>
        <w:tc>
          <w:tcPr>
            <w:vAlign w:val="center"/>
          </w:tcPr>
          <w:p>
            <w:pPr>
              <w:jc w:val="right"/>
            </w:pPr>
            <w:r>
              <w:rPr>
                <w:rFonts w:eastAsiaTheme="minorEastAsia"/>
                <w:color w:themeColor="text1" w:val="000000"/>
                <w:szCs w:val="21"/>
              </w:rPr>
              <w:t>460,227,747.00</w:t>
            </w:r>
          </w:p>
        </w:tc>
        <w:tc>
          <w:tcPr>
            <w:vAlign w:val="center"/>
          </w:tcPr>
          <w:p>
            <w:pPr>
              <w:jc w:val="right"/>
            </w:pPr>
            <w:r>
              <w:rPr>
                <w:rFonts w:eastAsiaTheme="minorEastAsia"/>
                <w:color w:themeColor="text1" w:val="000000"/>
                <w:szCs w:val="21"/>
              </w:rPr>
              <w:t>6.62</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00388</w:t>
            </w:r>
          </w:p>
        </w:tc>
        <w:tc>
          <w:tcPr>
            <w:vAlign w:val="center"/>
          </w:tcPr>
          <w:p>
            <w:pPr>
              <w:jc w:val="center"/>
            </w:pPr>
            <w:r>
              <w:rPr>
                <w:rFonts w:eastAsiaTheme="minorEastAsia"/>
                <w:color w:themeColor="text1" w:val="000000"/>
                <w:szCs w:val="21"/>
              </w:rPr>
              <w:t>香港交易所</w:t>
            </w:r>
          </w:p>
        </w:tc>
        <w:tc>
          <w:tcPr>
            <w:vAlign w:val="center"/>
          </w:tcPr>
          <w:p>
            <w:pPr>
              <w:jc w:val="right"/>
            </w:pPr>
            <w:r>
              <w:rPr>
                <w:rFonts w:eastAsiaTheme="minorEastAsia"/>
                <w:color w:themeColor="text1" w:val="000000"/>
                <w:szCs w:val="21"/>
              </w:rPr>
              <w:t>1,056,400.00</w:t>
            </w:r>
          </w:p>
        </w:tc>
        <w:tc>
          <w:tcPr>
            <w:vAlign w:val="center"/>
          </w:tcPr>
          <w:p>
            <w:pPr>
              <w:jc w:val="right"/>
            </w:pPr>
            <w:r>
              <w:rPr>
                <w:rFonts w:eastAsiaTheme="minorEastAsia"/>
                <w:color w:themeColor="text1" w:val="000000"/>
                <w:szCs w:val="21"/>
              </w:rPr>
              <w:t>408,388,744.72</w:t>
            </w:r>
          </w:p>
        </w:tc>
        <w:tc>
          <w:tcPr>
            <w:vAlign w:val="center"/>
          </w:tcPr>
          <w:p>
            <w:pPr>
              <w:jc w:val="right"/>
            </w:pPr>
            <w:r>
              <w:rPr>
                <w:rFonts w:eastAsiaTheme="minorEastAsia"/>
                <w:color w:themeColor="text1" w:val="000000"/>
                <w:szCs w:val="21"/>
              </w:rPr>
              <w:t>5.87</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600900</w:t>
            </w:r>
          </w:p>
        </w:tc>
        <w:tc>
          <w:tcPr>
            <w:vAlign w:val="center"/>
          </w:tcPr>
          <w:p>
            <w:pPr>
              <w:jc w:val="center"/>
            </w:pPr>
            <w:r>
              <w:rPr>
                <w:rFonts w:eastAsiaTheme="minorEastAsia"/>
                <w:color w:themeColor="text1" w:val="000000"/>
                <w:szCs w:val="21"/>
              </w:rPr>
              <w:t>长江电力</w:t>
            </w:r>
          </w:p>
        </w:tc>
        <w:tc>
          <w:tcPr>
            <w:vAlign w:val="center"/>
          </w:tcPr>
          <w:p>
            <w:pPr>
              <w:jc w:val="right"/>
            </w:pPr>
            <w:r>
              <w:rPr>
                <w:rFonts w:eastAsiaTheme="minorEastAsia"/>
                <w:color w:themeColor="text1" w:val="000000"/>
                <w:szCs w:val="21"/>
              </w:rPr>
              <w:t>18,742,819.00</w:t>
            </w:r>
          </w:p>
        </w:tc>
        <w:tc>
          <w:tcPr>
            <w:vAlign w:val="center"/>
          </w:tcPr>
          <w:p>
            <w:pPr>
              <w:jc w:val="right"/>
            </w:pPr>
            <w:r>
              <w:rPr>
                <w:rFonts w:eastAsiaTheme="minorEastAsia"/>
                <w:color w:themeColor="text1" w:val="000000"/>
                <w:szCs w:val="21"/>
              </w:rPr>
              <w:t>401,846,039.36</w:t>
            </w:r>
          </w:p>
        </w:tc>
        <w:tc>
          <w:tcPr>
            <w:vAlign w:val="center"/>
          </w:tcPr>
          <w:p>
            <w:pPr>
              <w:jc w:val="right"/>
            </w:pPr>
            <w:r>
              <w:rPr>
                <w:rFonts w:eastAsiaTheme="minorEastAsia"/>
                <w:color w:themeColor="text1" w:val="000000"/>
                <w:szCs w:val="21"/>
              </w:rPr>
              <w:t>5.78</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601888</w:t>
            </w:r>
          </w:p>
        </w:tc>
        <w:tc>
          <w:tcPr>
            <w:vAlign w:val="center"/>
          </w:tcPr>
          <w:p>
            <w:pPr>
              <w:jc w:val="center"/>
            </w:pPr>
            <w:r>
              <w:rPr>
                <w:rFonts w:eastAsiaTheme="minorEastAsia"/>
                <w:color w:themeColor="text1" w:val="000000"/>
                <w:szCs w:val="21"/>
              </w:rPr>
              <w:t>中国中免</w:t>
            </w:r>
          </w:p>
        </w:tc>
        <w:tc>
          <w:tcPr>
            <w:vAlign w:val="center"/>
          </w:tcPr>
          <w:p>
            <w:pPr>
              <w:jc w:val="right"/>
            </w:pPr>
            <w:r>
              <w:rPr>
                <w:rFonts w:eastAsiaTheme="minorEastAsia"/>
                <w:color w:themeColor="text1" w:val="000000"/>
                <w:szCs w:val="21"/>
              </w:rPr>
              <w:t>1,275,183.00</w:t>
            </w:r>
          </w:p>
        </w:tc>
        <w:tc>
          <w:tcPr>
            <w:vAlign w:val="center"/>
          </w:tcPr>
          <w:p>
            <w:pPr>
              <w:jc w:val="right"/>
            </w:pPr>
            <w:r>
              <w:rPr>
                <w:rFonts w:eastAsiaTheme="minorEastAsia"/>
                <w:color w:themeColor="text1" w:val="000000"/>
                <w:szCs w:val="21"/>
              </w:rPr>
              <w:t>390,308,012.64</w:t>
            </w:r>
          </w:p>
        </w:tc>
        <w:tc>
          <w:tcPr>
            <w:vAlign w:val="center"/>
          </w:tcPr>
          <w:p>
            <w:pPr>
              <w:jc w:val="right"/>
            </w:pPr>
            <w:r>
              <w:rPr>
                <w:rFonts w:eastAsiaTheme="minorEastAsia"/>
                <w:color w:themeColor="text1" w:val="000000"/>
                <w:szCs w:val="21"/>
              </w:rPr>
              <w:t>5.61</w:t>
            </w:r>
          </w:p>
        </w:tc>
      </w:tr>
      <w:tr>
        <w:tc>
          <w:tcPr>
            <w:vAlign w:val="center"/>
          </w:tcPr>
          <w:p>
            <w:pPr>
              <w:jc w:val="center"/>
            </w:pPr>
            <w:r>
              <w:rPr>
                <w:rFonts w:eastAsiaTheme="minorEastAsia"/>
                <w:color w:themeColor="text1" w:val="000000"/>
                <w:szCs w:val="21"/>
              </w:rPr>
              <w:t>6</w:t>
            </w:r>
          </w:p>
        </w:tc>
        <w:tc>
          <w:tcPr>
            <w:vAlign w:val="center"/>
          </w:tcPr>
          <w:p>
            <w:pPr>
              <w:jc w:val="center"/>
            </w:pPr>
            <w:r>
              <w:rPr>
                <w:rFonts w:eastAsiaTheme="minorEastAsia"/>
                <w:color w:themeColor="text1" w:val="000000"/>
                <w:szCs w:val="21"/>
              </w:rPr>
              <w:t>000333</w:t>
            </w:r>
          </w:p>
        </w:tc>
        <w:tc>
          <w:tcPr>
            <w:vAlign w:val="center"/>
          </w:tcPr>
          <w:p>
            <w:pPr>
              <w:jc w:val="center"/>
            </w:pPr>
            <w:r>
              <w:rPr>
                <w:rFonts w:eastAsiaTheme="minorEastAsia"/>
                <w:color w:themeColor="text1" w:val="000000"/>
                <w:szCs w:val="21"/>
              </w:rPr>
              <w:t>美的集团</w:t>
            </w:r>
          </w:p>
        </w:tc>
        <w:tc>
          <w:tcPr>
            <w:vAlign w:val="center"/>
          </w:tcPr>
          <w:p>
            <w:pPr>
              <w:jc w:val="right"/>
            </w:pPr>
            <w:r>
              <w:rPr>
                <w:rFonts w:eastAsiaTheme="minorEastAsia"/>
                <w:color w:themeColor="text1" w:val="000000"/>
                <w:szCs w:val="21"/>
              </w:rPr>
              <w:t>4,030,023.00</w:t>
            </w:r>
          </w:p>
        </w:tc>
        <w:tc>
          <w:tcPr>
            <w:vAlign w:val="center"/>
          </w:tcPr>
          <w:p>
            <w:pPr>
              <w:jc w:val="right"/>
            </w:pPr>
            <w:r>
              <w:rPr>
                <w:rFonts w:eastAsiaTheme="minorEastAsia"/>
                <w:color w:themeColor="text1" w:val="000000"/>
                <w:szCs w:val="21"/>
              </w:rPr>
              <w:t>331,388,791.29</w:t>
            </w:r>
          </w:p>
        </w:tc>
        <w:tc>
          <w:tcPr>
            <w:vAlign w:val="center"/>
          </w:tcPr>
          <w:p>
            <w:pPr>
              <w:jc w:val="right"/>
            </w:pPr>
            <w:r>
              <w:rPr>
                <w:rFonts w:eastAsiaTheme="minorEastAsia"/>
                <w:color w:themeColor="text1" w:val="000000"/>
                <w:szCs w:val="21"/>
              </w:rPr>
              <w:t>4.77</w:t>
            </w:r>
          </w:p>
        </w:tc>
      </w:tr>
      <w:tr>
        <w:tc>
          <w:tcPr>
            <w:vAlign w:val="center"/>
          </w:tcPr>
          <w:p>
            <w:pPr>
              <w:jc w:val="center"/>
            </w:pPr>
            <w:r>
              <w:rPr>
                <w:rFonts w:eastAsiaTheme="minorEastAsia"/>
                <w:color w:themeColor="text1" w:val="000000"/>
                <w:szCs w:val="21"/>
              </w:rPr>
              <w:t>7</w:t>
            </w:r>
          </w:p>
        </w:tc>
        <w:tc>
          <w:tcPr>
            <w:vAlign w:val="center"/>
          </w:tcPr>
          <w:p>
            <w:pPr>
              <w:jc w:val="center"/>
            </w:pPr>
            <w:r>
              <w:rPr>
                <w:rFonts w:eastAsiaTheme="minorEastAsia"/>
                <w:color w:themeColor="text1" w:val="000000"/>
                <w:szCs w:val="21"/>
              </w:rPr>
              <w:t>600031</w:t>
            </w:r>
          </w:p>
        </w:tc>
        <w:tc>
          <w:tcPr>
            <w:vAlign w:val="center"/>
          </w:tcPr>
          <w:p>
            <w:pPr>
              <w:jc w:val="center"/>
            </w:pPr>
            <w:r>
              <w:rPr>
                <w:rFonts w:eastAsiaTheme="minorEastAsia"/>
                <w:color w:themeColor="text1" w:val="000000"/>
                <w:szCs w:val="21"/>
              </w:rPr>
              <w:t>三一重工</w:t>
            </w:r>
          </w:p>
        </w:tc>
        <w:tc>
          <w:tcPr>
            <w:vAlign w:val="center"/>
          </w:tcPr>
          <w:p>
            <w:pPr>
              <w:jc w:val="right"/>
            </w:pPr>
            <w:r>
              <w:rPr>
                <w:rFonts w:eastAsiaTheme="minorEastAsia"/>
                <w:color w:themeColor="text1" w:val="000000"/>
                <w:szCs w:val="21"/>
              </w:rPr>
              <w:t>8,789,615.00</w:t>
            </w:r>
          </w:p>
        </w:tc>
        <w:tc>
          <w:tcPr>
            <w:vAlign w:val="center"/>
          </w:tcPr>
          <w:p>
            <w:pPr>
              <w:jc w:val="right"/>
            </w:pPr>
            <w:r>
              <w:rPr>
                <w:rFonts w:eastAsiaTheme="minorEastAsia"/>
                <w:color w:themeColor="text1" w:val="000000"/>
                <w:szCs w:val="21"/>
              </w:rPr>
              <w:t>300,165,352.25</w:t>
            </w:r>
          </w:p>
        </w:tc>
        <w:tc>
          <w:tcPr>
            <w:vAlign w:val="center"/>
          </w:tcPr>
          <w:p>
            <w:pPr>
              <w:jc w:val="right"/>
            </w:pPr>
            <w:r>
              <w:rPr>
                <w:rFonts w:eastAsiaTheme="minorEastAsia"/>
                <w:color w:themeColor="text1" w:val="000000"/>
                <w:szCs w:val="21"/>
              </w:rPr>
              <w:t>4.32</w:t>
            </w:r>
          </w:p>
        </w:tc>
      </w:tr>
      <w:tr>
        <w:tc>
          <w:tcPr>
            <w:vAlign w:val="center"/>
          </w:tcPr>
          <w:p>
            <w:pPr>
              <w:jc w:val="center"/>
            </w:pPr>
            <w:r>
              <w:rPr>
                <w:rFonts w:eastAsiaTheme="minorEastAsia"/>
                <w:color w:themeColor="text1" w:val="000000"/>
                <w:szCs w:val="21"/>
              </w:rPr>
              <w:t>8</w:t>
            </w:r>
          </w:p>
        </w:tc>
        <w:tc>
          <w:tcPr>
            <w:vAlign w:val="center"/>
          </w:tcPr>
          <w:p>
            <w:pPr>
              <w:jc w:val="center"/>
            </w:pPr>
            <w:r>
              <w:rPr>
                <w:rFonts w:eastAsiaTheme="minorEastAsia"/>
                <w:color w:themeColor="text1" w:val="000000"/>
                <w:szCs w:val="21"/>
              </w:rPr>
              <w:t>03690</w:t>
            </w:r>
          </w:p>
        </w:tc>
        <w:tc>
          <w:tcPr>
            <w:vAlign w:val="center"/>
          </w:tcPr>
          <w:p>
            <w:pPr>
              <w:jc w:val="center"/>
            </w:pPr>
            <w:r>
              <w:rPr>
                <w:rFonts w:eastAsiaTheme="minorEastAsia"/>
                <w:color w:themeColor="text1" w:val="000000"/>
                <w:szCs w:val="21"/>
              </w:rPr>
              <w:t>美团－Ｗ</w:t>
            </w:r>
          </w:p>
        </w:tc>
        <w:tc>
          <w:tcPr>
            <w:vAlign w:val="center"/>
          </w:tcPr>
          <w:p>
            <w:pPr>
              <w:jc w:val="right"/>
            </w:pPr>
            <w:r>
              <w:rPr>
                <w:rFonts w:eastAsiaTheme="minorEastAsia"/>
                <w:color w:themeColor="text1" w:val="000000"/>
                <w:szCs w:val="21"/>
              </w:rPr>
              <w:t>822,100.00</w:t>
            </w:r>
          </w:p>
        </w:tc>
        <w:tc>
          <w:tcPr>
            <w:vAlign w:val="center"/>
          </w:tcPr>
          <w:p>
            <w:pPr>
              <w:jc w:val="right"/>
            </w:pPr>
            <w:r>
              <w:rPr>
                <w:rFonts w:eastAsiaTheme="minorEastAsia"/>
                <w:color w:themeColor="text1" w:val="000000"/>
                <w:szCs w:val="21"/>
              </w:rPr>
              <w:t>207,196,062.94</w:t>
            </w:r>
          </w:p>
        </w:tc>
        <w:tc>
          <w:tcPr>
            <w:vAlign w:val="center"/>
          </w:tcPr>
          <w:p>
            <w:pPr>
              <w:jc w:val="right"/>
            </w:pPr>
            <w:r>
              <w:rPr>
                <w:rFonts w:eastAsiaTheme="minorEastAsia"/>
                <w:color w:themeColor="text1" w:val="000000"/>
                <w:szCs w:val="21"/>
              </w:rPr>
              <w:t>2.98</w:t>
            </w:r>
          </w:p>
        </w:tc>
      </w:tr>
      <w:tr>
        <w:tc>
          <w:tcPr>
            <w:vAlign w:val="center"/>
          </w:tcPr>
          <w:p>
            <w:pPr>
              <w:jc w:val="center"/>
            </w:pPr>
            <w:r>
              <w:rPr>
                <w:rFonts w:eastAsiaTheme="minorEastAsia"/>
                <w:color w:themeColor="text1" w:val="000000"/>
                <w:szCs w:val="21"/>
              </w:rPr>
              <w:t>9</w:t>
            </w:r>
          </w:p>
        </w:tc>
        <w:tc>
          <w:tcPr>
            <w:vAlign w:val="center"/>
          </w:tcPr>
          <w:p>
            <w:pPr>
              <w:jc w:val="center"/>
            </w:pPr>
            <w:r>
              <w:rPr>
                <w:rFonts w:eastAsiaTheme="minorEastAsia"/>
                <w:color w:themeColor="text1" w:val="000000"/>
                <w:szCs w:val="21"/>
              </w:rPr>
              <w:t>000858</w:t>
            </w:r>
          </w:p>
        </w:tc>
        <w:tc>
          <w:tcPr>
            <w:vAlign w:val="center"/>
          </w:tcPr>
          <w:p>
            <w:pPr>
              <w:jc w:val="center"/>
            </w:pPr>
            <w:r>
              <w:rPr>
                <w:rFonts w:eastAsiaTheme="minorEastAsia"/>
                <w:color w:themeColor="text1" w:val="000000"/>
                <w:szCs w:val="21"/>
              </w:rPr>
              <w:t>五 粮 液</w:t>
            </w:r>
          </w:p>
        </w:tc>
        <w:tc>
          <w:tcPr>
            <w:vAlign w:val="center"/>
          </w:tcPr>
          <w:p>
            <w:pPr>
              <w:jc w:val="right"/>
            </w:pPr>
            <w:r>
              <w:rPr>
                <w:rFonts w:eastAsiaTheme="minorEastAsia"/>
                <w:color w:themeColor="text1" w:val="000000"/>
                <w:szCs w:val="21"/>
              </w:rPr>
              <w:t>769,040.00</w:t>
            </w:r>
          </w:p>
        </w:tc>
        <w:tc>
          <w:tcPr>
            <w:vAlign w:val="center"/>
          </w:tcPr>
          <w:p>
            <w:pPr>
              <w:jc w:val="right"/>
            </w:pPr>
            <w:r>
              <w:rPr>
                <w:rFonts w:eastAsiaTheme="minorEastAsia"/>
                <w:color w:themeColor="text1" w:val="000000"/>
                <w:szCs w:val="21"/>
              </w:rPr>
              <w:t>206,087,339.20</w:t>
            </w:r>
          </w:p>
        </w:tc>
        <w:tc>
          <w:tcPr>
            <w:vAlign w:val="center"/>
          </w:tcPr>
          <w:p>
            <w:pPr>
              <w:jc w:val="right"/>
            </w:pPr>
            <w:r>
              <w:rPr>
                <w:rFonts w:eastAsiaTheme="minorEastAsia"/>
                <w:color w:themeColor="text1" w:val="000000"/>
                <w:szCs w:val="21"/>
              </w:rPr>
              <w:t>2.96</w:t>
            </w:r>
          </w:p>
        </w:tc>
      </w:tr>
      <w:tr>
        <w:tc>
          <w:tcPr>
            <w:vAlign w:val="center"/>
          </w:tcPr>
          <w:p>
            <w:pPr>
              <w:jc w:val="center"/>
            </w:pPr>
            <w:r>
              <w:rPr>
                <w:rFonts w:eastAsiaTheme="minorEastAsia"/>
                <w:color w:themeColor="text1" w:val="000000"/>
                <w:szCs w:val="21"/>
              </w:rPr>
              <w:t>10</w:t>
            </w:r>
          </w:p>
        </w:tc>
        <w:tc>
          <w:tcPr>
            <w:vAlign w:val="center"/>
          </w:tcPr>
          <w:p>
            <w:pPr>
              <w:jc w:val="center"/>
            </w:pPr>
            <w:r>
              <w:rPr>
                <w:rFonts w:eastAsiaTheme="minorEastAsia"/>
                <w:color w:themeColor="text1" w:val="000000"/>
                <w:szCs w:val="21"/>
              </w:rPr>
              <w:t>600036</w:t>
            </w:r>
          </w:p>
        </w:tc>
        <w:tc>
          <w:tcPr>
            <w:vAlign w:val="center"/>
          </w:tcPr>
          <w:p>
            <w:pPr>
              <w:jc w:val="center"/>
            </w:pPr>
            <w:r>
              <w:rPr>
                <w:rFonts w:eastAsiaTheme="minorEastAsia"/>
                <w:color w:themeColor="text1" w:val="000000"/>
                <w:szCs w:val="21"/>
              </w:rPr>
              <w:t>招商银行</w:t>
            </w:r>
          </w:p>
        </w:tc>
        <w:tc>
          <w:tcPr>
            <w:vAlign w:val="center"/>
          </w:tcPr>
          <w:p>
            <w:pPr>
              <w:jc w:val="right"/>
            </w:pPr>
            <w:r>
              <w:rPr>
                <w:rFonts w:eastAsiaTheme="minorEastAsia"/>
                <w:color w:themeColor="text1" w:val="000000"/>
                <w:szCs w:val="21"/>
              </w:rPr>
              <w:t>4,006,609.00</w:t>
            </w:r>
          </w:p>
        </w:tc>
        <w:tc>
          <w:tcPr>
            <w:vAlign w:val="center"/>
          </w:tcPr>
          <w:p>
            <w:pPr>
              <w:jc w:val="right"/>
            </w:pPr>
            <w:r>
              <w:rPr>
                <w:rFonts w:eastAsiaTheme="minorEastAsia"/>
                <w:color w:themeColor="text1" w:val="000000"/>
                <w:szCs w:val="21"/>
              </w:rPr>
              <w:t>204,737,719.90</w:t>
            </w:r>
          </w:p>
        </w:tc>
        <w:tc>
          <w:tcPr>
            <w:vAlign w:val="center"/>
          </w:tcPr>
          <w:p>
            <w:pPr>
              <w:jc w:val="right"/>
            </w:pPr>
            <w:r>
              <w:rPr>
                <w:rFonts w:eastAsiaTheme="minorEastAsia"/>
                <w:color w:themeColor="text1" w:val="000000"/>
                <w:szCs w:val="21"/>
              </w:rPr>
              <w:t>2.94</w:t>
            </w:r>
          </w:p>
        </w:tc>
      </w:tr>
    </w:tbl>
    <w:p w14:paraId="4957BED8"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5.4 </w:t>
      </w:r>
      <w:r>
        <w:rPr>
          <w:rFonts w:eastAsiaTheme="minorEastAsia"/>
          <w:b/>
          <w:color w:themeColor="text1" w:val="000000"/>
          <w:kern w:val="0"/>
          <w:szCs w:val="21"/>
        </w:rPr>
        <w:t>报告期末按债券品种分类的债券投资组合</w:t>
      </w:r>
    </w:p>
    <w:p w14:paraId="561FCF5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本基金本报告期末未持有债券。</w:t>
      </w:r>
    </w:p>
    <w:p w14:paraId="1D62EA92"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5.5 </w:t>
      </w:r>
      <w:r>
        <w:rPr>
          <w:rFonts w:eastAsiaTheme="minorEastAsia"/>
          <w:b/>
          <w:color w:themeColor="text1" w:val="000000"/>
          <w:kern w:val="0"/>
          <w:szCs w:val="21"/>
        </w:rPr>
        <w:t>报告期末按公允价值占基金资产净值比例大小排序的前五名债券投资明细</w:t>
      </w:r>
    </w:p>
    <w:p w14:paraId="70C60319"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本基金本报告期末未持有债券。</w:t>
      </w:r>
    </w:p>
    <w:p w14:paraId="7771C5C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5.6</w:t>
      </w:r>
      <w:r>
        <w:rPr>
          <w:rFonts w:eastAsiaTheme="minorEastAsia"/>
          <w:b/>
          <w:color w:themeColor="text1" w:val="000000"/>
          <w:kern w:val="0"/>
          <w:szCs w:val="21"/>
        </w:rPr>
        <w:t xml:space="preserve">　报告期末按公允价值占基金资产净值比例大小排序的前十名资产支持证券投资明细</w:t>
      </w:r>
    </w:p>
    <w:p w14:paraId="28094300"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本基金本报告期末未持有资产支持证券。</w:t>
      </w:r>
    </w:p>
    <w:p w14:paraId="065C2DEC"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5.</w:t>
      </w:r>
      <w:proofErr w:type="gramEnd"/>
      <w:r>
        <w:rPr>
          <w:rFonts w:eastAsiaTheme="minorEastAsia"/>
          <w:b/>
          <w:bCs/>
          <w:color w:themeColor="text1" w:val="000000"/>
          <w:kern w:val="0"/>
          <w:szCs w:val="21"/>
        </w:rPr>
        <w:t xml:space="preserve">7 </w:t>
      </w:r>
      <w:r>
        <w:rPr>
          <w:rFonts w:eastAsiaTheme="minorEastAsia"/>
          <w:b/>
          <w:bCs/>
          <w:color w:themeColor="text1" w:val="000000"/>
          <w:kern w:val="0"/>
          <w:szCs w:val="21"/>
        </w:rPr>
        <w:t>报告期末按公允价值占基金资产净值比例大小排序的前五名贵金属投资明细</w:t>
      </w:r>
    </w:p>
    <w:p w14:paraId="72C886EE" w14:textId="77777777" w:rsidR="005E6DF3" w:rsidRDefault="005C671B">
      <w:pPr>
        <w:widowControl/>
        <w:spacing w:line="360" w:lineRule="auto"/>
        <w:ind w:firstLine="420" w:firstLineChars="200"/>
        <w:jc w:val="left"/>
        <w:rPr>
          <w:color w:themeColor="text1" w:val="000000"/>
          <w:szCs w:val="21"/>
        </w:rPr>
      </w:pPr>
      <w:r>
        <w:rPr>
          <w:color w:themeColor="text1" w:val="000000"/>
          <w:szCs w:val="21"/>
        </w:rPr>
        <w:t/>
      </w:r>
      <w:proofErr w:type="spellStart"/>
      <w:r>
        <w:rPr>
          <w:color w:themeColor="text1" w:val="000000"/>
          <w:szCs w:val="21"/>
        </w:rPr>
        <w:t/>
      </w:r>
      <w:proofErr w:type="gramStart"/>
      <w:r>
        <w:rPr>
          <w:color w:themeColor="text1" w:val="000000"/>
          <w:szCs w:val="21"/>
        </w:rPr>
        <w:t/>
      </w:r>
      <w:proofErr w:type="spellEnd"/>
      <w:r>
        <w:rPr>
          <w:color w:themeColor="text1" w:val="000000"/>
          <w:szCs w:val="21"/>
        </w:rPr>
        <w:t/>
      </w:r>
      <w:proofErr w:type="spellStart"/>
      <w:proofErr w:type="gramEnd"/>
      <w:r>
        <w:rPr>
          <w:color w:themeColor="text1" w:val="000000"/>
          <w:szCs w:val="21"/>
        </w:rPr>
        <w:t/>
      </w:r>
      <w:proofErr w:type="spellEnd"/>
      <w:r>
        <w:rPr>
          <w:color w:themeColor="text1" w:val="000000"/>
          <w:szCs w:val="21"/>
        </w:rPr>
        <w:t>本基金本报告期末未持有贵金属。</w:t>
      </w:r>
    </w:p>
    <w:p w14:paraId="11ED3AFF"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8</w:t>
      </w:r>
      <w:r>
        <w:rPr>
          <w:rFonts w:eastAsiaTheme="minorEastAsia"/>
          <w:b/>
          <w:color w:themeColor="text1" w:val="000000"/>
          <w:kern w:val="0"/>
          <w:szCs w:val="21"/>
        </w:rPr>
        <w:t>报告期末按公允价值占基金资产净值比例大小排序的前五名权证投资明细</w:t>
      </w:r>
    </w:p>
    <w:p w14:paraId="691F2596"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本基金本报告期末未持有权证。</w:t>
      </w:r>
    </w:p>
    <w:p w14:paraId="6AF1E792"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 xml:space="preserve">5.9 </w:t>
      </w:r>
      <w:r>
        <w:rPr>
          <w:rFonts w:eastAsiaTheme="minorEastAsia"/>
          <w:b/>
          <w:color w:themeColor="text1" w:val="000000"/>
          <w:szCs w:val="21"/>
        </w:rPr>
        <w:t>报告期末本基金投资的股指期货交易情况说明</w:t>
      </w:r>
    </w:p>
    <w:p w14:paraId="1F730FD9"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本基金本报告期末未持有股指期货。</w:t>
      </w:r>
    </w:p>
    <w:p w14:paraId="4ADBD656"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5.10</w:t>
      </w:r>
      <w:r>
        <w:rPr>
          <w:rFonts w:eastAsiaTheme="minorEastAsia"/>
          <w:b/>
          <w:color w:themeColor="text1" w:val="000000"/>
          <w:szCs w:val="21"/>
        </w:rPr>
        <w:t>报告期末本基金投资的国债期货交易情况说明</w:t>
      </w:r>
    </w:p>
    <w:p w14:paraId="113FC71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本基金本报告期末未持有国债期货。</w:t>
      </w:r>
    </w:p>
    <w:p w14:paraId="1C40C3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w:t>
      </w:r>
      <w:r>
        <w:rPr>
          <w:rFonts w:eastAsiaTheme="minorEastAsia"/>
          <w:b/>
          <w:color w:themeColor="text1" w:val="000000"/>
          <w:kern w:val="0"/>
          <w:szCs w:val="21"/>
        </w:rPr>
        <w:t>投资组合报告附注</w:t>
      </w:r>
    </w:p>
    <w:p w14:paraId="7BA92AF8"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11.1本基金投资的前十名证券的发行主体本期未出现被监管部门立案调查，或在报告编制日前一年内受到公开谴责、处罚的情形。</w:t>
      </w:r>
    </w:p>
    <w:p w14:paraId="23E25E10"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11.2报告期内本基金投资的前十名股票中没有在基金合同规定备选股票库之外的股票。</w:t>
      </w:r>
    </w:p>
    <w:p w14:paraId="3E3F49EE" w14:textId="77777777" w:rsidR="005E6DF3" w:rsidRDefault="005C671B">
      <w:pPr>
        <w:autoSpaceDE w:val="0"/>
        <w:autoSpaceDN w:val="0"/>
        <w:adjustRightInd w:val="0"/>
        <w:spacing w:line="360" w:lineRule="auto"/>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11.3</w:t>
      </w:r>
      <w:r>
        <w:rPr>
          <w:rFonts w:eastAsiaTheme="minorEastAsia" w:hint="eastAsia"/>
          <w:b/>
          <w:color w:themeColor="text1" w:val="000000"/>
          <w:kern w:val="0"/>
          <w:szCs w:val="21"/>
        </w:rPr>
        <w:t>其他资产构成</w:t>
      </w:r>
    </w:p>
    <w:tbl>
      <w:tblPr>
        <w:tblStyle w:val="afa"/>
        <w:tblW w:type="dxa" w:w="8679"/>
        <w:tblInd w:type="dxa" w:w="108"/>
        <w:tblLayout w:type="fixed"/>
        <w:tblLook w:firstColumn="1" w:firstRow="1" w:lastColumn="0" w:lastRow="0" w:noHBand="0" w:noVBand="1" w:val="04A0"/>
      </w:tblPr>
      <w:tblGrid>
        <w:gridCol w:w="1110"/>
        <w:gridCol w:w="2761"/>
        <w:gridCol w:w="4808"/>
      </w:tblGrid>
      <w:tr w14:paraId="0FE53683" w14:textId="77777777" w:rsidR="005E6DF3">
        <w:tc>
          <w:tcPr>
            <w:tcW w:type="dxa" w:w="1110"/>
            <w:vAlign w:val="center"/>
          </w:tcPr>
          <w:p w14:paraId="1D03F931"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2761"/>
            <w:vAlign w:val="center"/>
          </w:tcPr>
          <w:p w14:paraId="3C7B9C7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名称</w:t>
            </w:r>
          </w:p>
        </w:tc>
        <w:tc>
          <w:tcPr>
            <w:tcW w:type="dxa" w:w="4808"/>
            <w:vAlign w:val="center"/>
          </w:tcPr>
          <w:p w14:paraId="6D2DC4D6"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金额</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r>
      <w:tr w14:paraId="6EC5C975" w14:textId="77777777" w:rsidR="005E6DF3">
        <w:tc>
          <w:tcPr>
            <w:tcW w:type="dxa" w:w="1110"/>
            <w:vAlign w:val="center"/>
          </w:tcPr>
          <w:p w14:paraId="6769014D" w14:textId="77777777" w:rsidR="005E6DF3" w:rsidRDefault="005C671B">
            <w:pPr>
              <w:autoSpaceDE w:val="0"/>
              <w:autoSpaceDN w:val="0"/>
              <w:adjustRightInd w:val="0"/>
              <w:spacing w:before="29" w:line="360" w:lineRule="auto"/>
              <w:ind w:left="15"/>
              <w:jc w:val="center"/>
              <w:rPr>
                <w:rFonts w:eastAsiaTheme="minorEastAsia"/>
                <w:color w:themeColor="text1" w:val="000000"/>
                <w:kern w:val="0"/>
                <w:szCs w:val="21"/>
              </w:rPr>
            </w:pPr>
            <w:r>
              <w:rPr>
                <w:rFonts w:eastAsiaTheme="minorEastAsia"/>
                <w:color w:themeColor="text1" w:val="000000"/>
                <w:szCs w:val="21"/>
              </w:rPr>
              <w:t>1</w:t>
            </w:r>
          </w:p>
        </w:tc>
        <w:tc>
          <w:tcPr>
            <w:tcW w:type="dxa" w:w="2761"/>
            <w:vAlign w:val="center"/>
          </w:tcPr>
          <w:p w14:paraId="4263CC47"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存出保证金</w:t>
            </w:r>
          </w:p>
        </w:tc>
        <w:tc>
          <w:tcPr>
            <w:tcW w:type="dxa" w:w="4808"/>
            <w:vAlign w:val="center"/>
          </w:tcPr>
          <w:p w14:paraId="09A08973"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1,165,810.53</w:t>
            </w:r>
          </w:p>
        </w:tc>
      </w:tr>
      <w:tr w14:paraId="1DF71E15" w14:textId="77777777" w:rsidR="005E6DF3">
        <w:tc>
          <w:tcPr>
            <w:tcW w:type="dxa" w:w="1110"/>
            <w:vAlign w:val="center"/>
          </w:tcPr>
          <w:p w14:paraId="34CE6EB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2</w:t>
            </w:r>
          </w:p>
        </w:tc>
        <w:tc>
          <w:tcPr>
            <w:tcW w:type="dxa" w:w="2761"/>
            <w:vAlign w:val="center"/>
          </w:tcPr>
          <w:p w14:paraId="6E79200A"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应收证券清算款</w:t>
            </w:r>
          </w:p>
        </w:tc>
        <w:tc>
          <w:tcPr>
            <w:tcW w:type="dxa" w:w="4808"/>
            <w:vAlign w:val="center"/>
          </w:tcPr>
          <w:p w14:paraId="37CF1220"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52,204,760.13</w:t>
            </w:r>
          </w:p>
        </w:tc>
      </w:tr>
      <w:tr w14:paraId="5BD7C23E" w14:textId="77777777" w:rsidR="005E6DF3">
        <w:tc>
          <w:tcPr>
            <w:tcW w:type="dxa" w:w="1110"/>
            <w:vAlign w:val="center"/>
          </w:tcPr>
          <w:p w14:paraId="2C49D7E8"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3</w:t>
            </w:r>
          </w:p>
        </w:tc>
        <w:tc>
          <w:tcPr>
            <w:tcW w:type="dxa" w:w="2761"/>
            <w:vAlign w:val="center"/>
          </w:tcPr>
          <w:p w14:paraId="27ECB5A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应收股利</w:t>
            </w:r>
          </w:p>
        </w:tc>
        <w:tc>
          <w:tcPr>
            <w:tcW w:type="dxa" w:w="4808"/>
            <w:vAlign w:val="center"/>
          </w:tcPr>
          <w:p w14:paraId="3F0271E2"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BBDA50A" w14:textId="77777777" w:rsidR="005E6DF3">
        <w:tc>
          <w:tcPr>
            <w:tcW w:type="dxa" w:w="1110"/>
            <w:vAlign w:val="center"/>
          </w:tcPr>
          <w:p w14:paraId="7F43A7E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4</w:t>
            </w:r>
          </w:p>
        </w:tc>
        <w:tc>
          <w:tcPr>
            <w:tcW w:type="dxa" w:w="2761"/>
            <w:vAlign w:val="center"/>
          </w:tcPr>
          <w:p w14:paraId="618C370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应收利息</w:t>
            </w:r>
          </w:p>
        </w:tc>
        <w:tc>
          <w:tcPr>
            <w:tcW w:type="dxa" w:w="4808"/>
            <w:vAlign w:val="center"/>
          </w:tcPr>
          <w:p w14:paraId="5B281515"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208,099.48</w:t>
            </w:r>
          </w:p>
        </w:tc>
      </w:tr>
      <w:tr w14:paraId="4107EA2D" w14:textId="77777777" w:rsidR="005E6DF3">
        <w:tc>
          <w:tcPr>
            <w:tcW w:type="dxa" w:w="1110"/>
            <w:vAlign w:val="center"/>
          </w:tcPr>
          <w:p w14:paraId="25714561"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5</w:t>
            </w:r>
          </w:p>
        </w:tc>
        <w:tc>
          <w:tcPr>
            <w:tcW w:type="dxa" w:w="2761"/>
            <w:vAlign w:val="center"/>
          </w:tcPr>
          <w:p w14:paraId="057F5E6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应收申购款</w:t>
            </w:r>
          </w:p>
        </w:tc>
        <w:tc>
          <w:tcPr>
            <w:tcW w:type="dxa" w:w="4808"/>
            <w:vAlign w:val="center"/>
          </w:tcPr>
          <w:p w14:paraId="02563A51"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5,611,774.28</w:t>
            </w:r>
          </w:p>
        </w:tc>
      </w:tr>
      <w:tr w14:paraId="4DFDADFE" w14:textId="77777777" w:rsidR="005E6DF3">
        <w:tc>
          <w:tcPr>
            <w:tcW w:type="dxa" w:w="1110"/>
            <w:vAlign w:val="center"/>
          </w:tcPr>
          <w:p w14:paraId="67AF9564"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6</w:t>
            </w:r>
          </w:p>
        </w:tc>
        <w:tc>
          <w:tcPr>
            <w:tcW w:type="dxa" w:w="2761"/>
            <w:vAlign w:val="center"/>
          </w:tcPr>
          <w:p w14:paraId="56031463"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其他应收款</w:t>
            </w:r>
          </w:p>
        </w:tc>
        <w:tc>
          <w:tcPr>
            <w:tcW w:type="dxa" w:w="4808"/>
            <w:vAlign w:val="center"/>
          </w:tcPr>
          <w:p w14:paraId="4F320BD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9E3D7AF" w14:textId="77777777" w:rsidR="005E6DF3">
        <w:tc>
          <w:tcPr>
            <w:tcW w:type="dxa" w:w="1110"/>
            <w:vAlign w:val="center"/>
          </w:tcPr>
          <w:p w14:paraId="1808D686"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7</w:t>
            </w:r>
          </w:p>
        </w:tc>
        <w:tc>
          <w:tcPr>
            <w:tcW w:type="dxa" w:w="2761"/>
            <w:vAlign w:val="center"/>
          </w:tcPr>
          <w:p w14:paraId="261A7FB7" w14:textId="77777777" w:rsidR="005E6DF3" w:rsidRDefault="005C671B">
            <w:pPr>
              <w:autoSpaceDE w:val="0"/>
              <w:autoSpaceDN w:val="0"/>
              <w:adjustRightInd w:val="0"/>
              <w:spacing w:before="29" w:line="360" w:lineRule="auto"/>
              <w:ind w:left="15"/>
              <w:jc w:val="left"/>
              <w:rPr>
                <w:rFonts w:eastAsiaTheme="minorEastAsia"/>
                <w:color w:themeColor="text1" w:val="000000"/>
                <w:szCs w:val="21"/>
              </w:rPr>
            </w:pPr>
            <w:r>
              <w:rPr>
                <w:rFonts w:eastAsiaTheme="minorEastAsia"/>
                <w:color w:themeColor="text1" w:val="000000"/>
                <w:szCs w:val="21"/>
              </w:rPr>
              <w:t>待摊费用</w:t>
            </w:r>
          </w:p>
        </w:tc>
        <w:tc>
          <w:tcPr>
            <w:tcW w:type="dxa" w:w="4808"/>
            <w:vAlign w:val="center"/>
          </w:tcPr>
          <w:p w14:paraId="61A24953"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F5F4296" w14:textId="77777777" w:rsidR="005E6DF3">
        <w:tc>
          <w:tcPr>
            <w:tcW w:type="dxa" w:w="1110"/>
            <w:vAlign w:val="center"/>
          </w:tcPr>
          <w:p w14:paraId="6E3F6F4C"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8</w:t>
            </w:r>
          </w:p>
        </w:tc>
        <w:tc>
          <w:tcPr>
            <w:tcW w:type="dxa" w:w="2761"/>
            <w:vAlign w:val="center"/>
          </w:tcPr>
          <w:p w14:paraId="129DB0F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w:t>
            </w:r>
          </w:p>
        </w:tc>
        <w:tc>
          <w:tcPr>
            <w:tcW w:type="dxa" w:w="4808"/>
            <w:vAlign w:val="center"/>
          </w:tcPr>
          <w:p w14:paraId="469AE566"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3E6996B" w14:textId="77777777" w:rsidR="005E6DF3">
        <w:tc>
          <w:tcPr>
            <w:tcW w:type="dxa" w:w="1110"/>
            <w:vAlign w:val="center"/>
          </w:tcPr>
          <w:p w14:paraId="448A47BD"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9</w:t>
            </w:r>
          </w:p>
        </w:tc>
        <w:tc>
          <w:tcPr>
            <w:tcW w:type="dxa" w:w="2761"/>
            <w:vAlign w:val="center"/>
          </w:tcPr>
          <w:p w14:paraId="07EEEFEF"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合计</w:t>
            </w:r>
          </w:p>
        </w:tc>
        <w:tc>
          <w:tcPr>
            <w:tcW w:type="dxa" w:w="4808"/>
            <w:vAlign w:val="center"/>
          </w:tcPr>
          <w:p w14:paraId="7477683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59,190,444.42</w:t>
            </w:r>
          </w:p>
        </w:tc>
      </w:tr>
    </w:tbl>
    <w:p w14:paraId="528BE5E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11.4</w:t>
      </w:r>
      <w:r>
        <w:rPr>
          <w:rFonts w:eastAsiaTheme="minorEastAsia"/>
          <w:b/>
          <w:color w:themeColor="text1" w:val="000000"/>
          <w:kern w:val="0"/>
          <w:szCs w:val="21"/>
        </w:rPr>
        <w:t>报告期末持有的处于转股期的可转换债券明细</w:t>
      </w:r>
    </w:p>
    <w:p w14:paraId="5C81D6F8"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本基金本报告期末未持有处于转股期的可转换债券。</w:t>
      </w:r>
    </w:p>
    <w:p w14:paraId="7C20C23B" w14:textId="77777777" w:rsidR="005E6DF3" w:rsidRDefault="005C671B">
      <w:pPr>
        <w:autoSpaceDE w:val="0"/>
        <w:autoSpaceDN w:val="0"/>
        <w:adjustRightInd w:val="0"/>
        <w:spacing w:before="312" w:beforeLines="100" w:line="360" w:lineRule="auto"/>
        <w:jc w:val="left"/>
        <w:rPr>
          <w:rFonts w:eastAsiaTheme="minorEastAsia"/>
          <w:b/>
          <w:bCs/>
          <w:color w:themeColor="text1" w:val="00000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11.5</w:t>
      </w:r>
      <w:r>
        <w:rPr>
          <w:rFonts w:eastAsiaTheme="minorEastAsia"/>
          <w:b/>
          <w:bCs/>
          <w:color w:themeColor="text1" w:val="000000"/>
          <w:szCs w:val="21"/>
        </w:rPr>
        <w:t>报告期末前十名股票中存在流通受限情况的说明</w:t>
      </w:r>
    </w:p>
    <w:p w14:paraId="1BAD8FE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本基金本报告期末前十名股票中不存在流通受限情况。</w:t>
      </w:r>
    </w:p>
    <w:p w14:paraId="6C7715D1"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gramStart"/>
      <w:r>
        <w:rPr>
          <w:rFonts w:eastAsiaTheme="minorEastAsia"/>
          <w:b/>
          <w:color w:themeColor="text1" w:val="000000"/>
          <w:kern w:val="0"/>
          <w:szCs w:val="21"/>
        </w:rPr>
        <w:t/>
      </w:r>
      <w:proofErr w:type="spellEnd"/>
      <w:r>
        <w:rPr>
          <w:rFonts w:eastAsiaTheme="minorEastAsia"/>
          <w:b/>
          <w:color w:themeColor="text1" w:val="000000"/>
          <w:kern w:val="0"/>
          <w:szCs w:val="21"/>
        </w:rPr>
        <w:t/>
      </w:r>
      <w:proofErr w:type="gramEnd"/>
      <w:r>
        <w:rPr>
          <w:rFonts w:eastAsiaTheme="minorEastAsia"/>
          <w:b/>
          <w:color w:themeColor="text1" w:val="000000"/>
          <w:kern w:val="0"/>
          <w:szCs w:val="21"/>
        </w:rPr>
        <w:t>5.11.6</w:t>
      </w:r>
      <w:r>
        <w:rPr>
          <w:rFonts w:eastAsiaTheme="minorEastAsia"/>
          <w:b/>
          <w:color w:themeColor="text1" w:val="000000"/>
          <w:kern w:val="0"/>
          <w:szCs w:val="21"/>
        </w:rPr>
        <w:t>投资组合报告附注的其他文字描述部分</w:t>
      </w:r>
    </w:p>
    <w:p w14:paraId="2F8CDEE6"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因四舍五入的原因，投资组合报告中分项之和与合计数可能存在尾差。</w:t>
      </w:r>
    </w:p>
    <w:p w14:paraId="4A4FEDA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§6  </w:t>
      </w:r>
      <w:r>
        <w:rPr>
          <w:rFonts w:eastAsiaTheme="minorEastAsia"/>
          <w:color w:themeColor="text1" w:val="000000"/>
          <w:kern w:val="0"/>
          <w:sz w:val="21"/>
          <w:szCs w:val="21"/>
        </w:rPr>
        <w:t>开放式基金份额变动</w:t>
      </w:r>
    </w:p>
    <w:p w14:paraId="775D002C"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单位：份</w:t>
      </w:r>
    </w:p>
    <w:tbl>
      <w:tblPr>
        <w:tblW w:type="dxa" w:w="8634"/>
        <w:tblInd w:type="dxa" w:w="108"/>
        <w:tblLayout w:type="fixed"/>
        <w:tblLook w:firstColumn="1" w:firstRow="1" w:lastColumn="0" w:lastRow="0" w:noHBand="0" w:noVBand="1" w:val="04A0"/>
      </w:tblPr>
      <w:tblGrid>
        <w:gridCol w:w="3900"/>
        <w:gridCol w:w="2367"/>
        <w:gridCol w:w="2367"/>
      </w:tblGrid>
      <w:tr w14:paraId="59109990"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5DC966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项目</w:t>
            </w:r>
            <w:r>
              <w:rPr>
                <w:color w:themeColor="text1" w:val="000000"/>
                <w:kern w:val="0"/>
                <w:szCs w:val="21"/>
              </w:rPr>
              <w:t/>
            </w:r>
            <w:proofErr w:type="spellStart"/>
            <w:r>
              <w:rPr>
                <w:color w:themeColor="text1" w:val="000000"/>
                <w:kern w:val="0"/>
                <w:szCs w:val="21"/>
              </w:rPr>
              <w:t/>
            </w:r>
            <w:proofErr w:type="spellEnd"/>
            <w:r>
              <w:rPr>
                <w:color w:themeColor="text1" w:val="000000"/>
                <w:kern w:val="0"/>
                <w:szCs w:val="21"/>
              </w:rPr>
              <w:t/>
            </w:r>
          </w:p>
        </w:tc>
        <w:tc>
          <w:tcPr>
            <w:tcW w:type="dxa" w:w="2367"/>
            <w:tcBorders>
              <w:top w:color="000000" w:space="0" w:sz="8" w:val="single"/>
              <w:left w:color="000000" w:space="0" w:sz="8" w:val="single"/>
              <w:bottom w:color="000000" w:space="0" w:sz="8" w:val="single"/>
              <w:right w:color="000000" w:space="0" w:sz="8" w:val="single"/>
            </w:tcBorders>
            <w:vAlign w:val="center"/>
          </w:tcPr>
          <w:p w14:paraId="3A823E4A"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上投摩根慧选成长股票A</w:t>
            </w:r>
          </w:p>
        </w:tc>
        <w:tc>
          <w:tcPr>
            <w:tcW w:type="dxa" w:w="2367"/>
            <w:tcBorders>
              <w:top w:color="000000" w:space="0" w:sz="8" w:val="single"/>
              <w:left w:color="000000" w:space="0" w:sz="8" w:val="single"/>
              <w:bottom w:color="000000" w:space="0" w:sz="8" w:val="single"/>
              <w:right w:color="000000" w:space="0" w:sz="8" w:val="single"/>
            </w:tcBorders>
            <w:vAlign w:val="center"/>
          </w:tcPr>
          <w:p w14:paraId="319C6D0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上投摩根慧选成长股票C</w:t>
            </w:r>
          </w:p>
        </w:tc>
      </w:tr>
      <w:tr w14:paraId="5A595E9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77F8648"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lastRenderedPageBreak/>
              <w:t>本报告期期</w:t>
            </w:r>
            <w:proofErr w:type="gramStart"/>
            <w:r>
              <w:rPr>
                <w:rFonts w:eastAsiaTheme="minorEastAsia"/>
                <w:color w:themeColor="text1" w:val="000000"/>
                <w:kern w:val="0"/>
                <w:szCs w:val="21"/>
              </w:rPr>
              <w:t>初基金</w:t>
            </w:r>
            <w:proofErr w:type="gramEnd"/>
            <w:r>
              <w:rPr>
                <w:rFonts w:eastAsiaTheme="minorEastAsia"/>
                <w:color w:themeColor="text1" w:val="000000"/>
                <w:kern w:val="0"/>
                <w:szCs w:val="21"/>
              </w:rPr>
              <w:t>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24F2EB4"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2,920,287,012.61</w:t>
            </w:r>
          </w:p>
        </w:tc>
        <w:tc>
          <w:tcPr>
            <w:tcW w:type="dxa" w:w="2367"/>
            <w:tcBorders>
              <w:top w:color="000000" w:space="0" w:sz="8" w:val="single"/>
              <w:left w:color="000000" w:space="0" w:sz="8" w:val="single"/>
              <w:bottom w:color="000000" w:space="0" w:sz="8" w:val="single"/>
              <w:right w:color="000000" w:space="0" w:sz="8" w:val="single"/>
            </w:tcBorders>
            <w:vAlign w:val="center"/>
          </w:tcPr>
          <w:p w14:paraId="12BF9239"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369,048,302.49</w:t>
            </w:r>
          </w:p>
        </w:tc>
      </w:tr>
      <w:tr w14:paraId="127EB167"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318E7E14"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报告期期间</w:t>
            </w:r>
            <w:r>
              <w:rPr>
                <w:rFonts w:eastAsiaTheme="minorEastAsia"/>
                <w:color w:themeColor="text1" w:val="000000"/>
                <w:kern w:val="0"/>
                <w:szCs w:val="21"/>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2879A1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1,323,049,377.47</w:t>
            </w:r>
          </w:p>
        </w:tc>
        <w:tc>
          <w:tcPr>
            <w:tcW w:type="dxa" w:w="2367"/>
            <w:tcBorders>
              <w:top w:color="000000" w:space="0" w:sz="8" w:val="single"/>
              <w:left w:color="000000" w:space="0" w:sz="8" w:val="single"/>
              <w:bottom w:color="000000" w:space="0" w:sz="8" w:val="single"/>
              <w:right w:color="000000" w:space="0" w:sz="8" w:val="single"/>
            </w:tcBorders>
            <w:vAlign w:val="center"/>
          </w:tcPr>
          <w:p w14:paraId="672F092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761,891,148.72</w:t>
            </w:r>
          </w:p>
        </w:tc>
      </w:tr>
      <w:tr w14:paraId="52F03788"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168718B"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减：</w:t>
            </w: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报告期期间</w:t>
            </w:r>
            <w:r>
              <w:rPr>
                <w:rFonts w:eastAsiaTheme="minorEastAsia"/>
                <w:color w:themeColor="text1" w:val="000000"/>
                <w:kern w:val="0"/>
                <w:szCs w:val="21"/>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3ED8B30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1,041,493,723.21</w:t>
            </w:r>
          </w:p>
        </w:tc>
        <w:tc>
          <w:tcPr>
            <w:tcW w:type="dxa" w:w="2367"/>
            <w:tcBorders>
              <w:top w:color="000000" w:space="0" w:sz="8" w:val="single"/>
              <w:left w:color="000000" w:space="0" w:sz="8" w:val="single"/>
              <w:bottom w:color="000000" w:space="0" w:sz="8" w:val="single"/>
              <w:right w:color="000000" w:space="0" w:sz="8" w:val="single"/>
            </w:tcBorders>
            <w:vAlign w:val="center"/>
          </w:tcPr>
          <w:p w14:paraId="1A58924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366,313,561.33</w:t>
            </w:r>
          </w:p>
        </w:tc>
      </w:tr>
      <w:tr w14:paraId="64E1E27F"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648F4DC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报告期期间</w:t>
            </w:r>
            <w:r>
              <w:rPr>
                <w:rFonts w:eastAsiaTheme="minorEastAsia"/>
                <w:color w:themeColor="text1" w:val="000000"/>
                <w:kern w:val="0"/>
                <w:szCs w:val="21"/>
              </w:rPr>
              <w:t>基金拆分变动份额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8A777F3"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2367"/>
            <w:tcBorders>
              <w:top w:color="000000" w:space="0" w:sz="8" w:val="single"/>
              <w:left w:color="000000" w:space="0" w:sz="8" w:val="single"/>
              <w:bottom w:color="000000" w:space="0" w:sz="8" w:val="single"/>
              <w:right w:color="000000" w:space="0" w:sz="8" w:val="single"/>
            </w:tcBorders>
            <w:vAlign w:val="center"/>
          </w:tcPr>
          <w:p w14:paraId="7BB1890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9BFCBD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8BB1B2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本报告期期末基金份额总额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D0D41B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3,201,842,666.87</w:t>
            </w:r>
          </w:p>
        </w:tc>
        <w:tc>
          <w:tcPr>
            <w:tcW w:type="dxa" w:w="2367"/>
            <w:tcBorders>
              <w:top w:color="000000" w:space="0" w:sz="8" w:val="single"/>
              <w:left w:color="000000" w:space="0" w:sz="8" w:val="single"/>
              <w:bottom w:color="000000" w:space="0" w:sz="8" w:val="single"/>
              <w:right w:color="000000" w:space="0" w:sz="8" w:val="single"/>
            </w:tcBorders>
            <w:vAlign w:val="center"/>
          </w:tcPr>
          <w:p w14:paraId="109E08A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764,625,889.88</w:t>
            </w:r>
          </w:p>
        </w:tc>
      </w:tr>
    </w:tbl>
    <w:p w14:paraId="679B8C87" w14:textId="77777777" w:rsidR="005E6DF3" w:rsidRDefault="005C671B">
      <w:pPr>
        <w:pStyle w:val="1"/>
        <w:tabs>
          <w:tab w:pos="4156" w:val="center"/>
          <w:tab w:pos="8312" w:val="right"/>
        </w:tabs>
        <w:spacing w:after="312" w:afterLines="100" w:before="312" w:beforeLines="100" w:line="360" w:lineRule="auto"/>
        <w:jc w:val="center"/>
        <w:rPr>
          <w:color w:themeColor="text1" w:val="00000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§7</w:t>
      </w:r>
      <w:r>
        <w:rPr>
          <w:rFonts w:hint="eastAsia"/>
          <w:color w:val="000000"/>
          <w:sz w:val="21"/>
          <w:szCs w:val="21"/>
          <w:shd w:color="auto" w:fill="FFFFFF" w:val="clear"/>
        </w:rPr>
        <w:t>基金管理人运用</w:t>
      </w:r>
      <w:proofErr w:type="gramStart"/>
      <w:r>
        <w:rPr>
          <w:rFonts w:hint="eastAsia"/>
          <w:color w:val="000000"/>
          <w:sz w:val="21"/>
          <w:szCs w:val="21"/>
          <w:shd w:color="auto" w:fill="FFFFFF" w:val="clear"/>
        </w:rPr>
        <w:t>固有资金</w:t>
      </w:r>
      <w:proofErr w:type="gramEnd"/>
      <w:r>
        <w:rPr>
          <w:rFonts w:hint="eastAsia"/>
          <w:color w:val="000000"/>
          <w:sz w:val="21"/>
          <w:szCs w:val="21"/>
          <w:shd w:color="auto" w:fill="FFFFFF" w:val="clear"/>
        </w:rPr>
        <w:t>投资本基金情况</w:t>
      </w:r>
    </w:p>
    <w:p w14:paraId="556B0410" w14:textId="77777777" w:rsidR="005E6DF3" w:rsidRDefault="005C671B">
      <w:pPr>
        <w:spacing w:line="360" w:lineRule="auto"/>
        <w:jc w:val="left"/>
        <w:rPr>
          <w:color w:themeColor="text1" w:val="000000"/>
          <w:szCs w:val="21"/>
        </w:rPr>
      </w:pPr>
      <w:r>
        <w:rPr>
          <w:b/>
          <w:color w:themeColor="text1" w:val="000000"/>
          <w:szCs w:val="21"/>
        </w:rPr>
        <w:t/>
      </w:r>
      <w:proofErr w:type="spellStart"/>
      <w:r>
        <w:rPr>
          <w:b/>
          <w:color w:themeColor="text1" w:val="000000"/>
          <w:szCs w:val="21"/>
        </w:rPr>
        <w:t/>
      </w:r>
      <w:proofErr w:type="gramStart"/>
      <w:r>
        <w:rPr>
          <w:b/>
          <w:color w:themeColor="text1" w:val="000000"/>
          <w:szCs w:val="21"/>
        </w:rPr>
        <w:t/>
      </w:r>
      <w:proofErr w:type="spellEnd"/>
      <w:r>
        <w:rPr>
          <w:b/>
          <w:color w:themeColor="text1" w:val="000000"/>
          <w:szCs w:val="21"/>
        </w:rPr>
        <w:t/>
      </w:r>
      <w:proofErr w:type="gramEnd"/>
      <w:r>
        <w:rPr>
          <w:b/>
          <w:color w:themeColor="text1" w:val="000000"/>
          <w:szCs w:val="21"/>
        </w:rPr>
        <w:t>7.1</w:t>
      </w:r>
      <w:r>
        <w:rPr>
          <w:rFonts w:eastAsiaTheme="minorEastAsia" w:hint="eastAsia"/>
          <w:b/>
          <w:bCs/>
          <w:color w:themeColor="text1" w:val="000000"/>
          <w:kern w:val="44"/>
          <w:szCs w:val="21"/>
        </w:rPr>
        <w:t>基金管理人持有本基金份额变动情况</w:t>
      </w:r>
    </w:p>
    <w:p w14:paraId="1A93269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hint="eastAsia"/>
          <w:color w:themeColor="text1" w:val="000000"/>
          <w:szCs w:val="21"/>
        </w:rPr>
        <w:t/>
      </w:r>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无。</w:t>
      </w:r>
    </w:p>
    <w:p w14:paraId="736016BB"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lastRenderedPageBreak/>
        <w:t xml:space="preserve">§8 </w:t>
      </w:r>
      <w:r>
        <w:rPr>
          <w:rFonts w:eastAsiaTheme="minorEastAsia"/>
          <w:color w:themeColor="text1" w:val="000000"/>
          <w:kern w:val="0"/>
          <w:sz w:val="21"/>
          <w:szCs w:val="21"/>
        </w:rPr>
        <w:t>备查文件目录</w:t>
      </w:r>
    </w:p>
    <w:p w14:paraId="4854F6A6" w14:textId="77777777" w:rsidR="005E6DF3" w:rsidRDefault="005C671B">
      <w:pPr>
        <w:autoSpaceDE w:val="0"/>
        <w:autoSpaceDN w:val="0"/>
        <w:adjustRightInd w:val="0"/>
        <w:spacing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1</w:t>
      </w:r>
      <w:r>
        <w:rPr>
          <w:rFonts w:eastAsiaTheme="minorEastAsia"/>
          <w:b/>
          <w:bCs/>
          <w:color w:themeColor="text1" w:val="000000"/>
          <w:kern w:val="0"/>
          <w:szCs w:val="21"/>
        </w:rPr>
        <w:t>备查文件目录</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1、中国证监会准予上投摩根慧选成长股票型证券投资基金募集注册的文件；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2、《上投摩根慧选成长股票型证券投资基金基金合同》；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3、《上投摩根慧选成长股票型证券投资基金托管协议》；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4、《上投摩根开放式基金业务规则》；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5、基金管理人业务资格批件、营业执照； </w:t>
      </w:r>
    </w:p>
    <w:p w14:paraId="7E871BBD"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6、基金托管人业务资格批件和营业执照。</w:t>
      </w:r>
    </w:p>
    <w:p w14:paraId="20400EE8"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2</w:t>
      </w:r>
      <w:r>
        <w:rPr>
          <w:rFonts w:eastAsiaTheme="minorEastAsia"/>
          <w:b/>
          <w:bCs/>
          <w:color w:themeColor="text1" w:val="000000"/>
          <w:kern w:val="0"/>
          <w:szCs w:val="21"/>
        </w:rPr>
        <w:t>存放地点</w:t>
      </w:r>
    </w:p>
    <w:p w14:paraId="5488ADD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基金管理人或基金托管人住所。</w:t>
      </w:r>
    </w:p>
    <w:p w14:paraId="1A8165CD"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3</w:t>
      </w:r>
      <w:r>
        <w:rPr>
          <w:rFonts w:eastAsiaTheme="minorEastAsia"/>
          <w:b/>
          <w:bCs/>
          <w:color w:themeColor="text1" w:val="000000"/>
          <w:kern w:val="0"/>
          <w:szCs w:val="21"/>
        </w:rPr>
        <w:t>查阅方式</w:t>
      </w:r>
    </w:p>
    <w:p w14:paraId="712B1D6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投资者可在营业时间免费查阅，也可按工本费购买复印件。</w:t>
      </w:r>
    </w:p>
    <w:p w14:paraId="1E13A72D" w14:textId="77777777" w:rsidR="005E6DF3" w:rsidRDefault="005E6DF3">
      <w:pPr>
        <w:spacing w:line="360" w:lineRule="auto"/>
        <w:ind w:left="840"/>
        <w:jc w:val="right"/>
        <w:rPr>
          <w:rFonts w:eastAsiaTheme="minorEastAsia"/>
          <w:color w:themeColor="text1" w:val="000000"/>
          <w:szCs w:val="21"/>
        </w:rPr>
      </w:pPr>
    </w:p>
    <w:p w14:paraId="73012A02" w14:textId="77777777" w:rsidR="005E6DF3" w:rsidRDefault="005E6DF3">
      <w:pPr>
        <w:spacing w:line="360" w:lineRule="auto"/>
        <w:ind w:left="840"/>
        <w:jc w:val="center"/>
        <w:rPr>
          <w:rFonts w:eastAsiaTheme="minorEastAsia"/>
          <w:b/>
          <w:color w:themeColor="text1" w:val="000000"/>
          <w:szCs w:val="21"/>
        </w:rPr>
      </w:pPr>
    </w:p>
    <w:p w14:paraId="0EB58591"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上投摩根基金管理有限公司</w:t>
      </w:r>
    </w:p>
    <w:p w14:paraId="64D1C272"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二〇二一年四月二十二日</w:t>
      </w:r>
    </w:p>
    <w:sectPr w:rsidR="005E6DF3">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F37B0" w14:textId="77777777" w:rsidR="005E4F74" w:rsidRDefault="005E4F74">
      <w:r>
        <w:separator/>
      </w:r>
    </w:p>
  </w:endnote>
  <w:endnote w:type="continuationSeparator" w:id="0">
    <w:p w14:paraId="4021B18A" w14:textId="77777777"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FE83CB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193FF810"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end"/>
    </w:r>
  </w:p>
  <w:p w14:paraId="461C3E40" w14:textId="77777777" w:rsidR="005C671B" w:rsidRDefault="005C671B">
    <w:pPr>
      <w:pStyle w:val="ae"/>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026710F"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DCC3521" w14:textId="77777777" w:rsidR="005C671B" w:rsidRDefault="005C671B">
    <w:pPr>
      <w:pStyle w:val="a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4F07EB64" w14:textId="77777777" w:rsidR="005E4F74" w:rsidRDefault="005E4F74">
      <w:r>
        <w:separator/>
      </w:r>
    </w:p>
  </w:footnote>
  <w:footnote w:id="0" w:type="continuationSeparator">
    <w:p w14:paraId="53034943" w14:textId="77777777" w:rsidR="005E4F74" w:rsidRDefault="005E4F74">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497AD861" w14:textId="77777777" w:rsidR="005C671B" w:rsidRDefault="005C671B">
    <w:pPr>
      <w:pStyle w:val="af"/>
      <w:pBdr>
        <w:bottom w:color="auto" w:space="0" w:sz="6" w:val="single"/>
      </w:pBdr>
      <w:jc w:val="right"/>
    </w:pPr>
    <w:r>
      <w:t/>
    </w:r>
    <w:proofErr w:type="spellStart"/>
    <w:r>
      <w:t/>
    </w:r>
    <w:proofErr w:type="gramStart"/>
    <w:r>
      <w:t/>
    </w:r>
    <w:proofErr w:type="spellEnd"/>
    <w:r>
      <w:t>上投摩根慧选成长股票型证券投资基金</w:t>
    </w:r>
    <w:proofErr w:type="spellStart"/>
    <w:proofErr w:type="gramEnd"/>
    <w:r>
      <w:t/>
    </w:r>
    <w:proofErr w:type="spellEnd"/>
    <w:r>
      <w:t>2021年第1季度报告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printPostScriptOverText/>
  <w:bordersDoNotSurroundHeader/>
  <w:bordersDoNotSurroundFooter/>
  <w:proofState w:grammar="clean"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026" v:ext="edit"/>
    <o:shapelayout v:ext="edit">
      <o:idmap data="1" v:ext="edit"/>
    </o:shapelayout>
  </w:shapeDefaults>
  <w:decimalSymbol w:val="."/>
  <w:listSeparator w:val=","/>
  <w14:docId w14:val="095A3A6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uiPriority="9"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qFormat="1" w:semiHidden="1"/>
    <w:lsdException w:name="Normal Indent" w:qFormat="1" w:uiPriority="99"/>
    <w:lsdException w:name="footnote text" w:qFormat="1"/>
    <w:lsdException w:name="annotation text" w:qFormat="1" w:semiHidden="1"/>
    <w:lsdException w:name="header" w:qFormat="1" w:uiPriority="99"/>
    <w:lsdException w:name="footer" w:qFormat="1"/>
    <w:lsdException w:name="caption" w:qFormat="1" w:semiHidden="1" w:unhideWhenUsed="1"/>
    <w:lsdException w:name="footnote reference" w:qFormat="1"/>
    <w:lsdException w:name="annotation reference" w:qFormat="1" w:semiHidden="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uiPriority="22"/>
    <w:lsdException w:name="Emphasis" w:qFormat="1"/>
    <w:lsdException w:name="Document Map" w:qFormat="1" w:semiHidden="1"/>
    <w:lsdException w:name="Plain Text" w:qFormat="1" w:uiPriority="99"/>
    <w:lsdException w:name="HTML Top of Form" w:semiHidden="1" w:uiPriority="99" w:unhideWhenUsed="1"/>
    <w:lsdException w:name="HTML Bottom of Form" w:semiHidden="1" w:uiPriority="99" w:unhideWhenUsed="1"/>
    <w:lsdException w:name="Normal (Web)" w:qFormat="1"/>
    <w:lsdException w:name="Normal Table" w:qFormat="1" w:semiHidden="1" w:uiPriority="99" w:unhideWhenUsed="1"/>
    <w:lsdException w:name="annotation subject" w:qFormat="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Grid" w:qFormat="1"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pPr>
      <w:widowControl w:val="0"/>
      <w:jc w:val="both"/>
    </w:pPr>
    <w:rPr>
      <w:kern w:val="2"/>
      <w:sz w:val="21"/>
      <w:szCs w:val="24"/>
    </w:rPr>
  </w:style>
  <w:style w:styleId="1" w:type="paragraph">
    <w:name w:val="heading 1"/>
    <w:basedOn w:val="a"/>
    <w:next w:val="a"/>
    <w:link w:val="10"/>
    <w:qFormat/>
    <w:pPr>
      <w:keepNext/>
      <w:keepLines/>
      <w:spacing w:after="330" w:before="340" w:line="578" w:lineRule="auto"/>
      <w:outlineLvl w:val="0"/>
    </w:pPr>
    <w:rPr>
      <w:b/>
      <w:bCs/>
      <w:kern w:val="44"/>
      <w:sz w:val="44"/>
      <w:szCs w:val="44"/>
    </w:rPr>
  </w:style>
  <w:style w:styleId="2" w:type="paragraph">
    <w:name w:val="heading 2"/>
    <w:basedOn w:val="a"/>
    <w:next w:val="a0"/>
    <w:qFormat/>
    <w:pPr>
      <w:keepNext/>
      <w:keepLines/>
      <w:spacing w:after="260" w:before="260" w:line="360" w:lineRule="auto"/>
      <w:outlineLvl w:val="1"/>
    </w:pPr>
    <w:rPr>
      <w:rFonts w:ascii="Arial" w:cs="Arial" w:hAnsi="Arial"/>
      <w:b/>
      <w:bCs/>
      <w:sz w:val="24"/>
      <w:szCs w:val="28"/>
    </w:rPr>
  </w:style>
  <w:style w:styleId="3" w:type="paragraph">
    <w:name w:val="heading 3"/>
    <w:basedOn w:val="a"/>
    <w:next w:val="a"/>
    <w:link w:val="30"/>
    <w:uiPriority w:val="9"/>
    <w:unhideWhenUsed/>
    <w:qFormat/>
    <w:pPr>
      <w:keepNext/>
      <w:keepLines/>
      <w:spacing w:after="260" w:before="260" w:line="416" w:lineRule="auto"/>
      <w:outlineLvl w:val="2"/>
    </w:pPr>
    <w:rPr>
      <w:rFonts w:asciiTheme="minorHAnsi" w:cstheme="minorBidi" w:eastAsiaTheme="minorEastAsia" w:hAnsiTheme="minorHAnsi"/>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qFormat/>
    <w:pPr>
      <w:ind w:firstLine="420" w:firstLineChars="200"/>
    </w:pPr>
  </w:style>
  <w:style w:styleId="a4" w:type="paragraph">
    <w:name w:val="annotation subject"/>
    <w:basedOn w:val="a5"/>
    <w:next w:val="a5"/>
    <w:semiHidden/>
    <w:qFormat/>
    <w:rPr>
      <w:b/>
      <w:bCs/>
    </w:rPr>
  </w:style>
  <w:style w:styleId="a5" w:type="paragraph">
    <w:name w:val="annotation text"/>
    <w:basedOn w:val="a"/>
    <w:semiHidden/>
    <w:qFormat/>
    <w:pPr>
      <w:jc w:val="left"/>
    </w:pPr>
  </w:style>
  <w:style w:styleId="a6" w:type="paragraph">
    <w:name w:val="Document Map"/>
    <w:basedOn w:val="a"/>
    <w:semiHidden/>
    <w:qFormat/>
    <w:pPr>
      <w:shd w:color="auto" w:fill="000080" w:val="clear"/>
    </w:pPr>
  </w:style>
  <w:style w:styleId="a7" w:type="paragraph">
    <w:name w:val="Body Text"/>
    <w:basedOn w:val="a"/>
    <w:qFormat/>
    <w:pPr>
      <w:spacing w:after="120"/>
    </w:pPr>
  </w:style>
  <w:style w:styleId="a8" w:type="paragraph">
    <w:name w:val="Body Text Indent"/>
    <w:basedOn w:val="a"/>
    <w:qFormat/>
    <w:pPr>
      <w:widowControl/>
      <w:spacing w:after="100" w:afterAutospacing="1" w:before="100" w:beforeAutospacing="1"/>
      <w:jc w:val="left"/>
    </w:pPr>
    <w:rPr>
      <w:rFonts w:ascii="Arial Unicode MS" w:cs="Arial Unicode MS" w:eastAsia="Arial Unicode MS" w:hAnsi="Arial Unicode MS"/>
      <w:kern w:val="0"/>
      <w:sz w:val="24"/>
    </w:rPr>
  </w:style>
  <w:style w:styleId="a9" w:type="paragraph">
    <w:name w:val="Plain Text"/>
    <w:basedOn w:val="a"/>
    <w:link w:val="aa"/>
    <w:uiPriority w:val="99"/>
    <w:qFormat/>
    <w:rPr>
      <w:rFonts w:ascii="宋体" w:hAnsi="Courier New"/>
      <w:szCs w:val="21"/>
    </w:rPr>
  </w:style>
  <w:style w:styleId="ab" w:type="paragraph">
    <w:name w:val="Date"/>
    <w:basedOn w:val="a"/>
    <w:next w:val="a"/>
    <w:link w:val="ac"/>
    <w:qFormat/>
    <w:rPr>
      <w:sz w:val="24"/>
      <w:szCs w:val="20"/>
    </w:rPr>
  </w:style>
  <w:style w:styleId="20" w:type="paragraph">
    <w:name w:val="Body Text Indent 2"/>
    <w:basedOn w:val="a"/>
    <w:qFormat/>
    <w:pPr>
      <w:spacing w:line="560" w:lineRule="exact"/>
      <w:ind w:firstLine="480" w:firstLineChars="200"/>
    </w:pPr>
    <w:rPr>
      <w:rFonts w:ascii="宋体" w:hAnsi="宋体"/>
      <w:color w:val="FF0000"/>
      <w:sz w:val="24"/>
    </w:rPr>
  </w:style>
  <w:style w:styleId="ad" w:type="paragraph">
    <w:name w:val="Balloon Text"/>
    <w:basedOn w:val="a"/>
    <w:semiHidden/>
    <w:qFormat/>
    <w:rPr>
      <w:sz w:val="18"/>
      <w:szCs w:val="18"/>
    </w:rPr>
  </w:style>
  <w:style w:styleId="ae" w:type="paragraph">
    <w:name w:val="footer"/>
    <w:basedOn w:val="a"/>
    <w:qFormat/>
    <w:pPr>
      <w:tabs>
        <w:tab w:pos="4153" w:val="center"/>
        <w:tab w:pos="8306" w:val="right"/>
      </w:tabs>
      <w:snapToGrid w:val="0"/>
      <w:jc w:val="left"/>
    </w:pPr>
    <w:rPr>
      <w:sz w:val="18"/>
      <w:szCs w:val="18"/>
    </w:rPr>
  </w:style>
  <w:style w:styleId="af" w:type="paragraph">
    <w:name w:val="header"/>
    <w:basedOn w:val="a"/>
    <w:link w:val="af0"/>
    <w:uiPriority w:val="99"/>
    <w:qFormat/>
    <w:pPr>
      <w:pBdr>
        <w:bottom w:color="auto" w:space="1" w:sz="6" w:val="single"/>
      </w:pBdr>
      <w:tabs>
        <w:tab w:pos="4153" w:val="center"/>
        <w:tab w:pos="8306" w:val="right"/>
      </w:tabs>
      <w:snapToGrid w:val="0"/>
      <w:jc w:val="center"/>
    </w:pPr>
    <w:rPr>
      <w:sz w:val="18"/>
      <w:szCs w:val="18"/>
    </w:rPr>
  </w:style>
  <w:style w:styleId="af1" w:type="paragraph">
    <w:name w:val="List"/>
    <w:basedOn w:val="a7"/>
    <w:qFormat/>
    <w:pPr>
      <w:spacing w:after="220" w:line="220" w:lineRule="atLeast"/>
      <w:ind w:hanging="360" w:left="1440"/>
    </w:pPr>
    <w:rPr>
      <w:szCs w:val="20"/>
    </w:rPr>
  </w:style>
  <w:style w:styleId="af2" w:type="paragraph">
    <w:name w:val="footnote text"/>
    <w:basedOn w:val="a"/>
    <w:link w:val="af3"/>
    <w:qFormat/>
    <w:pPr>
      <w:snapToGrid w:val="0"/>
      <w:jc w:val="left"/>
    </w:pPr>
    <w:rPr>
      <w:sz w:val="18"/>
      <w:szCs w:val="18"/>
    </w:rPr>
  </w:style>
  <w:style w:styleId="31" w:type="paragraph">
    <w:name w:val="Body Text Indent 3"/>
    <w:basedOn w:val="a"/>
    <w:qFormat/>
    <w:pPr>
      <w:spacing w:line="560" w:lineRule="exact"/>
      <w:ind w:firstLine="420" w:firstLineChars="200"/>
    </w:pPr>
    <w:rPr>
      <w:rFonts w:ascii="Arial" w:cs="Arial" w:hAnsi="Arial"/>
      <w:color w:val="FF0000"/>
    </w:rPr>
  </w:style>
  <w:style w:styleId="af4" w:type="paragraph">
    <w:name w:val="Normal (Web)"/>
    <w:basedOn w:val="a"/>
    <w:qFormat/>
    <w:pPr>
      <w:widowControl/>
      <w:spacing w:after="100" w:afterAutospacing="1" w:before="100" w:beforeAutospacing="1"/>
      <w:jc w:val="left"/>
    </w:pPr>
    <w:rPr>
      <w:rFonts w:ascii="宋体" w:hAnsi="宋体"/>
      <w:kern w:val="0"/>
      <w:sz w:val="24"/>
    </w:rPr>
  </w:style>
  <w:style w:styleId="11" w:type="paragraph">
    <w:name w:val="index 1"/>
    <w:basedOn w:val="a"/>
    <w:next w:val="a"/>
    <w:semiHidden/>
    <w:qFormat/>
    <w:pPr>
      <w:jc w:val="right"/>
    </w:pPr>
    <w:rPr>
      <w:color w:val="008000"/>
    </w:rPr>
  </w:style>
  <w:style w:styleId="af5" w:type="character">
    <w:name w:val="Strong"/>
    <w:basedOn w:val="a1"/>
    <w:uiPriority w:val="22"/>
    <w:qFormat/>
    <w:rPr>
      <w:b/>
      <w:bCs/>
    </w:rPr>
  </w:style>
  <w:style w:styleId="af6" w:type="character">
    <w:name w:val="page number"/>
    <w:basedOn w:val="a1"/>
    <w:qFormat/>
  </w:style>
  <w:style w:styleId="af7" w:type="character">
    <w:name w:val="Hyperlink"/>
    <w:basedOn w:val="a1"/>
    <w:qFormat/>
    <w:rPr>
      <w:color w:val="0000FF"/>
      <w:u w:val="single"/>
    </w:rPr>
  </w:style>
  <w:style w:styleId="af8" w:type="character">
    <w:name w:val="annotation reference"/>
    <w:basedOn w:val="a1"/>
    <w:semiHidden/>
    <w:qFormat/>
    <w:rPr>
      <w:sz w:val="21"/>
      <w:szCs w:val="21"/>
    </w:rPr>
  </w:style>
  <w:style w:styleId="af9" w:type="character">
    <w:name w:val="footnote reference"/>
    <w:basedOn w:val="a1"/>
    <w:qFormat/>
    <w:rPr>
      <w:vertAlign w:val="superscript"/>
    </w:rPr>
  </w:style>
  <w:style w:styleId="afa" w:type="table">
    <w:name w:val="Table Grid"/>
    <w:basedOn w:val="a2"/>
    <w:uiPriority w:val="99"/>
    <w:qFormat/>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2" w:type="character">
    <w:name w:val="已访问的超链接1"/>
    <w:basedOn w:val="a1"/>
    <w:qFormat/>
    <w:rPr>
      <w:color w:val="800080"/>
      <w:u w:val="single"/>
    </w:rPr>
  </w:style>
  <w:style w:customStyle="1" w:styleId="c1" w:type="character">
    <w:name w:val="c1"/>
    <w:basedOn w:val="a1"/>
    <w:qFormat/>
    <w:rPr>
      <w:color w:val="000000"/>
      <w:sz w:val="18"/>
      <w:szCs w:val="18"/>
    </w:rPr>
  </w:style>
  <w:style w:customStyle="1" w:styleId="font5" w:type="paragraph">
    <w:name w:val="font5"/>
    <w:basedOn w:val="a"/>
    <w:qFormat/>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Char" w:type="paragraph">
    <w:name w:val="Char"/>
    <w:basedOn w:val="a"/>
    <w:qFormat/>
  </w:style>
  <w:style w:customStyle="1" w:styleId="Char1" w:type="paragraph">
    <w:name w:val="Char1"/>
    <w:basedOn w:val="a"/>
    <w:qFormat/>
  </w:style>
  <w:style w:customStyle="1" w:styleId="t1" w:type="character">
    <w:name w:val="t1"/>
    <w:basedOn w:val="a1"/>
    <w:rPr>
      <w:color w:val="990000"/>
    </w:rPr>
  </w:style>
  <w:style w:customStyle="1" w:styleId="aa" w:type="character">
    <w:name w:val="纯文本 字符"/>
    <w:basedOn w:val="a1"/>
    <w:link w:val="a9"/>
    <w:uiPriority w:val="99"/>
    <w:rPr>
      <w:rFonts w:ascii="宋体" w:hAnsi="Courier New"/>
      <w:kern w:val="2"/>
      <w:sz w:val="21"/>
      <w:szCs w:val="21"/>
    </w:rPr>
  </w:style>
  <w:style w:customStyle="1" w:styleId="af3" w:type="character">
    <w:name w:val="脚注文本 字符"/>
    <w:basedOn w:val="a1"/>
    <w:link w:val="af2"/>
    <w:rPr>
      <w:kern w:val="2"/>
      <w:sz w:val="18"/>
      <w:szCs w:val="18"/>
    </w:rPr>
  </w:style>
  <w:style w:customStyle="1" w:styleId="Default" w:type="paragraph">
    <w:name w:val="Default"/>
    <w:pPr>
      <w:widowControl w:val="0"/>
      <w:autoSpaceDE w:val="0"/>
      <w:autoSpaceDN w:val="0"/>
      <w:adjustRightInd w:val="0"/>
    </w:pPr>
    <w:rPr>
      <w:rFonts w:ascii="仿宋" w:cs="仿宋" w:hAnsi="仿宋"/>
      <w:color w:val="000000"/>
      <w:sz w:val="24"/>
      <w:szCs w:val="24"/>
    </w:rPr>
  </w:style>
  <w:style w:customStyle="1" w:styleId="af0" w:type="character">
    <w:name w:val="页眉 字符"/>
    <w:basedOn w:val="a1"/>
    <w:link w:val="af"/>
    <w:uiPriority w:val="99"/>
    <w:rPr>
      <w:kern w:val="2"/>
      <w:sz w:val="18"/>
      <w:szCs w:val="18"/>
    </w:rPr>
  </w:style>
  <w:style w:customStyle="1" w:styleId="10" w:type="character">
    <w:name w:val="标题 1 字符"/>
    <w:basedOn w:val="a1"/>
    <w:link w:val="1"/>
    <w:rPr>
      <w:b/>
      <w:bCs/>
      <w:kern w:val="44"/>
      <w:sz w:val="44"/>
      <w:szCs w:val="44"/>
    </w:rPr>
  </w:style>
  <w:style w:customStyle="1" w:styleId="ac" w:type="character">
    <w:name w:val="日期 字符"/>
    <w:basedOn w:val="a1"/>
    <w:link w:val="ab"/>
    <w:rPr>
      <w:kern w:val="2"/>
      <w:sz w:val="24"/>
    </w:rPr>
  </w:style>
  <w:style w:customStyle="1" w:styleId="30" w:type="character">
    <w:name w:val="标题 3 字符"/>
    <w:basedOn w:val="a1"/>
    <w:link w:val="3"/>
    <w:uiPriority w:val="9"/>
    <w:qFormat/>
    <w:rPr>
      <w:rFonts w:asciiTheme="minorHAnsi" w:cstheme="minorBidi" w:eastAsiaTheme="minorEastAsia" w:hAnsiTheme="minorHAns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21</TotalTime>
  <Pages>1</Pages>
  <Words>4697</Words>
  <Characters>26774</Characters>
  <Application>Microsoft Office Word</Application>
  <DocSecurity>0</DocSecurity>
  <Lines>223</Lines>
  <Paragraphs>62</Paragraphs>
  <ScaleCrop>false</ScaleCrop>
  <Company>TRT. Ltd. Co.</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ZHANG ERIC</cp:lastModifiedBy>
  <cp:lastPrinted>2007-07-19T00:46:00Z</cp:lastPrinted>
  <dcterms:modified xsi:type="dcterms:W3CDTF">2020-09-30T11:10:00Z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