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摩根瑞泰</w:t>
      </w:r>
      <w:r w:rsidRPr="00B27A29">
        <w:rPr>
          <w:rFonts w:eastAsiaTheme="minorEastAsia"/>
          <w:b/>
          <w:color w:val="000000" w:themeColor="text1"/>
          <w:sz w:val="36"/>
          <w:szCs w:val="36"/>
        </w:rPr>
        <w:t>38</w:t>
      </w:r>
      <w:r w:rsidRPr="00B27A29">
        <w:rPr>
          <w:rFonts w:eastAsiaTheme="minorEastAsia"/>
          <w:b/>
          <w:color w:val="000000" w:themeColor="text1"/>
          <w:sz w:val="36"/>
          <w:szCs w:val="36"/>
        </w:rPr>
        <w:t>个月定期开放债券型证券投资基金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基金托管人：中国邮政储蓄银行股份有限公司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322FBC" w:rsidRDefault="00A2076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22FBC" w:rsidRDefault="00A2076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22FBC" w:rsidRDefault="00A2076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22FBC" w:rsidRDefault="00A2076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22FBC" w:rsidRDefault="00A2076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摩根瑞泰</w:t>
            </w:r>
            <w:r w:rsidRPr="00B27A29">
              <w:rPr>
                <w:rFonts w:eastAsiaTheme="minorEastAsia"/>
                <w:color w:val="000000" w:themeColor="text1"/>
                <w:kern w:val="0"/>
                <w:szCs w:val="21"/>
              </w:rPr>
              <w:t>38</w:t>
            </w:r>
            <w:r w:rsidRPr="00B27A29">
              <w:rPr>
                <w:rFonts w:eastAsiaTheme="minorEastAsia"/>
                <w:color w:val="000000" w:themeColor="text1"/>
                <w:kern w:val="0"/>
                <w:szCs w:val="21"/>
              </w:rPr>
              <w:t>个月定期开放债券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008759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契约型定期开放式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18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7,923,455,732.55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在严格控制风险的前提下，采用持有到期策略，力争实现长期稳定的投资回报。</w:t>
            </w:r>
            <w:r w:rsidRPr="00B27A29">
              <w:rPr>
                <w:rFonts w:eastAsiaTheme="minorEastAsia"/>
                <w:color w:val="000000" w:themeColor="text1"/>
                <w:kern w:val="0"/>
                <w:szCs w:val="21"/>
              </w:rPr>
              <w:t xml:space="preserve">          </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322FBC" w:rsidRDefault="00A207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作期到期日。开放期内，将保持资产适当的流动性，以应付当时市场条件下的赎回要求，并降低资产的流动性风险，做好流动性管理。</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具体策略包括：封闭期投资策略（包括封闭期配置策略、信用债投资策略、杠杆投资策略、资产支持证券投资策略、封闭期现金管理策略）、开放期投资策略。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在每个封闭期，本基金的业绩比较基准为该封闭期起始日公布的三年定期存款利率（税后）</w:t>
            </w:r>
            <w:r w:rsidRPr="00B27A29">
              <w:rPr>
                <w:rFonts w:eastAsiaTheme="minorEastAsia"/>
                <w:color w:val="000000" w:themeColor="text1"/>
                <w:kern w:val="0"/>
                <w:szCs w:val="21"/>
              </w:rPr>
              <w:t>+1%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本基金为债券型基金，一般而言，其长期平均风险和预期收益率低于股票型基金、混合型基金，高于货币市场基金。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中国邮政储蓄银行股份有限公司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008759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008760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7,923,440,765.03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14,967.52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43,652,523.28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73.18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43,652,523.28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73.18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0.0055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0.0049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8,055,959,443.28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15,197.11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1.0167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1.0153</w:t>
            </w:r>
          </w:p>
        </w:tc>
      </w:tr>
    </w:tbl>
    <w:p w:rsidR="00322FBC" w:rsidRDefault="00A207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2.</w:t>
      </w:r>
      <w:r w:rsidRPr="00B27A29">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由于本基金采用摊余成本法核算，所以，公允价值变动收益为零，本期已实现收益和本期利润的金额相等；</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摩根瑞泰</w:t>
      </w:r>
      <w:r w:rsidRPr="00B27A29">
        <w:rPr>
          <w:rFonts w:eastAsiaTheme="minorEastAsia"/>
          <w:b/>
          <w:color w:val="000000" w:themeColor="text1"/>
          <w:kern w:val="0"/>
          <w:szCs w:val="21"/>
        </w:rPr>
        <w:t>38</w:t>
      </w:r>
      <w:r w:rsidRPr="00B27A29">
        <w:rPr>
          <w:rFonts w:eastAsiaTheme="minorEastAsia"/>
          <w:b/>
          <w:color w:val="000000" w:themeColor="text1"/>
          <w:kern w:val="0"/>
          <w:szCs w:val="21"/>
        </w:rPr>
        <w:t>个月定期开放债券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22FBC">
        <w:tc>
          <w:tcPr>
            <w:tcW w:w="1290" w:type="dxa"/>
            <w:vAlign w:val="center"/>
          </w:tcPr>
          <w:p w:rsidR="00322FBC" w:rsidRDefault="00A2076F">
            <w:pPr>
              <w:jc w:val="left"/>
            </w:pPr>
            <w:r>
              <w:rPr>
                <w:rFonts w:eastAsiaTheme="minorEastAsia"/>
                <w:color w:val="000000" w:themeColor="text1"/>
                <w:szCs w:val="21"/>
              </w:rPr>
              <w:t>过去三个月</w:t>
            </w:r>
          </w:p>
        </w:tc>
        <w:tc>
          <w:tcPr>
            <w:tcW w:w="1291" w:type="dxa"/>
            <w:vAlign w:val="center"/>
          </w:tcPr>
          <w:p w:rsidR="00322FBC" w:rsidRDefault="00A2076F">
            <w:pPr>
              <w:jc w:val="right"/>
            </w:pPr>
            <w:r>
              <w:rPr>
                <w:rFonts w:eastAsiaTheme="minorEastAsia"/>
                <w:color w:val="000000" w:themeColor="text1"/>
                <w:szCs w:val="21"/>
              </w:rPr>
              <w:t>0.54%</w:t>
            </w:r>
          </w:p>
        </w:tc>
        <w:tc>
          <w:tcPr>
            <w:tcW w:w="1291" w:type="dxa"/>
            <w:vAlign w:val="center"/>
          </w:tcPr>
          <w:p w:rsidR="00322FBC" w:rsidRDefault="00A2076F">
            <w:pPr>
              <w:jc w:val="right"/>
            </w:pPr>
            <w:r>
              <w:rPr>
                <w:rFonts w:eastAsiaTheme="minorEastAsia"/>
                <w:color w:val="000000" w:themeColor="text1"/>
                <w:szCs w:val="21"/>
              </w:rPr>
              <w:t>0.01%</w:t>
            </w:r>
          </w:p>
        </w:tc>
        <w:tc>
          <w:tcPr>
            <w:tcW w:w="1291" w:type="dxa"/>
            <w:vAlign w:val="center"/>
          </w:tcPr>
          <w:p w:rsidR="00322FBC" w:rsidRDefault="00A2076F">
            <w:pPr>
              <w:jc w:val="right"/>
            </w:pPr>
            <w:r>
              <w:rPr>
                <w:rFonts w:eastAsiaTheme="minorEastAsia"/>
                <w:color w:val="000000" w:themeColor="text1"/>
                <w:szCs w:val="21"/>
              </w:rPr>
              <w:t>0.96%</w:t>
            </w:r>
          </w:p>
        </w:tc>
        <w:tc>
          <w:tcPr>
            <w:tcW w:w="1291" w:type="dxa"/>
            <w:vAlign w:val="center"/>
          </w:tcPr>
          <w:p w:rsidR="00322FBC" w:rsidRDefault="00A2076F">
            <w:pPr>
              <w:jc w:val="right"/>
            </w:pPr>
            <w:r>
              <w:rPr>
                <w:rFonts w:eastAsiaTheme="minorEastAsia"/>
                <w:color w:val="000000" w:themeColor="text1"/>
                <w:szCs w:val="21"/>
              </w:rPr>
              <w:t>0.01%</w:t>
            </w:r>
          </w:p>
        </w:tc>
        <w:tc>
          <w:tcPr>
            <w:tcW w:w="1291" w:type="dxa"/>
            <w:vAlign w:val="center"/>
          </w:tcPr>
          <w:p w:rsidR="00322FBC" w:rsidRDefault="00A2076F">
            <w:pPr>
              <w:jc w:val="right"/>
            </w:pPr>
            <w:r>
              <w:rPr>
                <w:rFonts w:eastAsiaTheme="minorEastAsia"/>
                <w:color w:val="000000" w:themeColor="text1"/>
                <w:szCs w:val="21"/>
              </w:rPr>
              <w:t>-0.42%</w:t>
            </w:r>
          </w:p>
        </w:tc>
        <w:tc>
          <w:tcPr>
            <w:tcW w:w="1291" w:type="dxa"/>
            <w:vAlign w:val="center"/>
          </w:tcPr>
          <w:p w:rsidR="00322FBC" w:rsidRDefault="00A2076F">
            <w:pPr>
              <w:jc w:val="right"/>
            </w:pPr>
            <w:r>
              <w:rPr>
                <w:rFonts w:eastAsiaTheme="minorEastAsia"/>
                <w:color w:val="000000" w:themeColor="text1"/>
                <w:szCs w:val="21"/>
              </w:rPr>
              <w:t>0.00%</w:t>
            </w:r>
          </w:p>
        </w:tc>
      </w:tr>
      <w:tr w:rsidR="00322FBC">
        <w:tc>
          <w:tcPr>
            <w:tcW w:w="1290" w:type="dxa"/>
            <w:vAlign w:val="center"/>
          </w:tcPr>
          <w:p w:rsidR="00322FBC" w:rsidRDefault="00A2076F">
            <w:pPr>
              <w:jc w:val="left"/>
            </w:pPr>
            <w:r>
              <w:rPr>
                <w:rFonts w:eastAsiaTheme="minorEastAsia"/>
                <w:color w:val="000000" w:themeColor="text1"/>
                <w:szCs w:val="21"/>
              </w:rPr>
              <w:t>过去六个月</w:t>
            </w:r>
          </w:p>
        </w:tc>
        <w:tc>
          <w:tcPr>
            <w:tcW w:w="1291" w:type="dxa"/>
            <w:vAlign w:val="center"/>
          </w:tcPr>
          <w:p w:rsidR="00322FBC" w:rsidRDefault="00A2076F">
            <w:pPr>
              <w:jc w:val="right"/>
            </w:pPr>
            <w:r>
              <w:rPr>
                <w:rFonts w:eastAsiaTheme="minorEastAsia"/>
                <w:color w:val="000000" w:themeColor="text1"/>
                <w:szCs w:val="21"/>
              </w:rPr>
              <w:t>1.12%</w:t>
            </w:r>
          </w:p>
        </w:tc>
        <w:tc>
          <w:tcPr>
            <w:tcW w:w="1291" w:type="dxa"/>
            <w:vAlign w:val="center"/>
          </w:tcPr>
          <w:p w:rsidR="00322FBC" w:rsidRDefault="00A2076F">
            <w:pPr>
              <w:jc w:val="right"/>
            </w:pPr>
            <w:r>
              <w:rPr>
                <w:rFonts w:eastAsiaTheme="minorEastAsia"/>
                <w:color w:val="000000" w:themeColor="text1"/>
                <w:szCs w:val="21"/>
              </w:rPr>
              <w:t>0.01%</w:t>
            </w:r>
          </w:p>
        </w:tc>
        <w:tc>
          <w:tcPr>
            <w:tcW w:w="1291" w:type="dxa"/>
            <w:vAlign w:val="center"/>
          </w:tcPr>
          <w:p w:rsidR="00322FBC" w:rsidRDefault="00A2076F">
            <w:pPr>
              <w:jc w:val="right"/>
            </w:pPr>
            <w:r>
              <w:rPr>
                <w:rFonts w:eastAsiaTheme="minorEastAsia"/>
                <w:color w:val="000000" w:themeColor="text1"/>
                <w:szCs w:val="21"/>
              </w:rPr>
              <w:t>1.91%</w:t>
            </w:r>
          </w:p>
        </w:tc>
        <w:tc>
          <w:tcPr>
            <w:tcW w:w="1291" w:type="dxa"/>
            <w:vAlign w:val="center"/>
          </w:tcPr>
          <w:p w:rsidR="00322FBC" w:rsidRDefault="00A2076F">
            <w:pPr>
              <w:jc w:val="right"/>
            </w:pPr>
            <w:r>
              <w:rPr>
                <w:rFonts w:eastAsiaTheme="minorEastAsia"/>
                <w:color w:val="000000" w:themeColor="text1"/>
                <w:szCs w:val="21"/>
              </w:rPr>
              <w:t>0.01%</w:t>
            </w:r>
          </w:p>
        </w:tc>
        <w:tc>
          <w:tcPr>
            <w:tcW w:w="1291" w:type="dxa"/>
            <w:vAlign w:val="center"/>
          </w:tcPr>
          <w:p w:rsidR="00322FBC" w:rsidRDefault="00A2076F">
            <w:pPr>
              <w:jc w:val="right"/>
            </w:pPr>
            <w:r>
              <w:rPr>
                <w:rFonts w:eastAsiaTheme="minorEastAsia"/>
                <w:color w:val="000000" w:themeColor="text1"/>
                <w:szCs w:val="21"/>
              </w:rPr>
              <w:t>-0.79%</w:t>
            </w:r>
          </w:p>
        </w:tc>
        <w:tc>
          <w:tcPr>
            <w:tcW w:w="1291" w:type="dxa"/>
            <w:vAlign w:val="center"/>
          </w:tcPr>
          <w:p w:rsidR="00322FBC" w:rsidRDefault="00A2076F">
            <w:pPr>
              <w:jc w:val="right"/>
            </w:pPr>
            <w:r>
              <w:rPr>
                <w:rFonts w:eastAsiaTheme="minorEastAsia"/>
                <w:color w:val="000000" w:themeColor="text1"/>
                <w:szCs w:val="21"/>
              </w:rPr>
              <w:t>0.00%</w:t>
            </w:r>
          </w:p>
        </w:tc>
      </w:tr>
      <w:tr w:rsidR="00322FBC">
        <w:tc>
          <w:tcPr>
            <w:tcW w:w="1290" w:type="dxa"/>
            <w:vAlign w:val="center"/>
          </w:tcPr>
          <w:p w:rsidR="00322FBC" w:rsidRDefault="00A2076F">
            <w:pPr>
              <w:jc w:val="left"/>
            </w:pPr>
            <w:r>
              <w:rPr>
                <w:rFonts w:eastAsiaTheme="minorEastAsia"/>
                <w:color w:val="000000" w:themeColor="text1"/>
                <w:szCs w:val="21"/>
              </w:rPr>
              <w:t>过去一年</w:t>
            </w:r>
          </w:p>
        </w:tc>
        <w:tc>
          <w:tcPr>
            <w:tcW w:w="1291" w:type="dxa"/>
            <w:vAlign w:val="center"/>
          </w:tcPr>
          <w:p w:rsidR="00322FBC" w:rsidRDefault="00A2076F">
            <w:pPr>
              <w:jc w:val="right"/>
            </w:pPr>
            <w:r>
              <w:rPr>
                <w:rFonts w:eastAsiaTheme="minorEastAsia"/>
                <w:color w:val="000000" w:themeColor="text1"/>
                <w:szCs w:val="21"/>
              </w:rPr>
              <w:t>2.64%</w:t>
            </w:r>
          </w:p>
        </w:tc>
        <w:tc>
          <w:tcPr>
            <w:tcW w:w="1291" w:type="dxa"/>
            <w:vAlign w:val="center"/>
          </w:tcPr>
          <w:p w:rsidR="00322FBC" w:rsidRDefault="00A2076F">
            <w:pPr>
              <w:jc w:val="right"/>
            </w:pPr>
            <w:r>
              <w:rPr>
                <w:rFonts w:eastAsiaTheme="minorEastAsia"/>
                <w:color w:val="000000" w:themeColor="text1"/>
                <w:szCs w:val="21"/>
              </w:rPr>
              <w:t>0.01%</w:t>
            </w:r>
          </w:p>
        </w:tc>
        <w:tc>
          <w:tcPr>
            <w:tcW w:w="1291" w:type="dxa"/>
            <w:vAlign w:val="center"/>
          </w:tcPr>
          <w:p w:rsidR="00322FBC" w:rsidRDefault="00A2076F">
            <w:pPr>
              <w:jc w:val="right"/>
            </w:pPr>
            <w:r>
              <w:rPr>
                <w:rFonts w:eastAsiaTheme="minorEastAsia"/>
                <w:color w:val="000000" w:themeColor="text1"/>
                <w:szCs w:val="21"/>
              </w:rPr>
              <w:t>3.80%</w:t>
            </w:r>
          </w:p>
        </w:tc>
        <w:tc>
          <w:tcPr>
            <w:tcW w:w="1291" w:type="dxa"/>
            <w:vAlign w:val="center"/>
          </w:tcPr>
          <w:p w:rsidR="00322FBC" w:rsidRDefault="00A2076F">
            <w:pPr>
              <w:jc w:val="right"/>
            </w:pPr>
            <w:r>
              <w:rPr>
                <w:rFonts w:eastAsiaTheme="minorEastAsia"/>
                <w:color w:val="000000" w:themeColor="text1"/>
                <w:szCs w:val="21"/>
              </w:rPr>
              <w:t>0.01%</w:t>
            </w:r>
          </w:p>
        </w:tc>
        <w:tc>
          <w:tcPr>
            <w:tcW w:w="1291" w:type="dxa"/>
            <w:vAlign w:val="center"/>
          </w:tcPr>
          <w:p w:rsidR="00322FBC" w:rsidRDefault="00A2076F">
            <w:pPr>
              <w:jc w:val="right"/>
            </w:pPr>
            <w:r>
              <w:rPr>
                <w:rFonts w:eastAsiaTheme="minorEastAsia"/>
                <w:color w:val="000000" w:themeColor="text1"/>
                <w:szCs w:val="21"/>
              </w:rPr>
              <w:t>-1.16%</w:t>
            </w:r>
          </w:p>
        </w:tc>
        <w:tc>
          <w:tcPr>
            <w:tcW w:w="1291" w:type="dxa"/>
            <w:vAlign w:val="center"/>
          </w:tcPr>
          <w:p w:rsidR="00322FBC" w:rsidRDefault="00A2076F">
            <w:pPr>
              <w:jc w:val="right"/>
            </w:pPr>
            <w:r>
              <w:rPr>
                <w:rFonts w:eastAsiaTheme="minorEastAsia"/>
                <w:color w:val="000000" w:themeColor="text1"/>
                <w:szCs w:val="21"/>
              </w:rPr>
              <w:t>0.00%</w:t>
            </w:r>
          </w:p>
        </w:tc>
      </w:tr>
      <w:tr w:rsidR="00322FBC">
        <w:tc>
          <w:tcPr>
            <w:tcW w:w="1290" w:type="dxa"/>
            <w:vAlign w:val="center"/>
          </w:tcPr>
          <w:p w:rsidR="00322FBC" w:rsidRDefault="00A2076F">
            <w:pPr>
              <w:jc w:val="left"/>
            </w:pPr>
            <w:r>
              <w:rPr>
                <w:rFonts w:eastAsiaTheme="minorEastAsia"/>
                <w:color w:val="000000" w:themeColor="text1"/>
                <w:szCs w:val="21"/>
              </w:rPr>
              <w:t>过去三年</w:t>
            </w:r>
          </w:p>
        </w:tc>
        <w:tc>
          <w:tcPr>
            <w:tcW w:w="1291" w:type="dxa"/>
            <w:vAlign w:val="center"/>
          </w:tcPr>
          <w:p w:rsidR="00322FBC" w:rsidRDefault="00A2076F">
            <w:pPr>
              <w:jc w:val="right"/>
            </w:pPr>
            <w:r>
              <w:rPr>
                <w:rFonts w:eastAsiaTheme="minorEastAsia"/>
                <w:color w:val="000000" w:themeColor="text1"/>
                <w:szCs w:val="21"/>
              </w:rPr>
              <w:t>8.20%</w:t>
            </w:r>
          </w:p>
        </w:tc>
        <w:tc>
          <w:tcPr>
            <w:tcW w:w="1291" w:type="dxa"/>
            <w:vAlign w:val="center"/>
          </w:tcPr>
          <w:p w:rsidR="00322FBC" w:rsidRDefault="00A2076F">
            <w:pPr>
              <w:jc w:val="right"/>
            </w:pPr>
            <w:r>
              <w:rPr>
                <w:rFonts w:eastAsiaTheme="minorEastAsia"/>
                <w:color w:val="000000" w:themeColor="text1"/>
                <w:szCs w:val="21"/>
              </w:rPr>
              <w:t>0.01%</w:t>
            </w:r>
          </w:p>
        </w:tc>
        <w:tc>
          <w:tcPr>
            <w:tcW w:w="1291" w:type="dxa"/>
            <w:vAlign w:val="center"/>
          </w:tcPr>
          <w:p w:rsidR="00322FBC" w:rsidRDefault="00A2076F">
            <w:pPr>
              <w:jc w:val="right"/>
            </w:pPr>
            <w:r>
              <w:rPr>
                <w:rFonts w:eastAsiaTheme="minorEastAsia"/>
                <w:color w:val="000000" w:themeColor="text1"/>
                <w:szCs w:val="21"/>
              </w:rPr>
              <w:t>11.41%</w:t>
            </w:r>
          </w:p>
        </w:tc>
        <w:tc>
          <w:tcPr>
            <w:tcW w:w="1291" w:type="dxa"/>
            <w:vAlign w:val="center"/>
          </w:tcPr>
          <w:p w:rsidR="00322FBC" w:rsidRDefault="00A2076F">
            <w:pPr>
              <w:jc w:val="right"/>
            </w:pPr>
            <w:r>
              <w:rPr>
                <w:rFonts w:eastAsiaTheme="minorEastAsia"/>
                <w:color w:val="000000" w:themeColor="text1"/>
                <w:szCs w:val="21"/>
              </w:rPr>
              <w:t>0.01%</w:t>
            </w:r>
          </w:p>
        </w:tc>
        <w:tc>
          <w:tcPr>
            <w:tcW w:w="1291" w:type="dxa"/>
            <w:vAlign w:val="center"/>
          </w:tcPr>
          <w:p w:rsidR="00322FBC" w:rsidRDefault="00A2076F">
            <w:pPr>
              <w:jc w:val="right"/>
            </w:pPr>
            <w:r>
              <w:rPr>
                <w:rFonts w:eastAsiaTheme="minorEastAsia"/>
                <w:color w:val="000000" w:themeColor="text1"/>
                <w:szCs w:val="21"/>
              </w:rPr>
              <w:t>-3.21%</w:t>
            </w:r>
          </w:p>
        </w:tc>
        <w:tc>
          <w:tcPr>
            <w:tcW w:w="1291" w:type="dxa"/>
            <w:vAlign w:val="center"/>
          </w:tcPr>
          <w:p w:rsidR="00322FBC" w:rsidRDefault="00A2076F">
            <w:pPr>
              <w:jc w:val="right"/>
            </w:pPr>
            <w:r>
              <w:rPr>
                <w:rFonts w:eastAsiaTheme="minorEastAsia"/>
                <w:color w:val="000000" w:themeColor="text1"/>
                <w:szCs w:val="21"/>
              </w:rPr>
              <w:t>0.00%</w:t>
            </w:r>
          </w:p>
        </w:tc>
      </w:tr>
      <w:tr w:rsidR="00322FBC">
        <w:tc>
          <w:tcPr>
            <w:tcW w:w="1290" w:type="dxa"/>
            <w:vAlign w:val="center"/>
          </w:tcPr>
          <w:p w:rsidR="00322FBC" w:rsidRDefault="00A2076F">
            <w:pPr>
              <w:jc w:val="left"/>
            </w:pPr>
            <w:r>
              <w:rPr>
                <w:rFonts w:eastAsiaTheme="minorEastAsia"/>
                <w:color w:val="000000" w:themeColor="text1"/>
                <w:szCs w:val="21"/>
              </w:rPr>
              <w:t>过去五年</w:t>
            </w:r>
          </w:p>
        </w:tc>
        <w:tc>
          <w:tcPr>
            <w:tcW w:w="1291" w:type="dxa"/>
            <w:vAlign w:val="center"/>
          </w:tcPr>
          <w:p w:rsidR="00322FBC" w:rsidRDefault="00A2076F">
            <w:pPr>
              <w:jc w:val="right"/>
            </w:pPr>
            <w:r>
              <w:rPr>
                <w:rFonts w:eastAsiaTheme="minorEastAsia"/>
                <w:color w:val="000000" w:themeColor="text1"/>
                <w:szCs w:val="21"/>
              </w:rPr>
              <w:t>-</w:t>
            </w:r>
          </w:p>
        </w:tc>
        <w:tc>
          <w:tcPr>
            <w:tcW w:w="1291" w:type="dxa"/>
            <w:vAlign w:val="center"/>
          </w:tcPr>
          <w:p w:rsidR="00322FBC" w:rsidRDefault="00A2076F">
            <w:pPr>
              <w:jc w:val="right"/>
            </w:pPr>
            <w:r>
              <w:rPr>
                <w:rFonts w:eastAsiaTheme="minorEastAsia"/>
                <w:color w:val="000000" w:themeColor="text1"/>
                <w:szCs w:val="21"/>
              </w:rPr>
              <w:t>-</w:t>
            </w:r>
          </w:p>
        </w:tc>
        <w:tc>
          <w:tcPr>
            <w:tcW w:w="1291" w:type="dxa"/>
            <w:vAlign w:val="center"/>
          </w:tcPr>
          <w:p w:rsidR="00322FBC" w:rsidRDefault="00A2076F">
            <w:pPr>
              <w:jc w:val="right"/>
            </w:pPr>
            <w:r>
              <w:rPr>
                <w:rFonts w:eastAsiaTheme="minorEastAsia"/>
                <w:color w:val="000000" w:themeColor="text1"/>
                <w:szCs w:val="21"/>
              </w:rPr>
              <w:t>-</w:t>
            </w:r>
          </w:p>
        </w:tc>
        <w:tc>
          <w:tcPr>
            <w:tcW w:w="1291" w:type="dxa"/>
            <w:vAlign w:val="center"/>
          </w:tcPr>
          <w:p w:rsidR="00322FBC" w:rsidRDefault="00A2076F">
            <w:pPr>
              <w:jc w:val="right"/>
            </w:pPr>
            <w:r>
              <w:rPr>
                <w:rFonts w:eastAsiaTheme="minorEastAsia"/>
                <w:color w:val="000000" w:themeColor="text1"/>
                <w:szCs w:val="21"/>
              </w:rPr>
              <w:t>-</w:t>
            </w:r>
          </w:p>
        </w:tc>
        <w:tc>
          <w:tcPr>
            <w:tcW w:w="1291" w:type="dxa"/>
            <w:vAlign w:val="center"/>
          </w:tcPr>
          <w:p w:rsidR="00322FBC" w:rsidRDefault="00A2076F">
            <w:pPr>
              <w:jc w:val="right"/>
            </w:pPr>
            <w:r>
              <w:rPr>
                <w:rFonts w:eastAsiaTheme="minorEastAsia"/>
                <w:color w:val="000000" w:themeColor="text1"/>
                <w:szCs w:val="21"/>
              </w:rPr>
              <w:t>-</w:t>
            </w:r>
          </w:p>
        </w:tc>
        <w:tc>
          <w:tcPr>
            <w:tcW w:w="1291" w:type="dxa"/>
            <w:vAlign w:val="center"/>
          </w:tcPr>
          <w:p w:rsidR="00322FBC" w:rsidRDefault="00A2076F">
            <w:pPr>
              <w:jc w:val="right"/>
            </w:pPr>
            <w:r>
              <w:rPr>
                <w:rFonts w:eastAsiaTheme="minorEastAsia"/>
                <w:color w:val="000000" w:themeColor="text1"/>
                <w:szCs w:val="21"/>
              </w:rPr>
              <w:t>-</w:t>
            </w:r>
          </w:p>
        </w:tc>
      </w:tr>
      <w:tr w:rsidR="00322FBC">
        <w:tc>
          <w:tcPr>
            <w:tcW w:w="1290" w:type="dxa"/>
            <w:vAlign w:val="center"/>
          </w:tcPr>
          <w:p w:rsidR="00322FBC" w:rsidRDefault="00A2076F">
            <w:pPr>
              <w:jc w:val="left"/>
            </w:pPr>
            <w:r>
              <w:rPr>
                <w:rFonts w:eastAsiaTheme="minorEastAsia"/>
                <w:color w:val="000000" w:themeColor="text1"/>
                <w:szCs w:val="21"/>
              </w:rPr>
              <w:t>自基金合同生效起至今</w:t>
            </w:r>
          </w:p>
        </w:tc>
        <w:tc>
          <w:tcPr>
            <w:tcW w:w="1291" w:type="dxa"/>
            <w:vAlign w:val="center"/>
          </w:tcPr>
          <w:p w:rsidR="00322FBC" w:rsidRDefault="00A2076F">
            <w:pPr>
              <w:jc w:val="right"/>
            </w:pPr>
            <w:r>
              <w:rPr>
                <w:rFonts w:eastAsiaTheme="minorEastAsia"/>
                <w:color w:val="000000" w:themeColor="text1"/>
                <w:szCs w:val="21"/>
              </w:rPr>
              <w:t>8.99%</w:t>
            </w:r>
          </w:p>
        </w:tc>
        <w:tc>
          <w:tcPr>
            <w:tcW w:w="1291" w:type="dxa"/>
            <w:vAlign w:val="center"/>
          </w:tcPr>
          <w:p w:rsidR="00322FBC" w:rsidRDefault="00A2076F">
            <w:pPr>
              <w:jc w:val="right"/>
            </w:pPr>
            <w:r>
              <w:rPr>
                <w:rFonts w:eastAsiaTheme="minorEastAsia"/>
                <w:color w:val="000000" w:themeColor="text1"/>
                <w:szCs w:val="21"/>
              </w:rPr>
              <w:t>0.01%</w:t>
            </w:r>
          </w:p>
        </w:tc>
        <w:tc>
          <w:tcPr>
            <w:tcW w:w="1291" w:type="dxa"/>
            <w:vAlign w:val="center"/>
          </w:tcPr>
          <w:p w:rsidR="00322FBC" w:rsidRDefault="00A2076F">
            <w:pPr>
              <w:jc w:val="right"/>
            </w:pPr>
            <w:r>
              <w:rPr>
                <w:rFonts w:eastAsiaTheme="minorEastAsia"/>
                <w:color w:val="000000" w:themeColor="text1"/>
                <w:szCs w:val="21"/>
              </w:rPr>
              <w:t>13.46%</w:t>
            </w:r>
          </w:p>
        </w:tc>
        <w:tc>
          <w:tcPr>
            <w:tcW w:w="1291" w:type="dxa"/>
            <w:vAlign w:val="center"/>
          </w:tcPr>
          <w:p w:rsidR="00322FBC" w:rsidRDefault="00A2076F">
            <w:pPr>
              <w:jc w:val="right"/>
            </w:pPr>
            <w:r>
              <w:rPr>
                <w:rFonts w:eastAsiaTheme="minorEastAsia"/>
                <w:color w:val="000000" w:themeColor="text1"/>
                <w:szCs w:val="21"/>
              </w:rPr>
              <w:t>0.01%</w:t>
            </w:r>
          </w:p>
        </w:tc>
        <w:tc>
          <w:tcPr>
            <w:tcW w:w="1291" w:type="dxa"/>
            <w:vAlign w:val="center"/>
          </w:tcPr>
          <w:p w:rsidR="00322FBC" w:rsidRDefault="00A2076F">
            <w:pPr>
              <w:jc w:val="right"/>
            </w:pPr>
            <w:r>
              <w:rPr>
                <w:rFonts w:eastAsiaTheme="minorEastAsia"/>
                <w:color w:val="000000" w:themeColor="text1"/>
                <w:szCs w:val="21"/>
              </w:rPr>
              <w:t>-4.47%</w:t>
            </w:r>
          </w:p>
        </w:tc>
        <w:tc>
          <w:tcPr>
            <w:tcW w:w="1291" w:type="dxa"/>
            <w:vAlign w:val="center"/>
          </w:tcPr>
          <w:p w:rsidR="00322FBC" w:rsidRDefault="00A2076F">
            <w:pPr>
              <w:jc w:val="right"/>
            </w:pPr>
            <w:r>
              <w:rPr>
                <w:rFonts w:eastAsiaTheme="minorEastAsia"/>
                <w:color w:val="000000" w:themeColor="text1"/>
                <w:szCs w:val="21"/>
              </w:rPr>
              <w:t>0.00%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摩根瑞泰</w:t>
      </w:r>
      <w:r w:rsidRPr="00B27A29">
        <w:rPr>
          <w:rFonts w:eastAsiaTheme="minorEastAsia"/>
          <w:b/>
          <w:color w:val="000000" w:themeColor="text1"/>
          <w:kern w:val="0"/>
          <w:szCs w:val="21"/>
        </w:rPr>
        <w:t>38</w:t>
      </w:r>
      <w:r w:rsidRPr="00B27A29">
        <w:rPr>
          <w:rFonts w:eastAsiaTheme="minorEastAsia"/>
          <w:b/>
          <w:color w:val="000000" w:themeColor="text1"/>
          <w:kern w:val="0"/>
          <w:szCs w:val="21"/>
        </w:rPr>
        <w:t>个月定期开放债券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22FBC">
        <w:tc>
          <w:tcPr>
            <w:tcW w:w="1290" w:type="dxa"/>
            <w:vAlign w:val="center"/>
          </w:tcPr>
          <w:p w:rsidR="00322FBC" w:rsidRDefault="00A2076F">
            <w:pPr>
              <w:jc w:val="left"/>
            </w:pPr>
            <w:r>
              <w:rPr>
                <w:rFonts w:eastAsiaTheme="minorEastAsia"/>
                <w:color w:val="000000" w:themeColor="text1"/>
                <w:szCs w:val="21"/>
              </w:rPr>
              <w:t>过去三个月</w:t>
            </w:r>
          </w:p>
        </w:tc>
        <w:tc>
          <w:tcPr>
            <w:tcW w:w="1291" w:type="dxa"/>
            <w:vAlign w:val="center"/>
          </w:tcPr>
          <w:p w:rsidR="00322FBC" w:rsidRDefault="00A2076F">
            <w:pPr>
              <w:jc w:val="right"/>
            </w:pPr>
            <w:r>
              <w:rPr>
                <w:rFonts w:eastAsiaTheme="minorEastAsia"/>
                <w:color w:val="000000" w:themeColor="text1"/>
                <w:szCs w:val="21"/>
              </w:rPr>
              <w:t>0.48%</w:t>
            </w:r>
          </w:p>
        </w:tc>
        <w:tc>
          <w:tcPr>
            <w:tcW w:w="1291" w:type="dxa"/>
            <w:vAlign w:val="center"/>
          </w:tcPr>
          <w:p w:rsidR="00322FBC" w:rsidRDefault="00A2076F">
            <w:pPr>
              <w:jc w:val="right"/>
            </w:pPr>
            <w:r>
              <w:rPr>
                <w:rFonts w:eastAsiaTheme="minorEastAsia"/>
                <w:color w:val="000000" w:themeColor="text1"/>
                <w:szCs w:val="21"/>
              </w:rPr>
              <w:t>0.01%</w:t>
            </w:r>
          </w:p>
        </w:tc>
        <w:tc>
          <w:tcPr>
            <w:tcW w:w="1291" w:type="dxa"/>
            <w:vAlign w:val="center"/>
          </w:tcPr>
          <w:p w:rsidR="00322FBC" w:rsidRDefault="00A2076F">
            <w:pPr>
              <w:jc w:val="right"/>
            </w:pPr>
            <w:r>
              <w:rPr>
                <w:rFonts w:eastAsiaTheme="minorEastAsia"/>
                <w:color w:val="000000" w:themeColor="text1"/>
                <w:szCs w:val="21"/>
              </w:rPr>
              <w:t>0.96%</w:t>
            </w:r>
          </w:p>
        </w:tc>
        <w:tc>
          <w:tcPr>
            <w:tcW w:w="1291" w:type="dxa"/>
            <w:vAlign w:val="center"/>
          </w:tcPr>
          <w:p w:rsidR="00322FBC" w:rsidRDefault="00A2076F">
            <w:pPr>
              <w:jc w:val="right"/>
            </w:pPr>
            <w:r>
              <w:rPr>
                <w:rFonts w:eastAsiaTheme="minorEastAsia"/>
                <w:color w:val="000000" w:themeColor="text1"/>
                <w:szCs w:val="21"/>
              </w:rPr>
              <w:t>0.01%</w:t>
            </w:r>
          </w:p>
        </w:tc>
        <w:tc>
          <w:tcPr>
            <w:tcW w:w="1291" w:type="dxa"/>
            <w:vAlign w:val="center"/>
          </w:tcPr>
          <w:p w:rsidR="00322FBC" w:rsidRDefault="00A2076F">
            <w:pPr>
              <w:jc w:val="right"/>
            </w:pPr>
            <w:r>
              <w:rPr>
                <w:rFonts w:eastAsiaTheme="minorEastAsia"/>
                <w:color w:val="000000" w:themeColor="text1"/>
                <w:szCs w:val="21"/>
              </w:rPr>
              <w:t>-0.48%</w:t>
            </w:r>
          </w:p>
        </w:tc>
        <w:tc>
          <w:tcPr>
            <w:tcW w:w="1291" w:type="dxa"/>
            <w:vAlign w:val="center"/>
          </w:tcPr>
          <w:p w:rsidR="00322FBC" w:rsidRDefault="00A2076F">
            <w:pPr>
              <w:jc w:val="right"/>
            </w:pPr>
            <w:r>
              <w:rPr>
                <w:rFonts w:eastAsiaTheme="minorEastAsia"/>
                <w:color w:val="000000" w:themeColor="text1"/>
                <w:szCs w:val="21"/>
              </w:rPr>
              <w:t>0.00%</w:t>
            </w:r>
          </w:p>
        </w:tc>
      </w:tr>
      <w:tr w:rsidR="00322FBC">
        <w:tc>
          <w:tcPr>
            <w:tcW w:w="1290" w:type="dxa"/>
            <w:vAlign w:val="center"/>
          </w:tcPr>
          <w:p w:rsidR="00322FBC" w:rsidRDefault="00A2076F">
            <w:pPr>
              <w:jc w:val="left"/>
            </w:pPr>
            <w:r>
              <w:rPr>
                <w:rFonts w:eastAsiaTheme="minorEastAsia"/>
                <w:color w:val="000000" w:themeColor="text1"/>
                <w:szCs w:val="21"/>
              </w:rPr>
              <w:t>过去六个月</w:t>
            </w:r>
          </w:p>
        </w:tc>
        <w:tc>
          <w:tcPr>
            <w:tcW w:w="1291" w:type="dxa"/>
            <w:vAlign w:val="center"/>
          </w:tcPr>
          <w:p w:rsidR="00322FBC" w:rsidRDefault="00A2076F">
            <w:pPr>
              <w:jc w:val="right"/>
            </w:pPr>
            <w:r>
              <w:rPr>
                <w:rFonts w:eastAsiaTheme="minorEastAsia"/>
                <w:color w:val="000000" w:themeColor="text1"/>
                <w:szCs w:val="21"/>
              </w:rPr>
              <w:t>1.00%</w:t>
            </w:r>
          </w:p>
        </w:tc>
        <w:tc>
          <w:tcPr>
            <w:tcW w:w="1291" w:type="dxa"/>
            <w:vAlign w:val="center"/>
          </w:tcPr>
          <w:p w:rsidR="00322FBC" w:rsidRDefault="00A2076F">
            <w:pPr>
              <w:jc w:val="right"/>
            </w:pPr>
            <w:r>
              <w:rPr>
                <w:rFonts w:eastAsiaTheme="minorEastAsia"/>
                <w:color w:val="000000" w:themeColor="text1"/>
                <w:szCs w:val="21"/>
              </w:rPr>
              <w:t>0.01%</w:t>
            </w:r>
          </w:p>
        </w:tc>
        <w:tc>
          <w:tcPr>
            <w:tcW w:w="1291" w:type="dxa"/>
            <w:vAlign w:val="center"/>
          </w:tcPr>
          <w:p w:rsidR="00322FBC" w:rsidRDefault="00A2076F">
            <w:pPr>
              <w:jc w:val="right"/>
            </w:pPr>
            <w:r>
              <w:rPr>
                <w:rFonts w:eastAsiaTheme="minorEastAsia"/>
                <w:color w:val="000000" w:themeColor="text1"/>
                <w:szCs w:val="21"/>
              </w:rPr>
              <w:t>1.91%</w:t>
            </w:r>
          </w:p>
        </w:tc>
        <w:tc>
          <w:tcPr>
            <w:tcW w:w="1291" w:type="dxa"/>
            <w:vAlign w:val="center"/>
          </w:tcPr>
          <w:p w:rsidR="00322FBC" w:rsidRDefault="00A2076F">
            <w:pPr>
              <w:jc w:val="right"/>
            </w:pPr>
            <w:r>
              <w:rPr>
                <w:rFonts w:eastAsiaTheme="minorEastAsia"/>
                <w:color w:val="000000" w:themeColor="text1"/>
                <w:szCs w:val="21"/>
              </w:rPr>
              <w:t>0.01%</w:t>
            </w:r>
          </w:p>
        </w:tc>
        <w:tc>
          <w:tcPr>
            <w:tcW w:w="1291" w:type="dxa"/>
            <w:vAlign w:val="center"/>
          </w:tcPr>
          <w:p w:rsidR="00322FBC" w:rsidRDefault="00A2076F">
            <w:pPr>
              <w:jc w:val="right"/>
            </w:pPr>
            <w:r>
              <w:rPr>
                <w:rFonts w:eastAsiaTheme="minorEastAsia"/>
                <w:color w:val="000000" w:themeColor="text1"/>
                <w:szCs w:val="21"/>
              </w:rPr>
              <w:t>-0.91%</w:t>
            </w:r>
          </w:p>
        </w:tc>
        <w:tc>
          <w:tcPr>
            <w:tcW w:w="1291" w:type="dxa"/>
            <w:vAlign w:val="center"/>
          </w:tcPr>
          <w:p w:rsidR="00322FBC" w:rsidRDefault="00A2076F">
            <w:pPr>
              <w:jc w:val="right"/>
            </w:pPr>
            <w:r>
              <w:rPr>
                <w:rFonts w:eastAsiaTheme="minorEastAsia"/>
                <w:color w:val="000000" w:themeColor="text1"/>
                <w:szCs w:val="21"/>
              </w:rPr>
              <w:t>0.00%</w:t>
            </w:r>
          </w:p>
        </w:tc>
      </w:tr>
      <w:tr w:rsidR="00322FBC">
        <w:tc>
          <w:tcPr>
            <w:tcW w:w="1290" w:type="dxa"/>
            <w:vAlign w:val="center"/>
          </w:tcPr>
          <w:p w:rsidR="00322FBC" w:rsidRDefault="00A2076F">
            <w:pPr>
              <w:jc w:val="left"/>
            </w:pPr>
            <w:r>
              <w:rPr>
                <w:rFonts w:eastAsiaTheme="minorEastAsia"/>
                <w:color w:val="000000" w:themeColor="text1"/>
                <w:szCs w:val="21"/>
              </w:rPr>
              <w:t>过去一年</w:t>
            </w:r>
          </w:p>
        </w:tc>
        <w:tc>
          <w:tcPr>
            <w:tcW w:w="1291" w:type="dxa"/>
            <w:vAlign w:val="center"/>
          </w:tcPr>
          <w:p w:rsidR="00322FBC" w:rsidRDefault="00A2076F">
            <w:pPr>
              <w:jc w:val="right"/>
            </w:pPr>
            <w:r>
              <w:rPr>
                <w:rFonts w:eastAsiaTheme="minorEastAsia"/>
                <w:color w:val="000000" w:themeColor="text1"/>
                <w:szCs w:val="21"/>
              </w:rPr>
              <w:t>2.38%</w:t>
            </w:r>
          </w:p>
        </w:tc>
        <w:tc>
          <w:tcPr>
            <w:tcW w:w="1291" w:type="dxa"/>
            <w:vAlign w:val="center"/>
          </w:tcPr>
          <w:p w:rsidR="00322FBC" w:rsidRDefault="00A2076F">
            <w:pPr>
              <w:jc w:val="right"/>
            </w:pPr>
            <w:r>
              <w:rPr>
                <w:rFonts w:eastAsiaTheme="minorEastAsia"/>
                <w:color w:val="000000" w:themeColor="text1"/>
                <w:szCs w:val="21"/>
              </w:rPr>
              <w:t>0.01%</w:t>
            </w:r>
          </w:p>
        </w:tc>
        <w:tc>
          <w:tcPr>
            <w:tcW w:w="1291" w:type="dxa"/>
            <w:vAlign w:val="center"/>
          </w:tcPr>
          <w:p w:rsidR="00322FBC" w:rsidRDefault="00A2076F">
            <w:pPr>
              <w:jc w:val="right"/>
            </w:pPr>
            <w:r>
              <w:rPr>
                <w:rFonts w:eastAsiaTheme="minorEastAsia"/>
                <w:color w:val="000000" w:themeColor="text1"/>
                <w:szCs w:val="21"/>
              </w:rPr>
              <w:t>3.80%</w:t>
            </w:r>
          </w:p>
        </w:tc>
        <w:tc>
          <w:tcPr>
            <w:tcW w:w="1291" w:type="dxa"/>
            <w:vAlign w:val="center"/>
          </w:tcPr>
          <w:p w:rsidR="00322FBC" w:rsidRDefault="00A2076F">
            <w:pPr>
              <w:jc w:val="right"/>
            </w:pPr>
            <w:r>
              <w:rPr>
                <w:rFonts w:eastAsiaTheme="minorEastAsia"/>
                <w:color w:val="000000" w:themeColor="text1"/>
                <w:szCs w:val="21"/>
              </w:rPr>
              <w:t>0.01%</w:t>
            </w:r>
          </w:p>
        </w:tc>
        <w:tc>
          <w:tcPr>
            <w:tcW w:w="1291" w:type="dxa"/>
            <w:vAlign w:val="center"/>
          </w:tcPr>
          <w:p w:rsidR="00322FBC" w:rsidRDefault="00A2076F">
            <w:pPr>
              <w:jc w:val="right"/>
            </w:pPr>
            <w:r>
              <w:rPr>
                <w:rFonts w:eastAsiaTheme="minorEastAsia"/>
                <w:color w:val="000000" w:themeColor="text1"/>
                <w:szCs w:val="21"/>
              </w:rPr>
              <w:t>-1.42%</w:t>
            </w:r>
          </w:p>
        </w:tc>
        <w:tc>
          <w:tcPr>
            <w:tcW w:w="1291" w:type="dxa"/>
            <w:vAlign w:val="center"/>
          </w:tcPr>
          <w:p w:rsidR="00322FBC" w:rsidRDefault="00A2076F">
            <w:pPr>
              <w:jc w:val="right"/>
            </w:pPr>
            <w:r>
              <w:rPr>
                <w:rFonts w:eastAsiaTheme="minorEastAsia"/>
                <w:color w:val="000000" w:themeColor="text1"/>
                <w:szCs w:val="21"/>
              </w:rPr>
              <w:t>0.00%</w:t>
            </w:r>
          </w:p>
        </w:tc>
      </w:tr>
      <w:tr w:rsidR="00322FBC">
        <w:tc>
          <w:tcPr>
            <w:tcW w:w="1290" w:type="dxa"/>
            <w:vAlign w:val="center"/>
          </w:tcPr>
          <w:p w:rsidR="00322FBC" w:rsidRDefault="00A2076F">
            <w:pPr>
              <w:jc w:val="left"/>
            </w:pPr>
            <w:r>
              <w:rPr>
                <w:rFonts w:eastAsiaTheme="minorEastAsia"/>
                <w:color w:val="000000" w:themeColor="text1"/>
                <w:szCs w:val="21"/>
              </w:rPr>
              <w:t>过去三年</w:t>
            </w:r>
          </w:p>
        </w:tc>
        <w:tc>
          <w:tcPr>
            <w:tcW w:w="1291" w:type="dxa"/>
            <w:vAlign w:val="center"/>
          </w:tcPr>
          <w:p w:rsidR="00322FBC" w:rsidRDefault="00A2076F">
            <w:pPr>
              <w:jc w:val="right"/>
            </w:pPr>
            <w:r>
              <w:rPr>
                <w:rFonts w:eastAsiaTheme="minorEastAsia"/>
                <w:color w:val="000000" w:themeColor="text1"/>
                <w:szCs w:val="21"/>
              </w:rPr>
              <w:t>7.40%</w:t>
            </w:r>
          </w:p>
        </w:tc>
        <w:tc>
          <w:tcPr>
            <w:tcW w:w="1291" w:type="dxa"/>
            <w:vAlign w:val="center"/>
          </w:tcPr>
          <w:p w:rsidR="00322FBC" w:rsidRDefault="00A2076F">
            <w:pPr>
              <w:jc w:val="right"/>
            </w:pPr>
            <w:r>
              <w:rPr>
                <w:rFonts w:eastAsiaTheme="minorEastAsia"/>
                <w:color w:val="000000" w:themeColor="text1"/>
                <w:szCs w:val="21"/>
              </w:rPr>
              <w:t>0.01%</w:t>
            </w:r>
          </w:p>
        </w:tc>
        <w:tc>
          <w:tcPr>
            <w:tcW w:w="1291" w:type="dxa"/>
            <w:vAlign w:val="center"/>
          </w:tcPr>
          <w:p w:rsidR="00322FBC" w:rsidRDefault="00A2076F">
            <w:pPr>
              <w:jc w:val="right"/>
            </w:pPr>
            <w:r>
              <w:rPr>
                <w:rFonts w:eastAsiaTheme="minorEastAsia"/>
                <w:color w:val="000000" w:themeColor="text1"/>
                <w:szCs w:val="21"/>
              </w:rPr>
              <w:t>11.41%</w:t>
            </w:r>
          </w:p>
        </w:tc>
        <w:tc>
          <w:tcPr>
            <w:tcW w:w="1291" w:type="dxa"/>
            <w:vAlign w:val="center"/>
          </w:tcPr>
          <w:p w:rsidR="00322FBC" w:rsidRDefault="00A2076F">
            <w:pPr>
              <w:jc w:val="right"/>
            </w:pPr>
            <w:r>
              <w:rPr>
                <w:rFonts w:eastAsiaTheme="minorEastAsia"/>
                <w:color w:val="000000" w:themeColor="text1"/>
                <w:szCs w:val="21"/>
              </w:rPr>
              <w:t>0.01%</w:t>
            </w:r>
          </w:p>
        </w:tc>
        <w:tc>
          <w:tcPr>
            <w:tcW w:w="1291" w:type="dxa"/>
            <w:vAlign w:val="center"/>
          </w:tcPr>
          <w:p w:rsidR="00322FBC" w:rsidRDefault="00A2076F">
            <w:pPr>
              <w:jc w:val="right"/>
            </w:pPr>
            <w:r>
              <w:rPr>
                <w:rFonts w:eastAsiaTheme="minorEastAsia"/>
                <w:color w:val="000000" w:themeColor="text1"/>
                <w:szCs w:val="21"/>
              </w:rPr>
              <w:t>-4.01%</w:t>
            </w:r>
          </w:p>
        </w:tc>
        <w:tc>
          <w:tcPr>
            <w:tcW w:w="1291" w:type="dxa"/>
            <w:vAlign w:val="center"/>
          </w:tcPr>
          <w:p w:rsidR="00322FBC" w:rsidRDefault="00A2076F">
            <w:pPr>
              <w:jc w:val="right"/>
            </w:pPr>
            <w:r>
              <w:rPr>
                <w:rFonts w:eastAsiaTheme="minorEastAsia"/>
                <w:color w:val="000000" w:themeColor="text1"/>
                <w:szCs w:val="21"/>
              </w:rPr>
              <w:t>0.00%</w:t>
            </w:r>
          </w:p>
        </w:tc>
      </w:tr>
      <w:tr w:rsidR="00322FBC">
        <w:tc>
          <w:tcPr>
            <w:tcW w:w="1290" w:type="dxa"/>
            <w:vAlign w:val="center"/>
          </w:tcPr>
          <w:p w:rsidR="00322FBC" w:rsidRDefault="00A2076F">
            <w:pPr>
              <w:jc w:val="left"/>
            </w:pPr>
            <w:r>
              <w:rPr>
                <w:rFonts w:eastAsiaTheme="minorEastAsia"/>
                <w:color w:val="000000" w:themeColor="text1"/>
                <w:szCs w:val="21"/>
              </w:rPr>
              <w:t>过去五年</w:t>
            </w:r>
          </w:p>
        </w:tc>
        <w:tc>
          <w:tcPr>
            <w:tcW w:w="1291" w:type="dxa"/>
            <w:vAlign w:val="center"/>
          </w:tcPr>
          <w:p w:rsidR="00322FBC" w:rsidRDefault="00A2076F">
            <w:pPr>
              <w:jc w:val="right"/>
            </w:pPr>
            <w:r>
              <w:rPr>
                <w:rFonts w:eastAsiaTheme="minorEastAsia"/>
                <w:color w:val="000000" w:themeColor="text1"/>
                <w:szCs w:val="21"/>
              </w:rPr>
              <w:t>-</w:t>
            </w:r>
          </w:p>
        </w:tc>
        <w:tc>
          <w:tcPr>
            <w:tcW w:w="1291" w:type="dxa"/>
            <w:vAlign w:val="center"/>
          </w:tcPr>
          <w:p w:rsidR="00322FBC" w:rsidRDefault="00A2076F">
            <w:pPr>
              <w:jc w:val="right"/>
            </w:pPr>
            <w:r>
              <w:rPr>
                <w:rFonts w:eastAsiaTheme="minorEastAsia"/>
                <w:color w:val="000000" w:themeColor="text1"/>
                <w:szCs w:val="21"/>
              </w:rPr>
              <w:t>-</w:t>
            </w:r>
          </w:p>
        </w:tc>
        <w:tc>
          <w:tcPr>
            <w:tcW w:w="1291" w:type="dxa"/>
            <w:vAlign w:val="center"/>
          </w:tcPr>
          <w:p w:rsidR="00322FBC" w:rsidRDefault="00A2076F">
            <w:pPr>
              <w:jc w:val="right"/>
            </w:pPr>
            <w:r>
              <w:rPr>
                <w:rFonts w:eastAsiaTheme="minorEastAsia"/>
                <w:color w:val="000000" w:themeColor="text1"/>
                <w:szCs w:val="21"/>
              </w:rPr>
              <w:t>-</w:t>
            </w:r>
          </w:p>
        </w:tc>
        <w:tc>
          <w:tcPr>
            <w:tcW w:w="1291" w:type="dxa"/>
            <w:vAlign w:val="center"/>
          </w:tcPr>
          <w:p w:rsidR="00322FBC" w:rsidRDefault="00A2076F">
            <w:pPr>
              <w:jc w:val="right"/>
            </w:pPr>
            <w:r>
              <w:rPr>
                <w:rFonts w:eastAsiaTheme="minorEastAsia"/>
                <w:color w:val="000000" w:themeColor="text1"/>
                <w:szCs w:val="21"/>
              </w:rPr>
              <w:t>-</w:t>
            </w:r>
          </w:p>
        </w:tc>
        <w:tc>
          <w:tcPr>
            <w:tcW w:w="1291" w:type="dxa"/>
            <w:vAlign w:val="center"/>
          </w:tcPr>
          <w:p w:rsidR="00322FBC" w:rsidRDefault="00A2076F">
            <w:pPr>
              <w:jc w:val="right"/>
            </w:pPr>
            <w:r>
              <w:rPr>
                <w:rFonts w:eastAsiaTheme="minorEastAsia"/>
                <w:color w:val="000000" w:themeColor="text1"/>
                <w:szCs w:val="21"/>
              </w:rPr>
              <w:t>-</w:t>
            </w:r>
          </w:p>
        </w:tc>
        <w:tc>
          <w:tcPr>
            <w:tcW w:w="1291" w:type="dxa"/>
            <w:vAlign w:val="center"/>
          </w:tcPr>
          <w:p w:rsidR="00322FBC" w:rsidRDefault="00A2076F">
            <w:pPr>
              <w:jc w:val="right"/>
            </w:pPr>
            <w:r>
              <w:rPr>
                <w:rFonts w:eastAsiaTheme="minorEastAsia"/>
                <w:color w:val="000000" w:themeColor="text1"/>
                <w:szCs w:val="21"/>
              </w:rPr>
              <w:t>-</w:t>
            </w:r>
          </w:p>
        </w:tc>
      </w:tr>
      <w:tr w:rsidR="00322FBC">
        <w:tc>
          <w:tcPr>
            <w:tcW w:w="1290" w:type="dxa"/>
            <w:vAlign w:val="center"/>
          </w:tcPr>
          <w:p w:rsidR="00322FBC" w:rsidRDefault="00A2076F">
            <w:pPr>
              <w:jc w:val="left"/>
            </w:pPr>
            <w:r>
              <w:rPr>
                <w:rFonts w:eastAsiaTheme="minorEastAsia"/>
                <w:color w:val="000000" w:themeColor="text1"/>
                <w:szCs w:val="21"/>
              </w:rPr>
              <w:t>自基金合同生效起至今</w:t>
            </w:r>
          </w:p>
        </w:tc>
        <w:tc>
          <w:tcPr>
            <w:tcW w:w="1291" w:type="dxa"/>
            <w:vAlign w:val="center"/>
          </w:tcPr>
          <w:p w:rsidR="00322FBC" w:rsidRDefault="00A2076F">
            <w:pPr>
              <w:jc w:val="right"/>
            </w:pPr>
            <w:r>
              <w:rPr>
                <w:rFonts w:eastAsiaTheme="minorEastAsia"/>
                <w:color w:val="000000" w:themeColor="text1"/>
                <w:szCs w:val="21"/>
              </w:rPr>
              <w:t>8.03%</w:t>
            </w:r>
          </w:p>
        </w:tc>
        <w:tc>
          <w:tcPr>
            <w:tcW w:w="1291" w:type="dxa"/>
            <w:vAlign w:val="center"/>
          </w:tcPr>
          <w:p w:rsidR="00322FBC" w:rsidRDefault="00A2076F">
            <w:pPr>
              <w:jc w:val="right"/>
            </w:pPr>
            <w:r>
              <w:rPr>
                <w:rFonts w:eastAsiaTheme="minorEastAsia"/>
                <w:color w:val="000000" w:themeColor="text1"/>
                <w:szCs w:val="21"/>
              </w:rPr>
              <w:t>0.01%</w:t>
            </w:r>
          </w:p>
        </w:tc>
        <w:tc>
          <w:tcPr>
            <w:tcW w:w="1291" w:type="dxa"/>
            <w:vAlign w:val="center"/>
          </w:tcPr>
          <w:p w:rsidR="00322FBC" w:rsidRDefault="00A2076F">
            <w:pPr>
              <w:jc w:val="right"/>
            </w:pPr>
            <w:r>
              <w:rPr>
                <w:rFonts w:eastAsiaTheme="minorEastAsia"/>
                <w:color w:val="000000" w:themeColor="text1"/>
                <w:szCs w:val="21"/>
              </w:rPr>
              <w:t>13.46%</w:t>
            </w:r>
          </w:p>
        </w:tc>
        <w:tc>
          <w:tcPr>
            <w:tcW w:w="1291" w:type="dxa"/>
            <w:vAlign w:val="center"/>
          </w:tcPr>
          <w:p w:rsidR="00322FBC" w:rsidRDefault="00A2076F">
            <w:pPr>
              <w:jc w:val="right"/>
            </w:pPr>
            <w:r>
              <w:rPr>
                <w:rFonts w:eastAsiaTheme="minorEastAsia"/>
                <w:color w:val="000000" w:themeColor="text1"/>
                <w:szCs w:val="21"/>
              </w:rPr>
              <w:t>0.01%</w:t>
            </w:r>
          </w:p>
        </w:tc>
        <w:tc>
          <w:tcPr>
            <w:tcW w:w="1291" w:type="dxa"/>
            <w:vAlign w:val="center"/>
          </w:tcPr>
          <w:p w:rsidR="00322FBC" w:rsidRDefault="00A2076F">
            <w:pPr>
              <w:jc w:val="right"/>
            </w:pPr>
            <w:r>
              <w:rPr>
                <w:rFonts w:eastAsiaTheme="minorEastAsia"/>
                <w:color w:val="000000" w:themeColor="text1"/>
                <w:szCs w:val="21"/>
              </w:rPr>
              <w:t>-5.43%</w:t>
            </w:r>
          </w:p>
        </w:tc>
        <w:tc>
          <w:tcPr>
            <w:tcW w:w="1291" w:type="dxa"/>
            <w:vAlign w:val="center"/>
          </w:tcPr>
          <w:p w:rsidR="00322FBC" w:rsidRDefault="00A2076F">
            <w:pPr>
              <w:jc w:val="right"/>
            </w:pPr>
            <w:r>
              <w:rPr>
                <w:rFonts w:eastAsiaTheme="minorEastAsia"/>
                <w:color w:val="000000" w:themeColor="text1"/>
                <w:szCs w:val="21"/>
              </w:rPr>
              <w:t>0.00%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22FBC" w:rsidRDefault="00A2076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22FBC" w:rsidRDefault="00A2076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322FBC">
        <w:tc>
          <w:tcPr>
            <w:tcW w:w="952" w:type="dxa"/>
            <w:vAlign w:val="center"/>
          </w:tcPr>
          <w:p w:rsidR="00322FBC" w:rsidRDefault="00A2076F">
            <w:pPr>
              <w:jc w:val="center"/>
            </w:pPr>
            <w:r>
              <w:rPr>
                <w:rFonts w:eastAsiaTheme="minorEastAsia"/>
                <w:color w:val="000000" w:themeColor="text1"/>
                <w:szCs w:val="21"/>
              </w:rPr>
              <w:t>任翔</w:t>
            </w:r>
          </w:p>
        </w:tc>
        <w:tc>
          <w:tcPr>
            <w:tcW w:w="930" w:type="dxa"/>
            <w:vAlign w:val="center"/>
          </w:tcPr>
          <w:p w:rsidR="00322FBC" w:rsidRDefault="00A2076F">
            <w:pPr>
              <w:jc w:val="center"/>
            </w:pPr>
            <w:r>
              <w:rPr>
                <w:rFonts w:eastAsiaTheme="minorEastAsia"/>
                <w:color w:val="000000" w:themeColor="text1"/>
                <w:szCs w:val="21"/>
              </w:rPr>
              <w:t>本基金基金经理、固收研究部总监</w:t>
            </w:r>
          </w:p>
        </w:tc>
        <w:tc>
          <w:tcPr>
            <w:tcW w:w="1210" w:type="dxa"/>
            <w:vAlign w:val="center"/>
          </w:tcPr>
          <w:p w:rsidR="00322FBC" w:rsidRDefault="00A2076F">
            <w:pPr>
              <w:jc w:val="center"/>
            </w:pPr>
            <w:r>
              <w:rPr>
                <w:rFonts w:eastAsiaTheme="minorEastAsia"/>
                <w:color w:val="000000" w:themeColor="text1"/>
                <w:szCs w:val="21"/>
              </w:rPr>
              <w:t>2020-03-18</w:t>
            </w:r>
          </w:p>
        </w:tc>
        <w:tc>
          <w:tcPr>
            <w:tcW w:w="1309" w:type="dxa"/>
            <w:vAlign w:val="center"/>
          </w:tcPr>
          <w:p w:rsidR="00322FBC" w:rsidRDefault="00A2076F">
            <w:pPr>
              <w:jc w:val="center"/>
            </w:pPr>
            <w:r>
              <w:rPr>
                <w:rFonts w:eastAsiaTheme="minorEastAsia"/>
                <w:color w:val="000000" w:themeColor="text1"/>
                <w:szCs w:val="21"/>
              </w:rPr>
              <w:t>-</w:t>
            </w:r>
          </w:p>
        </w:tc>
        <w:tc>
          <w:tcPr>
            <w:tcW w:w="1254" w:type="dxa"/>
            <w:vAlign w:val="center"/>
          </w:tcPr>
          <w:p w:rsidR="00322FBC" w:rsidRDefault="00A2076F">
            <w:pPr>
              <w:jc w:val="center"/>
            </w:pPr>
            <w:r>
              <w:rPr>
                <w:rFonts w:eastAsiaTheme="minorEastAsia"/>
                <w:color w:val="000000" w:themeColor="text1"/>
                <w:szCs w:val="21"/>
              </w:rPr>
              <w:t>9</w:t>
            </w:r>
            <w:r>
              <w:rPr>
                <w:rFonts w:eastAsiaTheme="minorEastAsia"/>
                <w:color w:val="000000" w:themeColor="text1"/>
                <w:szCs w:val="21"/>
              </w:rPr>
              <w:t>年</w:t>
            </w:r>
          </w:p>
        </w:tc>
        <w:tc>
          <w:tcPr>
            <w:tcW w:w="3276" w:type="dxa"/>
            <w:vAlign w:val="center"/>
          </w:tcPr>
          <w:p w:rsidR="00322FBC" w:rsidRDefault="00A2076F">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投摩根基金管理有限公司），历任研究员、投资经理助理、投资经理兼债券研究部副总监、投资经理兼固收研究部总监，现任债券投资部资深基金经理兼固收研究部总监。</w:t>
            </w:r>
          </w:p>
        </w:tc>
      </w:tr>
    </w:tbl>
    <w:p w:rsidR="00322FBC" w:rsidRDefault="00A207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322FBC" w:rsidRDefault="00A207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任翔先生为本基金首任基金经理，其任职日期为本基金基金合同生效之日。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322FBC" w:rsidRDefault="00A2076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eastAsiaTheme="minorEastAsia"/>
          <w:color w:val="000000" w:themeColor="text1"/>
          <w:szCs w:val="21"/>
        </w:rPr>
        <w:lastRenderedPageBreak/>
        <w:t>均得到公平对待。</w:t>
      </w:r>
    </w:p>
    <w:p w:rsidR="00322FBC" w:rsidRDefault="00A2076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322FBC" w:rsidRDefault="00A2076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322FBC" w:rsidRDefault="00A2076F">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三季度债券收益率整体呈现震荡格局，中短端上行，长端微幅下行，收益率曲线走平。具体来看，</w:t>
      </w:r>
      <w:r>
        <w:rPr>
          <w:rFonts w:eastAsiaTheme="minorEastAsia"/>
          <w:color w:val="000000" w:themeColor="text1"/>
          <w:szCs w:val="21"/>
        </w:rPr>
        <w:t>7</w:t>
      </w:r>
      <w:r>
        <w:rPr>
          <w:rFonts w:eastAsiaTheme="minorEastAsia"/>
          <w:color w:val="000000" w:themeColor="text1"/>
          <w:szCs w:val="21"/>
        </w:rPr>
        <w:t>月上半月，市场较为平静，对通胀、金融数据反应平淡。</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日统计局发布</w:t>
      </w:r>
      <w:r>
        <w:rPr>
          <w:rFonts w:eastAsiaTheme="minorEastAsia"/>
          <w:color w:val="000000" w:themeColor="text1"/>
          <w:szCs w:val="21"/>
        </w:rPr>
        <w:t>6</w:t>
      </w:r>
      <w:r>
        <w:rPr>
          <w:rFonts w:eastAsiaTheme="minorEastAsia"/>
          <w:color w:val="000000" w:themeColor="text1"/>
          <w:szCs w:val="21"/>
        </w:rPr>
        <w:t>月及二季度经济数据，弱于市场预期，各期限收益率下行。</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日晚间，政治局会议新闻稿发布，会议对房地产行业表态超出市场预期，次日债市收益率大幅上行，之后步入震荡。</w:t>
      </w:r>
      <w:r>
        <w:rPr>
          <w:rFonts w:eastAsiaTheme="minorEastAsia"/>
          <w:color w:val="000000" w:themeColor="text1"/>
          <w:szCs w:val="21"/>
        </w:rPr>
        <w:t>8</w:t>
      </w:r>
      <w:r>
        <w:rPr>
          <w:rFonts w:eastAsiaTheme="minorEastAsia"/>
          <w:color w:val="000000" w:themeColor="text1"/>
          <w:szCs w:val="21"/>
        </w:rPr>
        <w:t>月份，央行召开半年度工作会议，提及</w:t>
      </w:r>
      <w:r>
        <w:rPr>
          <w:rFonts w:eastAsiaTheme="minorEastAsia"/>
          <w:color w:val="000000" w:themeColor="text1"/>
          <w:szCs w:val="21"/>
        </w:rPr>
        <w:t>“</w:t>
      </w:r>
      <w:r>
        <w:rPr>
          <w:rFonts w:eastAsiaTheme="minorEastAsia"/>
          <w:color w:val="000000" w:themeColor="text1"/>
          <w:szCs w:val="21"/>
        </w:rPr>
        <w:t>加强逆周期调节</w:t>
      </w:r>
      <w:r>
        <w:rPr>
          <w:rFonts w:eastAsiaTheme="minorEastAsia"/>
          <w:color w:val="000000" w:themeColor="text1"/>
          <w:szCs w:val="21"/>
        </w:rPr>
        <w:t>”</w:t>
      </w:r>
      <w:r>
        <w:rPr>
          <w:rFonts w:eastAsiaTheme="minorEastAsia"/>
          <w:color w:val="000000" w:themeColor="text1"/>
          <w:szCs w:val="21"/>
        </w:rPr>
        <w:t>和</w:t>
      </w:r>
      <w:r>
        <w:rPr>
          <w:rFonts w:eastAsiaTheme="minorEastAsia"/>
          <w:color w:val="000000" w:themeColor="text1"/>
          <w:szCs w:val="21"/>
        </w:rPr>
        <w:t>“</w:t>
      </w:r>
      <w:r>
        <w:rPr>
          <w:rFonts w:eastAsiaTheme="minorEastAsia"/>
          <w:color w:val="000000" w:themeColor="text1"/>
          <w:szCs w:val="21"/>
        </w:rPr>
        <w:t>发挥总量政策工具作用</w:t>
      </w:r>
      <w:r>
        <w:rPr>
          <w:rFonts w:eastAsiaTheme="minorEastAsia"/>
          <w:color w:val="000000" w:themeColor="text1"/>
          <w:szCs w:val="21"/>
        </w:rPr>
        <w:t>”</w:t>
      </w:r>
      <w:r>
        <w:rPr>
          <w:rFonts w:eastAsiaTheme="minorEastAsia"/>
          <w:color w:val="000000" w:themeColor="text1"/>
          <w:szCs w:val="21"/>
        </w:rPr>
        <w:t>，使得市场对降准降息预期升温。随后公布的</w:t>
      </w:r>
      <w:r>
        <w:rPr>
          <w:rFonts w:eastAsiaTheme="minorEastAsia"/>
          <w:color w:val="000000" w:themeColor="text1"/>
          <w:szCs w:val="21"/>
        </w:rPr>
        <w:t>7</w:t>
      </w:r>
      <w:r>
        <w:rPr>
          <w:rFonts w:eastAsiaTheme="minorEastAsia"/>
          <w:color w:val="000000" w:themeColor="text1"/>
          <w:szCs w:val="21"/>
        </w:rPr>
        <w:t>月份金融数据亦弱于预期，收益率开启下行通道。</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日，央行下调中期</w:t>
      </w:r>
      <w:r>
        <w:rPr>
          <w:rFonts w:eastAsiaTheme="minorEastAsia"/>
          <w:color w:val="000000" w:themeColor="text1"/>
          <w:szCs w:val="21"/>
        </w:rPr>
        <w:t>借贷便利（</w:t>
      </w:r>
      <w:r>
        <w:rPr>
          <w:rFonts w:eastAsiaTheme="minorEastAsia"/>
          <w:color w:val="000000" w:themeColor="text1"/>
          <w:szCs w:val="21"/>
        </w:rPr>
        <w:t>MLF</w:t>
      </w:r>
      <w:r>
        <w:rPr>
          <w:rFonts w:eastAsiaTheme="minorEastAsia"/>
          <w:color w:val="000000" w:themeColor="text1"/>
          <w:szCs w:val="21"/>
        </w:rPr>
        <w:t>）利率</w:t>
      </w:r>
      <w:r>
        <w:rPr>
          <w:rFonts w:eastAsiaTheme="minorEastAsia"/>
          <w:color w:val="000000" w:themeColor="text1"/>
          <w:szCs w:val="21"/>
        </w:rPr>
        <w:t>15bp</w:t>
      </w:r>
      <w:r>
        <w:rPr>
          <w:rFonts w:eastAsiaTheme="minorEastAsia"/>
          <w:color w:val="000000" w:themeColor="text1"/>
          <w:szCs w:val="21"/>
        </w:rPr>
        <w:t>，超出市场预期，债市进一步走强。临近</w:t>
      </w:r>
      <w:r>
        <w:rPr>
          <w:rFonts w:eastAsiaTheme="minorEastAsia"/>
          <w:color w:val="000000" w:themeColor="text1"/>
          <w:szCs w:val="21"/>
        </w:rPr>
        <w:t>8</w:t>
      </w:r>
      <w:r>
        <w:rPr>
          <w:rFonts w:eastAsiaTheme="minorEastAsia"/>
          <w:color w:val="000000" w:themeColor="text1"/>
          <w:szCs w:val="21"/>
        </w:rPr>
        <w:t>月末，各项稳地产相关政策陆续落地，对债市形成冲击，叠加资金面持续偏紧，收益率转向上行。</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日，金融数据公布后，债市走出利空出尽的行情，但此后在好于预期的</w:t>
      </w:r>
      <w:r>
        <w:rPr>
          <w:rFonts w:eastAsiaTheme="minorEastAsia"/>
          <w:color w:val="000000" w:themeColor="text1"/>
          <w:szCs w:val="21"/>
        </w:rPr>
        <w:t>8</w:t>
      </w:r>
      <w:r>
        <w:rPr>
          <w:rFonts w:eastAsiaTheme="minorEastAsia"/>
          <w:color w:val="000000" w:themeColor="text1"/>
          <w:szCs w:val="21"/>
        </w:rPr>
        <w:t>月经济数据公布后，收益率转向上行。当月跨季资金面偏紧，但央行大量的逆回购投放显示出对市场的呵护，收益率整体震荡。</w:t>
      </w:r>
    </w:p>
    <w:p w:rsidR="00322FBC" w:rsidRDefault="00A2076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本基金在三季度合理把握市场节奏，继续进行配置，并增加杠杆，主要配置品种是政策性银行债及高等级商业银行金融债。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展望后市，当前政策对于稳增长的诉求在增强，在前期政策逐步落地的情况下，后续仍有增量政策加码的可能性。当前处于政策效果的观察期。考虑到从政策出台到地产新房销售等其他经</w:t>
      </w:r>
      <w:r w:rsidRPr="00B27A29">
        <w:rPr>
          <w:rFonts w:eastAsiaTheme="minorEastAsia"/>
          <w:color w:val="000000" w:themeColor="text1"/>
          <w:szCs w:val="21"/>
        </w:rPr>
        <w:lastRenderedPageBreak/>
        <w:t>济指标的传导尚需一定时间，年内经济数据或难以看到明显改善，但趋势上应逐步向好。在这一宏观背景下，我们将密切关注地产销售等反应政策效果的经济、行业指标。</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322FBC" w:rsidRDefault="00A2076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本报告期摩根瑞泰</w:t>
      </w:r>
      <w:r>
        <w:rPr>
          <w:rFonts w:eastAsiaTheme="minorEastAsia"/>
          <w:color w:val="000000" w:themeColor="text1"/>
          <w:szCs w:val="21"/>
        </w:rPr>
        <w:t>38</w:t>
      </w:r>
      <w:r>
        <w:rPr>
          <w:rFonts w:eastAsiaTheme="minorEastAsia"/>
          <w:color w:val="000000" w:themeColor="text1"/>
          <w:szCs w:val="21"/>
        </w:rPr>
        <w:t>个月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:0.54%</w:t>
      </w:r>
      <w:r>
        <w:rPr>
          <w:rFonts w:eastAsiaTheme="minorEastAsia"/>
          <w:color w:val="000000" w:themeColor="text1"/>
          <w:szCs w:val="21"/>
        </w:rPr>
        <w:t>，同期业绩比较基准收益率为</w:t>
      </w:r>
      <w:r>
        <w:rPr>
          <w:rFonts w:eastAsiaTheme="minorEastAsia"/>
          <w:color w:val="000000" w:themeColor="text1"/>
          <w:szCs w:val="21"/>
        </w:rPr>
        <w:t>:0.96%</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:0.48%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:0.96%</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13,161,384,805.29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99.93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13,161,384,805.29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99.93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1,995,287.67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4,823,530.01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3,006,479.45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13,171,210,102.42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13,161,384,805.29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163.37</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8,479,106,625.13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105.25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13,161,384,805.29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163.37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322FBC">
        <w:tc>
          <w:tcPr>
            <w:tcW w:w="1504" w:type="dxa"/>
            <w:vAlign w:val="center"/>
          </w:tcPr>
          <w:p w:rsidR="00322FBC" w:rsidRDefault="00A2076F">
            <w:pPr>
              <w:jc w:val="center"/>
            </w:pPr>
            <w:r>
              <w:rPr>
                <w:rFonts w:eastAsiaTheme="minorEastAsia"/>
                <w:color w:val="000000" w:themeColor="text1"/>
                <w:szCs w:val="21"/>
              </w:rPr>
              <w:t>1</w:t>
            </w:r>
          </w:p>
        </w:tc>
        <w:tc>
          <w:tcPr>
            <w:tcW w:w="1504" w:type="dxa"/>
            <w:vAlign w:val="center"/>
          </w:tcPr>
          <w:p w:rsidR="00322FBC" w:rsidRDefault="00A2076F">
            <w:pPr>
              <w:jc w:val="center"/>
            </w:pPr>
            <w:r>
              <w:rPr>
                <w:rFonts w:eastAsiaTheme="minorEastAsia"/>
                <w:color w:val="000000" w:themeColor="text1"/>
                <w:szCs w:val="21"/>
              </w:rPr>
              <w:t>160210</w:t>
            </w:r>
          </w:p>
        </w:tc>
        <w:tc>
          <w:tcPr>
            <w:tcW w:w="1504" w:type="dxa"/>
            <w:vAlign w:val="center"/>
          </w:tcPr>
          <w:p w:rsidR="00322FBC" w:rsidRDefault="00A2076F">
            <w:pPr>
              <w:jc w:val="center"/>
            </w:pPr>
            <w:r>
              <w:rPr>
                <w:rFonts w:eastAsiaTheme="minorEastAsia"/>
                <w:color w:val="000000" w:themeColor="text1"/>
                <w:szCs w:val="21"/>
              </w:rPr>
              <w:t>16</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rsidR="00322FBC" w:rsidRDefault="00A2076F">
            <w:pPr>
              <w:jc w:val="right"/>
            </w:pPr>
            <w:r>
              <w:rPr>
                <w:rFonts w:eastAsiaTheme="minorEastAsia"/>
                <w:color w:val="000000" w:themeColor="text1"/>
                <w:szCs w:val="21"/>
              </w:rPr>
              <w:t>31,100,000</w:t>
            </w:r>
          </w:p>
        </w:tc>
        <w:tc>
          <w:tcPr>
            <w:tcW w:w="1503" w:type="dxa"/>
            <w:vAlign w:val="center"/>
          </w:tcPr>
          <w:p w:rsidR="00322FBC" w:rsidRDefault="00A2076F">
            <w:pPr>
              <w:jc w:val="right"/>
            </w:pPr>
            <w:r>
              <w:rPr>
                <w:rFonts w:eastAsiaTheme="minorEastAsia"/>
                <w:color w:val="000000" w:themeColor="text1"/>
                <w:szCs w:val="21"/>
              </w:rPr>
              <w:t>3,212,495,101.86</w:t>
            </w:r>
          </w:p>
        </w:tc>
        <w:tc>
          <w:tcPr>
            <w:tcW w:w="1503" w:type="dxa"/>
            <w:vAlign w:val="center"/>
          </w:tcPr>
          <w:p w:rsidR="00322FBC" w:rsidRDefault="00A2076F">
            <w:pPr>
              <w:jc w:val="right"/>
            </w:pPr>
            <w:r>
              <w:rPr>
                <w:rFonts w:eastAsiaTheme="minorEastAsia"/>
                <w:color w:val="000000" w:themeColor="text1"/>
                <w:szCs w:val="21"/>
              </w:rPr>
              <w:t>39.88</w:t>
            </w:r>
          </w:p>
        </w:tc>
      </w:tr>
      <w:tr w:rsidR="00322FBC">
        <w:tc>
          <w:tcPr>
            <w:tcW w:w="1504" w:type="dxa"/>
            <w:vAlign w:val="center"/>
          </w:tcPr>
          <w:p w:rsidR="00322FBC" w:rsidRDefault="00A2076F">
            <w:pPr>
              <w:jc w:val="center"/>
            </w:pPr>
            <w:r>
              <w:rPr>
                <w:rFonts w:eastAsiaTheme="minorEastAsia"/>
                <w:color w:val="000000" w:themeColor="text1"/>
                <w:szCs w:val="21"/>
              </w:rPr>
              <w:t>2</w:t>
            </w:r>
          </w:p>
        </w:tc>
        <w:tc>
          <w:tcPr>
            <w:tcW w:w="1504" w:type="dxa"/>
            <w:vAlign w:val="center"/>
          </w:tcPr>
          <w:p w:rsidR="00322FBC" w:rsidRDefault="00A2076F">
            <w:pPr>
              <w:jc w:val="center"/>
            </w:pPr>
            <w:r>
              <w:rPr>
                <w:rFonts w:eastAsiaTheme="minorEastAsia"/>
                <w:color w:val="000000" w:themeColor="text1"/>
                <w:szCs w:val="21"/>
              </w:rPr>
              <w:t>190408</w:t>
            </w:r>
          </w:p>
        </w:tc>
        <w:tc>
          <w:tcPr>
            <w:tcW w:w="1504" w:type="dxa"/>
            <w:vAlign w:val="center"/>
          </w:tcPr>
          <w:p w:rsidR="00322FBC" w:rsidRDefault="00A2076F">
            <w:pPr>
              <w:jc w:val="center"/>
            </w:pPr>
            <w:r>
              <w:rPr>
                <w:rFonts w:eastAsiaTheme="minorEastAsia"/>
                <w:color w:val="000000" w:themeColor="text1"/>
                <w:szCs w:val="21"/>
              </w:rPr>
              <w:t>19</w:t>
            </w:r>
            <w:r>
              <w:rPr>
                <w:rFonts w:eastAsiaTheme="minorEastAsia"/>
                <w:color w:val="000000" w:themeColor="text1"/>
                <w:szCs w:val="21"/>
              </w:rPr>
              <w:t>农发</w:t>
            </w:r>
            <w:r>
              <w:rPr>
                <w:rFonts w:eastAsiaTheme="minorEastAsia"/>
                <w:color w:val="000000" w:themeColor="text1"/>
                <w:szCs w:val="21"/>
              </w:rPr>
              <w:t>08</w:t>
            </w:r>
          </w:p>
        </w:tc>
        <w:tc>
          <w:tcPr>
            <w:tcW w:w="1503" w:type="dxa"/>
            <w:vAlign w:val="center"/>
          </w:tcPr>
          <w:p w:rsidR="00322FBC" w:rsidRDefault="00A2076F">
            <w:pPr>
              <w:jc w:val="right"/>
            </w:pPr>
            <w:r>
              <w:rPr>
                <w:rFonts w:eastAsiaTheme="minorEastAsia"/>
                <w:color w:val="000000" w:themeColor="text1"/>
                <w:szCs w:val="21"/>
              </w:rPr>
              <w:t>25,400,000</w:t>
            </w:r>
          </w:p>
        </w:tc>
        <w:tc>
          <w:tcPr>
            <w:tcW w:w="1503" w:type="dxa"/>
            <w:vAlign w:val="center"/>
          </w:tcPr>
          <w:p w:rsidR="00322FBC" w:rsidRDefault="00A2076F">
            <w:pPr>
              <w:jc w:val="right"/>
            </w:pPr>
            <w:r>
              <w:rPr>
                <w:rFonts w:eastAsiaTheme="minorEastAsia"/>
                <w:color w:val="000000" w:themeColor="text1"/>
                <w:szCs w:val="21"/>
              </w:rPr>
              <w:t>2,638,154,914.22</w:t>
            </w:r>
          </w:p>
        </w:tc>
        <w:tc>
          <w:tcPr>
            <w:tcW w:w="1503" w:type="dxa"/>
            <w:vAlign w:val="center"/>
          </w:tcPr>
          <w:p w:rsidR="00322FBC" w:rsidRDefault="00A2076F">
            <w:pPr>
              <w:jc w:val="right"/>
            </w:pPr>
            <w:r>
              <w:rPr>
                <w:rFonts w:eastAsiaTheme="minorEastAsia"/>
                <w:color w:val="000000" w:themeColor="text1"/>
                <w:szCs w:val="21"/>
              </w:rPr>
              <w:t>32.75</w:t>
            </w:r>
          </w:p>
        </w:tc>
      </w:tr>
      <w:tr w:rsidR="00322FBC">
        <w:tc>
          <w:tcPr>
            <w:tcW w:w="1504" w:type="dxa"/>
            <w:vAlign w:val="center"/>
          </w:tcPr>
          <w:p w:rsidR="00322FBC" w:rsidRDefault="00A2076F">
            <w:pPr>
              <w:jc w:val="center"/>
            </w:pPr>
            <w:r>
              <w:rPr>
                <w:rFonts w:eastAsiaTheme="minorEastAsia"/>
                <w:color w:val="000000" w:themeColor="text1"/>
                <w:szCs w:val="21"/>
              </w:rPr>
              <w:t>3</w:t>
            </w:r>
          </w:p>
        </w:tc>
        <w:tc>
          <w:tcPr>
            <w:tcW w:w="1504" w:type="dxa"/>
            <w:vAlign w:val="center"/>
          </w:tcPr>
          <w:p w:rsidR="00322FBC" w:rsidRDefault="00A2076F">
            <w:pPr>
              <w:jc w:val="center"/>
            </w:pPr>
            <w:r>
              <w:rPr>
                <w:rFonts w:eastAsiaTheme="minorEastAsia"/>
                <w:color w:val="000000" w:themeColor="text1"/>
                <w:szCs w:val="21"/>
              </w:rPr>
              <w:t>230405</w:t>
            </w:r>
          </w:p>
        </w:tc>
        <w:tc>
          <w:tcPr>
            <w:tcW w:w="1504" w:type="dxa"/>
            <w:vAlign w:val="center"/>
          </w:tcPr>
          <w:p w:rsidR="00322FBC" w:rsidRDefault="00A2076F">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05</w:t>
            </w:r>
          </w:p>
        </w:tc>
        <w:tc>
          <w:tcPr>
            <w:tcW w:w="1503" w:type="dxa"/>
            <w:vAlign w:val="center"/>
          </w:tcPr>
          <w:p w:rsidR="00322FBC" w:rsidRDefault="00A2076F">
            <w:pPr>
              <w:jc w:val="right"/>
            </w:pPr>
            <w:r>
              <w:rPr>
                <w:rFonts w:eastAsiaTheme="minorEastAsia"/>
                <w:color w:val="000000" w:themeColor="text1"/>
                <w:szCs w:val="21"/>
              </w:rPr>
              <w:t>14,200,000</w:t>
            </w:r>
          </w:p>
        </w:tc>
        <w:tc>
          <w:tcPr>
            <w:tcW w:w="1503" w:type="dxa"/>
            <w:vAlign w:val="center"/>
          </w:tcPr>
          <w:p w:rsidR="00322FBC" w:rsidRDefault="00A2076F">
            <w:pPr>
              <w:jc w:val="right"/>
            </w:pPr>
            <w:r>
              <w:rPr>
                <w:rFonts w:eastAsiaTheme="minorEastAsia"/>
                <w:color w:val="000000" w:themeColor="text1"/>
                <w:szCs w:val="21"/>
              </w:rPr>
              <w:t>1,440,365,988.96</w:t>
            </w:r>
          </w:p>
        </w:tc>
        <w:tc>
          <w:tcPr>
            <w:tcW w:w="1503" w:type="dxa"/>
            <w:vAlign w:val="center"/>
          </w:tcPr>
          <w:p w:rsidR="00322FBC" w:rsidRDefault="00A2076F">
            <w:pPr>
              <w:jc w:val="right"/>
            </w:pPr>
            <w:r>
              <w:rPr>
                <w:rFonts w:eastAsiaTheme="minorEastAsia"/>
                <w:color w:val="000000" w:themeColor="text1"/>
                <w:szCs w:val="21"/>
              </w:rPr>
              <w:t>17.88</w:t>
            </w:r>
          </w:p>
        </w:tc>
      </w:tr>
      <w:tr w:rsidR="00322FBC">
        <w:tc>
          <w:tcPr>
            <w:tcW w:w="1504" w:type="dxa"/>
            <w:vAlign w:val="center"/>
          </w:tcPr>
          <w:p w:rsidR="00322FBC" w:rsidRDefault="00A2076F">
            <w:pPr>
              <w:jc w:val="center"/>
            </w:pPr>
            <w:r>
              <w:rPr>
                <w:rFonts w:eastAsiaTheme="minorEastAsia"/>
                <w:color w:val="000000" w:themeColor="text1"/>
                <w:szCs w:val="21"/>
              </w:rPr>
              <w:t>4</w:t>
            </w:r>
          </w:p>
        </w:tc>
        <w:tc>
          <w:tcPr>
            <w:tcW w:w="1504" w:type="dxa"/>
            <w:vAlign w:val="center"/>
          </w:tcPr>
          <w:p w:rsidR="00322FBC" w:rsidRDefault="00A2076F">
            <w:pPr>
              <w:jc w:val="center"/>
            </w:pPr>
            <w:r>
              <w:rPr>
                <w:rFonts w:eastAsiaTheme="minorEastAsia"/>
                <w:color w:val="000000" w:themeColor="text1"/>
                <w:szCs w:val="21"/>
              </w:rPr>
              <w:t>212300002</w:t>
            </w:r>
          </w:p>
        </w:tc>
        <w:tc>
          <w:tcPr>
            <w:tcW w:w="1504" w:type="dxa"/>
            <w:vAlign w:val="center"/>
          </w:tcPr>
          <w:p w:rsidR="00322FBC" w:rsidRDefault="00A2076F">
            <w:pPr>
              <w:jc w:val="center"/>
            </w:pPr>
            <w:r>
              <w:rPr>
                <w:rFonts w:eastAsiaTheme="minorEastAsia"/>
                <w:color w:val="000000" w:themeColor="text1"/>
                <w:szCs w:val="21"/>
              </w:rPr>
              <w:t>23</w:t>
            </w:r>
            <w:r>
              <w:rPr>
                <w:rFonts w:eastAsiaTheme="minorEastAsia"/>
                <w:color w:val="000000" w:themeColor="text1"/>
                <w:szCs w:val="21"/>
              </w:rPr>
              <w:t>江苏银行债</w:t>
            </w:r>
            <w:r>
              <w:rPr>
                <w:rFonts w:eastAsiaTheme="minorEastAsia"/>
                <w:color w:val="000000" w:themeColor="text1"/>
                <w:szCs w:val="21"/>
              </w:rPr>
              <w:t>01</w:t>
            </w:r>
          </w:p>
        </w:tc>
        <w:tc>
          <w:tcPr>
            <w:tcW w:w="1503" w:type="dxa"/>
            <w:vAlign w:val="center"/>
          </w:tcPr>
          <w:p w:rsidR="00322FBC" w:rsidRDefault="00A2076F">
            <w:pPr>
              <w:jc w:val="right"/>
            </w:pPr>
            <w:r>
              <w:rPr>
                <w:rFonts w:eastAsiaTheme="minorEastAsia"/>
                <w:color w:val="000000" w:themeColor="text1"/>
                <w:szCs w:val="21"/>
              </w:rPr>
              <w:t>5,500,000</w:t>
            </w:r>
          </w:p>
        </w:tc>
        <w:tc>
          <w:tcPr>
            <w:tcW w:w="1503" w:type="dxa"/>
            <w:vAlign w:val="center"/>
          </w:tcPr>
          <w:p w:rsidR="00322FBC" w:rsidRDefault="00A2076F">
            <w:pPr>
              <w:jc w:val="right"/>
            </w:pPr>
            <w:r>
              <w:rPr>
                <w:rFonts w:eastAsiaTheme="minorEastAsia"/>
                <w:color w:val="000000" w:themeColor="text1"/>
                <w:szCs w:val="21"/>
              </w:rPr>
              <w:t>553,958,002.73</w:t>
            </w:r>
          </w:p>
        </w:tc>
        <w:tc>
          <w:tcPr>
            <w:tcW w:w="1503" w:type="dxa"/>
            <w:vAlign w:val="center"/>
          </w:tcPr>
          <w:p w:rsidR="00322FBC" w:rsidRDefault="00A2076F">
            <w:pPr>
              <w:jc w:val="right"/>
            </w:pPr>
            <w:r>
              <w:rPr>
                <w:rFonts w:eastAsiaTheme="minorEastAsia"/>
                <w:color w:val="000000" w:themeColor="text1"/>
                <w:szCs w:val="21"/>
              </w:rPr>
              <w:t>6.88</w:t>
            </w:r>
          </w:p>
        </w:tc>
      </w:tr>
      <w:tr w:rsidR="00322FBC">
        <w:tc>
          <w:tcPr>
            <w:tcW w:w="1504" w:type="dxa"/>
            <w:vAlign w:val="center"/>
          </w:tcPr>
          <w:p w:rsidR="00322FBC" w:rsidRDefault="00A2076F">
            <w:pPr>
              <w:jc w:val="center"/>
            </w:pPr>
            <w:r>
              <w:rPr>
                <w:rFonts w:eastAsiaTheme="minorEastAsia"/>
                <w:color w:val="000000" w:themeColor="text1"/>
                <w:szCs w:val="21"/>
              </w:rPr>
              <w:lastRenderedPageBreak/>
              <w:t>5</w:t>
            </w:r>
          </w:p>
        </w:tc>
        <w:tc>
          <w:tcPr>
            <w:tcW w:w="1504" w:type="dxa"/>
            <w:vAlign w:val="center"/>
          </w:tcPr>
          <w:p w:rsidR="00322FBC" w:rsidRDefault="00A2076F">
            <w:pPr>
              <w:jc w:val="center"/>
            </w:pPr>
            <w:r>
              <w:rPr>
                <w:rFonts w:eastAsiaTheme="minorEastAsia"/>
                <w:color w:val="000000" w:themeColor="text1"/>
                <w:szCs w:val="21"/>
              </w:rPr>
              <w:t>2328018</w:t>
            </w:r>
          </w:p>
        </w:tc>
        <w:tc>
          <w:tcPr>
            <w:tcW w:w="1504" w:type="dxa"/>
            <w:vAlign w:val="center"/>
          </w:tcPr>
          <w:p w:rsidR="00322FBC" w:rsidRDefault="00A2076F">
            <w:pPr>
              <w:jc w:val="center"/>
            </w:pPr>
            <w:r>
              <w:rPr>
                <w:rFonts w:eastAsiaTheme="minorEastAsia"/>
                <w:color w:val="000000" w:themeColor="text1"/>
                <w:szCs w:val="21"/>
              </w:rPr>
              <w:t>23</w:t>
            </w:r>
            <w:r>
              <w:rPr>
                <w:rFonts w:eastAsiaTheme="minorEastAsia"/>
                <w:color w:val="000000" w:themeColor="text1"/>
                <w:szCs w:val="21"/>
              </w:rPr>
              <w:t>兴业银行绿色金融债</w:t>
            </w:r>
            <w:r>
              <w:rPr>
                <w:rFonts w:eastAsiaTheme="minorEastAsia"/>
                <w:color w:val="000000" w:themeColor="text1"/>
                <w:szCs w:val="21"/>
              </w:rPr>
              <w:t>02</w:t>
            </w:r>
          </w:p>
        </w:tc>
        <w:tc>
          <w:tcPr>
            <w:tcW w:w="1503" w:type="dxa"/>
            <w:vAlign w:val="center"/>
          </w:tcPr>
          <w:p w:rsidR="00322FBC" w:rsidRDefault="00A2076F">
            <w:pPr>
              <w:jc w:val="right"/>
            </w:pPr>
            <w:r>
              <w:rPr>
                <w:rFonts w:eastAsiaTheme="minorEastAsia"/>
                <w:color w:val="000000" w:themeColor="text1"/>
                <w:szCs w:val="21"/>
              </w:rPr>
              <w:t>5,200,000</w:t>
            </w:r>
          </w:p>
        </w:tc>
        <w:tc>
          <w:tcPr>
            <w:tcW w:w="1503" w:type="dxa"/>
            <w:vAlign w:val="center"/>
          </w:tcPr>
          <w:p w:rsidR="00322FBC" w:rsidRDefault="00A2076F">
            <w:pPr>
              <w:jc w:val="right"/>
            </w:pPr>
            <w:r>
              <w:rPr>
                <w:rFonts w:eastAsiaTheme="minorEastAsia"/>
                <w:color w:val="000000" w:themeColor="text1"/>
                <w:szCs w:val="21"/>
              </w:rPr>
              <w:t>523,831,615.02</w:t>
            </w:r>
          </w:p>
        </w:tc>
        <w:tc>
          <w:tcPr>
            <w:tcW w:w="1503" w:type="dxa"/>
            <w:vAlign w:val="center"/>
          </w:tcPr>
          <w:p w:rsidR="00322FBC" w:rsidRDefault="00A2076F">
            <w:pPr>
              <w:jc w:val="right"/>
            </w:pPr>
            <w:r>
              <w:rPr>
                <w:rFonts w:eastAsiaTheme="minorEastAsia"/>
                <w:color w:val="000000" w:themeColor="text1"/>
                <w:szCs w:val="21"/>
              </w:rPr>
              <w:t>6.50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3,006,479.45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3,006,479.45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摩根瑞泰</w:t>
            </w:r>
            <w:r w:rsidRPr="00B27A29">
              <w:rPr>
                <w:rFonts w:eastAsiaTheme="minorEastAsia"/>
                <w:color w:val="000000" w:themeColor="text1"/>
                <w:szCs w:val="21"/>
              </w:rPr>
              <w:t>38</w:t>
            </w:r>
            <w:r w:rsidRPr="00B27A29">
              <w:rPr>
                <w:rFonts w:eastAsiaTheme="minorEastAsia"/>
                <w:color w:val="000000" w:themeColor="text1"/>
                <w:szCs w:val="21"/>
              </w:rPr>
              <w:t>个月定期开放债券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7,923,440,765.03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14,967.52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7,923,440,765.03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14,967.52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w:t>
            </w:r>
            <w:r w:rsidRPr="00B27A29">
              <w:rPr>
                <w:color w:val="000000"/>
                <w:kern w:val="0"/>
                <w:szCs w:val="21"/>
              </w:rPr>
              <w:lastRenderedPageBreak/>
              <w:t>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lastRenderedPageBreak/>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322FBC">
        <w:tc>
          <w:tcPr>
            <w:tcW w:w="993" w:type="dxa"/>
            <w:vMerge w:val="restart"/>
            <w:vAlign w:val="center"/>
          </w:tcPr>
          <w:p w:rsidR="00322FBC" w:rsidRDefault="00A2076F">
            <w:r>
              <w:rPr>
                <w:bCs/>
                <w:color w:val="000000"/>
                <w:kern w:val="0"/>
                <w:szCs w:val="21"/>
              </w:rPr>
              <w:t>机构</w:t>
            </w:r>
          </w:p>
        </w:tc>
        <w:tc>
          <w:tcPr>
            <w:tcW w:w="992" w:type="dxa"/>
            <w:vAlign w:val="center"/>
          </w:tcPr>
          <w:p w:rsidR="00322FBC" w:rsidRDefault="00A2076F">
            <w:pPr>
              <w:jc w:val="center"/>
            </w:pPr>
            <w:r>
              <w:rPr>
                <w:color w:val="000000"/>
                <w:kern w:val="0"/>
                <w:szCs w:val="21"/>
              </w:rPr>
              <w:t>1</w:t>
            </w:r>
          </w:p>
        </w:tc>
        <w:tc>
          <w:tcPr>
            <w:tcW w:w="1843" w:type="dxa"/>
            <w:vAlign w:val="center"/>
          </w:tcPr>
          <w:p w:rsidR="00322FBC" w:rsidRDefault="00A2076F">
            <w:pPr>
              <w:jc w:val="center"/>
            </w:pPr>
            <w:r>
              <w:rPr>
                <w:color w:val="000000"/>
                <w:kern w:val="0"/>
                <w:szCs w:val="21"/>
              </w:rPr>
              <w:t>20230701-20230930</w:t>
            </w:r>
          </w:p>
        </w:tc>
        <w:tc>
          <w:tcPr>
            <w:tcW w:w="851" w:type="dxa"/>
            <w:vAlign w:val="center"/>
          </w:tcPr>
          <w:p w:rsidR="00322FBC" w:rsidRDefault="00A2076F">
            <w:pPr>
              <w:jc w:val="center"/>
            </w:pPr>
            <w:r>
              <w:rPr>
                <w:color w:val="000000"/>
                <w:kern w:val="0"/>
                <w:szCs w:val="21"/>
              </w:rPr>
              <w:t>2,036,922,000.69</w:t>
            </w:r>
          </w:p>
        </w:tc>
        <w:tc>
          <w:tcPr>
            <w:tcW w:w="850" w:type="dxa"/>
            <w:vAlign w:val="center"/>
          </w:tcPr>
          <w:p w:rsidR="00322FBC" w:rsidRDefault="00A2076F">
            <w:pPr>
              <w:jc w:val="center"/>
            </w:pPr>
            <w:r>
              <w:rPr>
                <w:color w:val="000000"/>
                <w:kern w:val="0"/>
                <w:szCs w:val="21"/>
              </w:rPr>
              <w:t>0.00</w:t>
            </w:r>
          </w:p>
        </w:tc>
        <w:tc>
          <w:tcPr>
            <w:tcW w:w="1134" w:type="dxa"/>
            <w:vAlign w:val="center"/>
          </w:tcPr>
          <w:p w:rsidR="00322FBC" w:rsidRDefault="00A2076F">
            <w:pPr>
              <w:jc w:val="center"/>
            </w:pPr>
            <w:r>
              <w:rPr>
                <w:color w:val="000000"/>
                <w:kern w:val="0"/>
                <w:szCs w:val="21"/>
              </w:rPr>
              <w:t>0.00</w:t>
            </w:r>
          </w:p>
        </w:tc>
        <w:tc>
          <w:tcPr>
            <w:tcW w:w="1419" w:type="dxa"/>
            <w:vAlign w:val="center"/>
          </w:tcPr>
          <w:p w:rsidR="00322FBC" w:rsidRDefault="00A2076F">
            <w:pPr>
              <w:jc w:val="center"/>
            </w:pPr>
            <w:r>
              <w:rPr>
                <w:color w:val="000000"/>
                <w:kern w:val="0"/>
                <w:szCs w:val="21"/>
              </w:rPr>
              <w:t>2,036,922,000.69</w:t>
            </w:r>
          </w:p>
        </w:tc>
        <w:tc>
          <w:tcPr>
            <w:tcW w:w="1130" w:type="dxa"/>
            <w:vAlign w:val="center"/>
          </w:tcPr>
          <w:p w:rsidR="00322FBC" w:rsidRDefault="00A2076F">
            <w:pPr>
              <w:jc w:val="center"/>
            </w:pPr>
            <w:r>
              <w:rPr>
                <w:color w:val="000000"/>
                <w:kern w:val="0"/>
                <w:szCs w:val="21"/>
              </w:rPr>
              <w:t>25.71%</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322FBC" w:rsidRDefault="00A2076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322FBC" w:rsidRDefault="00A2076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、摩根瑞泰</w:t>
      </w:r>
      <w:r>
        <w:rPr>
          <w:rFonts w:eastAsiaTheme="minorEastAsia"/>
          <w:color w:val="000000" w:themeColor="text1"/>
          <w:szCs w:val="21"/>
        </w:rPr>
        <w:t>38</w:t>
      </w:r>
      <w:r>
        <w:rPr>
          <w:rFonts w:eastAsiaTheme="minorEastAsia"/>
          <w:color w:val="000000" w:themeColor="text1"/>
          <w:szCs w:val="21"/>
        </w:rPr>
        <w:t>个月定期开放债券型证券投资基金基金合同</w:t>
      </w:r>
    </w:p>
    <w:p w:rsidR="00322FBC" w:rsidRDefault="00A2076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、摩根瑞泰</w:t>
      </w:r>
      <w:r>
        <w:rPr>
          <w:rFonts w:eastAsiaTheme="minorEastAsia"/>
          <w:color w:val="000000" w:themeColor="text1"/>
          <w:szCs w:val="21"/>
        </w:rPr>
        <w:t>38</w:t>
      </w:r>
      <w:r>
        <w:rPr>
          <w:rFonts w:eastAsiaTheme="minorEastAsia"/>
          <w:color w:val="000000" w:themeColor="text1"/>
          <w:szCs w:val="21"/>
        </w:rPr>
        <w:t>个月定期开放债券型证券投资基金托管协议</w:t>
      </w:r>
    </w:p>
    <w:p w:rsidR="00322FBC" w:rsidRDefault="00A2076F">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、基金管理人业务资格批件、营业执照</w:t>
      </w:r>
    </w:p>
    <w:p w:rsidR="00322FBC" w:rsidRDefault="00A2076F">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、基金托管人业务资格批件、营业执照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、摩根基金管理（中国）有限公司开放式基金业务规则</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2076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2076F">
      <w:rPr>
        <w:noProof/>
        <w:kern w:val="0"/>
        <w:szCs w:val="21"/>
      </w:rPr>
      <w:t>12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A2076F">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摩根瑞泰</w:t>
    </w:r>
    <w:r>
      <w:t>38</w:t>
    </w:r>
    <w:r>
      <w:t>个月定期开放债券型证券投资基金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2FBC"/>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076F"/>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0C5F51-5A76-4085-AE15-7E347950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12</Pages>
  <Words>1050</Words>
  <Characters>5985</Characters>
  <Application>Microsoft Office Word</Application>
  <DocSecurity>0</DocSecurity>
  <Lines>49</Lines>
  <Paragraphs>14</Paragraphs>
  <ScaleCrop>false</ScaleCrop>
  <Company>TRT. Ltd. Co.</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2023-10-24T07:31:00Z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