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7,923,455,732.55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D38D1" w:rsidRDefault="00AF4F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7,923,440,765.03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14,967.52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39,960,275.53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39,960,275.53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8,056,302,514.68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15,188.71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1.0148</w:t>
            </w:r>
          </w:p>
        </w:tc>
      </w:tr>
    </w:tbl>
    <w:p w:rsidR="006D38D1" w:rsidRDefault="00AF4F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D38D1">
        <w:tc>
          <w:tcPr>
            <w:tcW w:w="1290" w:type="dxa"/>
            <w:vAlign w:val="center"/>
          </w:tcPr>
          <w:p w:rsidR="006D38D1" w:rsidRDefault="00AF4FA0">
            <w:pPr>
              <w:jc w:val="left"/>
            </w:pPr>
            <w:r>
              <w:rPr>
                <w:rFonts w:eastAsiaTheme="minorEastAsia"/>
                <w:color w:val="000000" w:themeColor="text1"/>
                <w:szCs w:val="21"/>
              </w:rPr>
              <w:t>过去三个月</w:t>
            </w:r>
          </w:p>
        </w:tc>
        <w:tc>
          <w:tcPr>
            <w:tcW w:w="1291" w:type="dxa"/>
            <w:vAlign w:val="center"/>
          </w:tcPr>
          <w:p w:rsidR="006D38D1" w:rsidRDefault="00AF4FA0">
            <w:pPr>
              <w:jc w:val="right"/>
            </w:pPr>
            <w:r>
              <w:rPr>
                <w:rFonts w:eastAsiaTheme="minorEastAsia"/>
                <w:color w:val="000000" w:themeColor="text1"/>
                <w:szCs w:val="21"/>
              </w:rPr>
              <w:t>0.50%</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0.96%</w:t>
            </w:r>
          </w:p>
        </w:tc>
        <w:tc>
          <w:tcPr>
            <w:tcW w:w="1291" w:type="dxa"/>
            <w:vAlign w:val="center"/>
          </w:tcPr>
          <w:p w:rsidR="006D38D1" w:rsidRDefault="00AF4FA0" w:rsidP="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-0.46%</w:t>
            </w:r>
          </w:p>
        </w:tc>
        <w:tc>
          <w:tcPr>
            <w:tcW w:w="1291" w:type="dxa"/>
            <w:vAlign w:val="center"/>
          </w:tcPr>
          <w:p w:rsidR="006D38D1" w:rsidRDefault="00AF4FA0" w:rsidP="00AF4FA0">
            <w:pPr>
              <w:jc w:val="right"/>
            </w:pPr>
            <w:r>
              <w:rPr>
                <w:rFonts w:eastAsiaTheme="minorEastAsia"/>
                <w:color w:val="000000" w:themeColor="text1"/>
                <w:szCs w:val="21"/>
              </w:rPr>
              <w:t>0.00%</w:t>
            </w:r>
          </w:p>
        </w:tc>
      </w:tr>
      <w:tr w:rsidR="006D38D1">
        <w:tc>
          <w:tcPr>
            <w:tcW w:w="1290" w:type="dxa"/>
            <w:vAlign w:val="center"/>
          </w:tcPr>
          <w:p w:rsidR="006D38D1" w:rsidRDefault="00AF4FA0">
            <w:pPr>
              <w:jc w:val="left"/>
            </w:pPr>
            <w:r>
              <w:rPr>
                <w:rFonts w:eastAsiaTheme="minorEastAsia"/>
                <w:color w:val="000000" w:themeColor="text1"/>
                <w:szCs w:val="21"/>
              </w:rPr>
              <w:t>过去六个月</w:t>
            </w:r>
          </w:p>
        </w:tc>
        <w:tc>
          <w:tcPr>
            <w:tcW w:w="1291" w:type="dxa"/>
            <w:vAlign w:val="center"/>
          </w:tcPr>
          <w:p w:rsidR="006D38D1" w:rsidRDefault="00AF4FA0">
            <w:pPr>
              <w:jc w:val="right"/>
            </w:pPr>
            <w:r>
              <w:rPr>
                <w:rFonts w:eastAsiaTheme="minorEastAsia"/>
                <w:color w:val="000000" w:themeColor="text1"/>
                <w:szCs w:val="21"/>
              </w:rPr>
              <w:t>1.05%</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1.92%</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-0.87%</w:t>
            </w:r>
          </w:p>
        </w:tc>
        <w:tc>
          <w:tcPr>
            <w:tcW w:w="1291" w:type="dxa"/>
            <w:vAlign w:val="center"/>
          </w:tcPr>
          <w:p w:rsidR="006D38D1" w:rsidRDefault="00AF4FA0">
            <w:pPr>
              <w:jc w:val="right"/>
            </w:pPr>
            <w:r>
              <w:rPr>
                <w:rFonts w:eastAsiaTheme="minorEastAsia"/>
                <w:color w:val="000000" w:themeColor="text1"/>
                <w:szCs w:val="21"/>
              </w:rPr>
              <w:t>0.00%</w:t>
            </w:r>
          </w:p>
        </w:tc>
      </w:tr>
      <w:tr w:rsidR="006D38D1">
        <w:tc>
          <w:tcPr>
            <w:tcW w:w="1290" w:type="dxa"/>
            <w:vAlign w:val="center"/>
          </w:tcPr>
          <w:p w:rsidR="006D38D1" w:rsidRDefault="00AF4FA0">
            <w:pPr>
              <w:jc w:val="left"/>
            </w:pPr>
            <w:r>
              <w:rPr>
                <w:rFonts w:eastAsiaTheme="minorEastAsia"/>
                <w:color w:val="000000" w:themeColor="text1"/>
                <w:szCs w:val="21"/>
              </w:rPr>
              <w:t>过去一年</w:t>
            </w:r>
          </w:p>
        </w:tc>
        <w:tc>
          <w:tcPr>
            <w:tcW w:w="1291" w:type="dxa"/>
            <w:vAlign w:val="center"/>
          </w:tcPr>
          <w:p w:rsidR="006D38D1" w:rsidRDefault="00AF4FA0">
            <w:pPr>
              <w:jc w:val="right"/>
            </w:pPr>
            <w:r>
              <w:rPr>
                <w:rFonts w:eastAsiaTheme="minorEastAsia"/>
                <w:color w:val="000000" w:themeColor="text1"/>
                <w:szCs w:val="21"/>
              </w:rPr>
              <w:t>2.43%</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3.80%</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-1.37%</w:t>
            </w:r>
          </w:p>
        </w:tc>
        <w:tc>
          <w:tcPr>
            <w:tcW w:w="1291" w:type="dxa"/>
            <w:vAlign w:val="center"/>
          </w:tcPr>
          <w:p w:rsidR="006D38D1" w:rsidRDefault="00AF4FA0">
            <w:pPr>
              <w:jc w:val="right"/>
            </w:pPr>
            <w:r>
              <w:rPr>
                <w:rFonts w:eastAsiaTheme="minorEastAsia"/>
                <w:color w:val="000000" w:themeColor="text1"/>
                <w:szCs w:val="21"/>
              </w:rPr>
              <w:t>0.00%</w:t>
            </w:r>
          </w:p>
        </w:tc>
      </w:tr>
      <w:tr w:rsidR="006D38D1">
        <w:tc>
          <w:tcPr>
            <w:tcW w:w="1290" w:type="dxa"/>
            <w:vAlign w:val="center"/>
          </w:tcPr>
          <w:p w:rsidR="006D38D1" w:rsidRDefault="00AF4FA0">
            <w:pPr>
              <w:jc w:val="left"/>
            </w:pPr>
            <w:r>
              <w:rPr>
                <w:rFonts w:eastAsiaTheme="minorEastAsia"/>
                <w:color w:val="000000" w:themeColor="text1"/>
                <w:szCs w:val="21"/>
              </w:rPr>
              <w:t>过去三年</w:t>
            </w:r>
          </w:p>
        </w:tc>
        <w:tc>
          <w:tcPr>
            <w:tcW w:w="1291" w:type="dxa"/>
            <w:vAlign w:val="center"/>
          </w:tcPr>
          <w:p w:rsidR="006D38D1" w:rsidRDefault="00AF4FA0">
            <w:pPr>
              <w:jc w:val="right"/>
            </w:pPr>
            <w:r>
              <w:rPr>
                <w:rFonts w:eastAsiaTheme="minorEastAsia"/>
                <w:color w:val="000000" w:themeColor="text1"/>
                <w:szCs w:val="21"/>
              </w:rPr>
              <w:t>8.27%</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11.41%</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-3.14%</w:t>
            </w:r>
          </w:p>
        </w:tc>
        <w:tc>
          <w:tcPr>
            <w:tcW w:w="1291" w:type="dxa"/>
            <w:vAlign w:val="center"/>
          </w:tcPr>
          <w:p w:rsidR="006D38D1" w:rsidRDefault="00AF4FA0">
            <w:pPr>
              <w:jc w:val="right"/>
            </w:pPr>
            <w:r>
              <w:rPr>
                <w:rFonts w:eastAsiaTheme="minorEastAsia"/>
                <w:color w:val="000000" w:themeColor="text1"/>
                <w:szCs w:val="21"/>
              </w:rPr>
              <w:t>0.00%</w:t>
            </w:r>
          </w:p>
        </w:tc>
      </w:tr>
      <w:tr w:rsidR="006D38D1">
        <w:tc>
          <w:tcPr>
            <w:tcW w:w="1290" w:type="dxa"/>
            <w:vAlign w:val="center"/>
          </w:tcPr>
          <w:p w:rsidR="006D38D1" w:rsidRDefault="00AF4FA0">
            <w:pPr>
              <w:jc w:val="left"/>
            </w:pPr>
            <w:r>
              <w:rPr>
                <w:rFonts w:eastAsiaTheme="minorEastAsia"/>
                <w:color w:val="000000" w:themeColor="text1"/>
                <w:szCs w:val="21"/>
              </w:rPr>
              <w:t>过去五年</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r>
      <w:tr w:rsidR="006D38D1">
        <w:tc>
          <w:tcPr>
            <w:tcW w:w="1290" w:type="dxa"/>
            <w:vAlign w:val="center"/>
          </w:tcPr>
          <w:p w:rsidR="006D38D1" w:rsidRDefault="00AF4FA0">
            <w:pPr>
              <w:jc w:val="left"/>
            </w:pPr>
            <w:r>
              <w:rPr>
                <w:rFonts w:eastAsiaTheme="minorEastAsia"/>
                <w:color w:val="000000" w:themeColor="text1"/>
                <w:szCs w:val="21"/>
              </w:rPr>
              <w:t>自基金合同生效起至今</w:t>
            </w:r>
          </w:p>
        </w:tc>
        <w:tc>
          <w:tcPr>
            <w:tcW w:w="1291" w:type="dxa"/>
            <w:vAlign w:val="center"/>
          </w:tcPr>
          <w:p w:rsidR="006D38D1" w:rsidRDefault="00AF4FA0">
            <w:pPr>
              <w:jc w:val="right"/>
            </w:pPr>
            <w:r>
              <w:rPr>
                <w:rFonts w:eastAsiaTheme="minorEastAsia"/>
                <w:color w:val="000000" w:themeColor="text1"/>
                <w:szCs w:val="21"/>
              </w:rPr>
              <w:t>9.54%</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14.42%</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-4.88%</w:t>
            </w:r>
          </w:p>
        </w:tc>
        <w:tc>
          <w:tcPr>
            <w:tcW w:w="1291" w:type="dxa"/>
            <w:vAlign w:val="center"/>
          </w:tcPr>
          <w:p w:rsidR="006D38D1" w:rsidRDefault="00AF4FA0">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D38D1">
        <w:tc>
          <w:tcPr>
            <w:tcW w:w="1290" w:type="dxa"/>
            <w:vAlign w:val="center"/>
          </w:tcPr>
          <w:p w:rsidR="006D38D1" w:rsidRDefault="00AF4FA0">
            <w:pPr>
              <w:jc w:val="left"/>
            </w:pPr>
            <w:r>
              <w:rPr>
                <w:rFonts w:eastAsiaTheme="minorEastAsia"/>
                <w:color w:val="000000" w:themeColor="text1"/>
                <w:szCs w:val="21"/>
              </w:rPr>
              <w:t>过去三个月</w:t>
            </w:r>
          </w:p>
        </w:tc>
        <w:tc>
          <w:tcPr>
            <w:tcW w:w="1291" w:type="dxa"/>
            <w:vAlign w:val="center"/>
          </w:tcPr>
          <w:p w:rsidR="006D38D1" w:rsidRDefault="00AF4FA0">
            <w:pPr>
              <w:jc w:val="right"/>
            </w:pPr>
            <w:r>
              <w:rPr>
                <w:rFonts w:eastAsiaTheme="minorEastAsia"/>
                <w:color w:val="000000" w:themeColor="text1"/>
                <w:szCs w:val="21"/>
              </w:rPr>
              <w:t>0.44%</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0.96%</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-0.52%</w:t>
            </w:r>
          </w:p>
        </w:tc>
        <w:tc>
          <w:tcPr>
            <w:tcW w:w="1291" w:type="dxa"/>
            <w:vAlign w:val="center"/>
          </w:tcPr>
          <w:p w:rsidR="006D38D1" w:rsidRDefault="00AF4FA0">
            <w:pPr>
              <w:jc w:val="right"/>
            </w:pPr>
            <w:r>
              <w:rPr>
                <w:rFonts w:eastAsiaTheme="minorEastAsia"/>
                <w:color w:val="000000" w:themeColor="text1"/>
                <w:szCs w:val="21"/>
              </w:rPr>
              <w:t>0.00%</w:t>
            </w:r>
          </w:p>
        </w:tc>
      </w:tr>
      <w:tr w:rsidR="006D38D1">
        <w:tc>
          <w:tcPr>
            <w:tcW w:w="1290" w:type="dxa"/>
            <w:vAlign w:val="center"/>
          </w:tcPr>
          <w:p w:rsidR="006D38D1" w:rsidRDefault="00AF4FA0">
            <w:pPr>
              <w:jc w:val="left"/>
            </w:pPr>
            <w:r>
              <w:rPr>
                <w:rFonts w:eastAsiaTheme="minorEastAsia"/>
                <w:color w:val="000000" w:themeColor="text1"/>
                <w:szCs w:val="21"/>
              </w:rPr>
              <w:t>过去六个月</w:t>
            </w:r>
          </w:p>
        </w:tc>
        <w:tc>
          <w:tcPr>
            <w:tcW w:w="1291" w:type="dxa"/>
            <w:vAlign w:val="center"/>
          </w:tcPr>
          <w:p w:rsidR="006D38D1" w:rsidRDefault="00AF4FA0">
            <w:pPr>
              <w:jc w:val="right"/>
            </w:pPr>
            <w:r>
              <w:rPr>
                <w:rFonts w:eastAsiaTheme="minorEastAsia"/>
                <w:color w:val="000000" w:themeColor="text1"/>
                <w:szCs w:val="21"/>
              </w:rPr>
              <w:t>0.93%</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1.92%</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-0.99%</w:t>
            </w:r>
          </w:p>
        </w:tc>
        <w:tc>
          <w:tcPr>
            <w:tcW w:w="1291" w:type="dxa"/>
            <w:vAlign w:val="center"/>
          </w:tcPr>
          <w:p w:rsidR="006D38D1" w:rsidRDefault="00AF4FA0">
            <w:pPr>
              <w:jc w:val="right"/>
            </w:pPr>
            <w:r>
              <w:rPr>
                <w:rFonts w:eastAsiaTheme="minorEastAsia"/>
                <w:color w:val="000000" w:themeColor="text1"/>
                <w:szCs w:val="21"/>
              </w:rPr>
              <w:t>0.00%</w:t>
            </w:r>
          </w:p>
        </w:tc>
      </w:tr>
      <w:tr w:rsidR="006D38D1">
        <w:tc>
          <w:tcPr>
            <w:tcW w:w="1290" w:type="dxa"/>
            <w:vAlign w:val="center"/>
          </w:tcPr>
          <w:p w:rsidR="006D38D1" w:rsidRDefault="00AF4FA0">
            <w:pPr>
              <w:jc w:val="left"/>
            </w:pPr>
            <w:r>
              <w:rPr>
                <w:rFonts w:eastAsiaTheme="minorEastAsia"/>
                <w:color w:val="000000" w:themeColor="text1"/>
                <w:szCs w:val="21"/>
              </w:rPr>
              <w:t>过去一年</w:t>
            </w:r>
          </w:p>
        </w:tc>
        <w:tc>
          <w:tcPr>
            <w:tcW w:w="1291" w:type="dxa"/>
            <w:vAlign w:val="center"/>
          </w:tcPr>
          <w:p w:rsidR="006D38D1" w:rsidRDefault="00AF4FA0">
            <w:pPr>
              <w:jc w:val="right"/>
            </w:pPr>
            <w:r>
              <w:rPr>
                <w:rFonts w:eastAsiaTheme="minorEastAsia"/>
                <w:color w:val="000000" w:themeColor="text1"/>
                <w:szCs w:val="21"/>
              </w:rPr>
              <w:t>2.18%</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3.80%</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-1.62%</w:t>
            </w:r>
          </w:p>
        </w:tc>
        <w:tc>
          <w:tcPr>
            <w:tcW w:w="1291" w:type="dxa"/>
            <w:vAlign w:val="center"/>
          </w:tcPr>
          <w:p w:rsidR="006D38D1" w:rsidRDefault="00AF4FA0">
            <w:pPr>
              <w:jc w:val="right"/>
            </w:pPr>
            <w:r>
              <w:rPr>
                <w:rFonts w:eastAsiaTheme="minorEastAsia"/>
                <w:color w:val="000000" w:themeColor="text1"/>
                <w:szCs w:val="21"/>
              </w:rPr>
              <w:t>0.00%</w:t>
            </w:r>
          </w:p>
        </w:tc>
      </w:tr>
      <w:tr w:rsidR="006D38D1">
        <w:tc>
          <w:tcPr>
            <w:tcW w:w="1290" w:type="dxa"/>
            <w:vAlign w:val="center"/>
          </w:tcPr>
          <w:p w:rsidR="006D38D1" w:rsidRDefault="00AF4FA0">
            <w:pPr>
              <w:jc w:val="left"/>
            </w:pPr>
            <w:r>
              <w:rPr>
                <w:rFonts w:eastAsiaTheme="minorEastAsia"/>
                <w:color w:val="000000" w:themeColor="text1"/>
                <w:szCs w:val="21"/>
              </w:rPr>
              <w:t>过去三年</w:t>
            </w:r>
          </w:p>
        </w:tc>
        <w:tc>
          <w:tcPr>
            <w:tcW w:w="1291" w:type="dxa"/>
            <w:vAlign w:val="center"/>
          </w:tcPr>
          <w:p w:rsidR="006D38D1" w:rsidRDefault="00AF4FA0">
            <w:pPr>
              <w:jc w:val="right"/>
            </w:pPr>
            <w:r>
              <w:rPr>
                <w:rFonts w:eastAsiaTheme="minorEastAsia"/>
                <w:color w:val="000000" w:themeColor="text1"/>
                <w:szCs w:val="21"/>
              </w:rPr>
              <w:t>7.47%</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11.41%</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-3.94%</w:t>
            </w:r>
          </w:p>
        </w:tc>
        <w:tc>
          <w:tcPr>
            <w:tcW w:w="1291" w:type="dxa"/>
            <w:vAlign w:val="center"/>
          </w:tcPr>
          <w:p w:rsidR="006D38D1" w:rsidRDefault="00AF4FA0">
            <w:pPr>
              <w:jc w:val="right"/>
            </w:pPr>
            <w:r>
              <w:rPr>
                <w:rFonts w:eastAsiaTheme="minorEastAsia"/>
                <w:color w:val="000000" w:themeColor="text1"/>
                <w:szCs w:val="21"/>
              </w:rPr>
              <w:t>0.00%</w:t>
            </w:r>
          </w:p>
        </w:tc>
      </w:tr>
      <w:tr w:rsidR="006D38D1">
        <w:tc>
          <w:tcPr>
            <w:tcW w:w="1290" w:type="dxa"/>
            <w:vAlign w:val="center"/>
          </w:tcPr>
          <w:p w:rsidR="006D38D1" w:rsidRDefault="00AF4FA0">
            <w:pPr>
              <w:jc w:val="left"/>
            </w:pPr>
            <w:r>
              <w:rPr>
                <w:rFonts w:eastAsiaTheme="minorEastAsia"/>
                <w:color w:val="000000" w:themeColor="text1"/>
                <w:szCs w:val="21"/>
              </w:rPr>
              <w:t>过去五年</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c>
          <w:tcPr>
            <w:tcW w:w="1291" w:type="dxa"/>
            <w:vAlign w:val="center"/>
          </w:tcPr>
          <w:p w:rsidR="006D38D1" w:rsidRDefault="00AF4FA0">
            <w:pPr>
              <w:jc w:val="right"/>
            </w:pPr>
            <w:r>
              <w:rPr>
                <w:rFonts w:eastAsiaTheme="minorEastAsia"/>
                <w:color w:val="000000" w:themeColor="text1"/>
                <w:szCs w:val="21"/>
              </w:rPr>
              <w:t>-</w:t>
            </w:r>
          </w:p>
        </w:tc>
      </w:tr>
      <w:tr w:rsidR="006D38D1">
        <w:tc>
          <w:tcPr>
            <w:tcW w:w="1290" w:type="dxa"/>
            <w:vAlign w:val="center"/>
          </w:tcPr>
          <w:p w:rsidR="006D38D1" w:rsidRDefault="00AF4FA0">
            <w:pPr>
              <w:jc w:val="left"/>
            </w:pPr>
            <w:r>
              <w:rPr>
                <w:rFonts w:eastAsiaTheme="minorEastAsia"/>
                <w:color w:val="000000" w:themeColor="text1"/>
                <w:szCs w:val="21"/>
              </w:rPr>
              <w:t>自基金合同生效起至今</w:t>
            </w:r>
          </w:p>
        </w:tc>
        <w:tc>
          <w:tcPr>
            <w:tcW w:w="1291" w:type="dxa"/>
            <w:vAlign w:val="center"/>
          </w:tcPr>
          <w:p w:rsidR="006D38D1" w:rsidRDefault="00AF4FA0">
            <w:pPr>
              <w:jc w:val="right"/>
            </w:pPr>
            <w:r>
              <w:rPr>
                <w:rFonts w:eastAsiaTheme="minorEastAsia"/>
                <w:color w:val="000000" w:themeColor="text1"/>
                <w:szCs w:val="21"/>
              </w:rPr>
              <w:t>8.51%</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14.42%</w:t>
            </w:r>
          </w:p>
        </w:tc>
        <w:tc>
          <w:tcPr>
            <w:tcW w:w="1291" w:type="dxa"/>
            <w:vAlign w:val="center"/>
          </w:tcPr>
          <w:p w:rsidR="006D38D1" w:rsidRDefault="00AF4FA0">
            <w:pPr>
              <w:jc w:val="right"/>
            </w:pPr>
            <w:r>
              <w:rPr>
                <w:rFonts w:eastAsiaTheme="minorEastAsia"/>
                <w:color w:val="000000" w:themeColor="text1"/>
                <w:szCs w:val="21"/>
              </w:rPr>
              <w:t>0.01%</w:t>
            </w:r>
          </w:p>
        </w:tc>
        <w:tc>
          <w:tcPr>
            <w:tcW w:w="1291" w:type="dxa"/>
            <w:vAlign w:val="center"/>
          </w:tcPr>
          <w:p w:rsidR="006D38D1" w:rsidRDefault="00AF4FA0">
            <w:pPr>
              <w:jc w:val="right"/>
            </w:pPr>
            <w:r>
              <w:rPr>
                <w:rFonts w:eastAsiaTheme="minorEastAsia"/>
                <w:color w:val="000000" w:themeColor="text1"/>
                <w:szCs w:val="21"/>
              </w:rPr>
              <w:t>-5.91%</w:t>
            </w:r>
          </w:p>
        </w:tc>
        <w:tc>
          <w:tcPr>
            <w:tcW w:w="1291" w:type="dxa"/>
            <w:vAlign w:val="center"/>
          </w:tcPr>
          <w:p w:rsidR="006D38D1" w:rsidRDefault="00AF4FA0">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D38D1">
        <w:tc>
          <w:tcPr>
            <w:tcW w:w="952" w:type="dxa"/>
            <w:vAlign w:val="center"/>
          </w:tcPr>
          <w:p w:rsidR="006D38D1" w:rsidRDefault="00AF4FA0">
            <w:pPr>
              <w:jc w:val="center"/>
            </w:pPr>
            <w:r>
              <w:rPr>
                <w:rFonts w:eastAsiaTheme="minorEastAsia"/>
                <w:color w:val="000000" w:themeColor="text1"/>
                <w:szCs w:val="21"/>
              </w:rPr>
              <w:t>任翔</w:t>
            </w:r>
          </w:p>
        </w:tc>
        <w:tc>
          <w:tcPr>
            <w:tcW w:w="930" w:type="dxa"/>
            <w:vAlign w:val="center"/>
          </w:tcPr>
          <w:p w:rsidR="006D38D1" w:rsidRDefault="00AF4FA0">
            <w:pPr>
              <w:jc w:val="center"/>
            </w:pPr>
            <w:r>
              <w:rPr>
                <w:rFonts w:eastAsiaTheme="minorEastAsia"/>
                <w:color w:val="000000" w:themeColor="text1"/>
                <w:szCs w:val="21"/>
              </w:rPr>
              <w:t>本基金基金经理、固收研究部总监</w:t>
            </w:r>
          </w:p>
        </w:tc>
        <w:tc>
          <w:tcPr>
            <w:tcW w:w="1210" w:type="dxa"/>
            <w:vAlign w:val="center"/>
          </w:tcPr>
          <w:p w:rsidR="006D38D1" w:rsidRDefault="00AF4FA0">
            <w:pPr>
              <w:jc w:val="center"/>
            </w:pPr>
            <w:r>
              <w:rPr>
                <w:rFonts w:eastAsiaTheme="minorEastAsia"/>
                <w:color w:val="000000" w:themeColor="text1"/>
                <w:szCs w:val="21"/>
              </w:rPr>
              <w:t>2020-03-18</w:t>
            </w:r>
          </w:p>
        </w:tc>
        <w:tc>
          <w:tcPr>
            <w:tcW w:w="1309" w:type="dxa"/>
            <w:vAlign w:val="center"/>
          </w:tcPr>
          <w:p w:rsidR="006D38D1" w:rsidRDefault="00AF4FA0">
            <w:pPr>
              <w:jc w:val="center"/>
            </w:pPr>
            <w:r>
              <w:rPr>
                <w:rFonts w:eastAsiaTheme="minorEastAsia"/>
                <w:color w:val="000000" w:themeColor="text1"/>
                <w:szCs w:val="21"/>
              </w:rPr>
              <w:t>-</w:t>
            </w:r>
          </w:p>
        </w:tc>
        <w:tc>
          <w:tcPr>
            <w:tcW w:w="1254" w:type="dxa"/>
            <w:vAlign w:val="center"/>
          </w:tcPr>
          <w:p w:rsidR="006D38D1" w:rsidRDefault="00AF4FA0">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6D38D1" w:rsidRDefault="00AF4FA0">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现任债券投资部资深基金经理兼固收研究部总监。</w:t>
            </w:r>
          </w:p>
        </w:tc>
      </w:tr>
    </w:tbl>
    <w:p w:rsidR="006D38D1" w:rsidRDefault="00AF4F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6D38D1" w:rsidRDefault="00AF4F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四季度债券市场的运行主要围绕资金面展开。十一假期后，地方政府债发行放量，叠加税期影响，资金面趋紧，带动收益率上行，短端尤为显著。</w:t>
      </w:r>
      <w:r>
        <w:rPr>
          <w:rFonts w:eastAsiaTheme="minorEastAsia"/>
          <w:color w:val="000000" w:themeColor="text1"/>
          <w:szCs w:val="21"/>
        </w:rPr>
        <w:t>10</w:t>
      </w:r>
      <w:r>
        <w:rPr>
          <w:rFonts w:eastAsiaTheme="minorEastAsia"/>
          <w:color w:val="000000" w:themeColor="text1"/>
          <w:szCs w:val="21"/>
        </w:rPr>
        <w:t>月下旬，全国人大常委会批准新增发行</w:t>
      </w:r>
      <w:r>
        <w:rPr>
          <w:rFonts w:eastAsiaTheme="minorEastAsia"/>
          <w:color w:val="000000" w:themeColor="text1"/>
          <w:szCs w:val="21"/>
        </w:rPr>
        <w:t>1</w:t>
      </w:r>
      <w:r>
        <w:rPr>
          <w:rFonts w:eastAsiaTheme="minorEastAsia"/>
          <w:color w:val="000000" w:themeColor="text1"/>
          <w:szCs w:val="21"/>
        </w:rPr>
        <w:t>万亿元国债，作为特别国债管理，由于此前市场已有一定预期，市场演绎出利空出尽的逻辑，同时跨月后，资金面转松，收益率震荡下行。</w:t>
      </w:r>
      <w:r>
        <w:rPr>
          <w:rFonts w:eastAsiaTheme="minorEastAsia"/>
          <w:color w:val="000000" w:themeColor="text1"/>
          <w:szCs w:val="21"/>
        </w:rPr>
        <w:t>11</w:t>
      </w:r>
      <w:r>
        <w:rPr>
          <w:rFonts w:eastAsiaTheme="minorEastAsia"/>
          <w:color w:val="000000" w:themeColor="text1"/>
          <w:szCs w:val="21"/>
        </w:rPr>
        <w:t>月下旬，资金面边际收敛，同时房地产相关利好政策频出，债券收益率转而上行。进入</w:t>
      </w:r>
      <w:r>
        <w:rPr>
          <w:rFonts w:eastAsiaTheme="minorEastAsia"/>
          <w:color w:val="000000" w:themeColor="text1"/>
          <w:szCs w:val="21"/>
        </w:rPr>
        <w:t>12</w:t>
      </w:r>
      <w:r>
        <w:rPr>
          <w:rFonts w:eastAsiaTheme="minorEastAsia"/>
          <w:color w:val="000000" w:themeColor="text1"/>
          <w:szCs w:val="21"/>
        </w:rPr>
        <w:t>月，政治局会议及中央经济工作会议相继召开，会议通稿公布后，债券投资者对于可能的强刺激政策的担忧得以缓解，债券走强。临近月末，央行公开市场大额净投放，资金面波澜不惊，同时国有大行存款挂牌利率再度调降，助推收益率再下一城。</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本基金在四季度保持了既有配置，维持基金杠杆率。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随着财政支出节奏加速、银行存贷缺口的改善，资金面有望进一步边际宽松。虽然稳增长政策不断出台，但当前经济面临挑战仍然较多，经济回暖也并非一蹴而就。在这一宏观背景下，收益率或易下难上，长端收益率或受情绪及预期扰动，短端资产可能确定性相对更高。我们将密切关注地产销售等反应政策效果的经济、行业指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:0.50%</w:t>
      </w:r>
      <w:r>
        <w:rPr>
          <w:rFonts w:eastAsiaTheme="minorEastAsia"/>
          <w:color w:val="000000" w:themeColor="text1"/>
          <w:szCs w:val="21"/>
        </w:rPr>
        <w:t>，同期业绩比较基准收益率为</w:t>
      </w:r>
      <w:r>
        <w:rPr>
          <w:rFonts w:eastAsiaTheme="minorEastAsia"/>
          <w:color w:val="000000" w:themeColor="text1"/>
          <w:szCs w:val="21"/>
        </w:rPr>
        <w:t>:0.96%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:0.44%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13,299,785,050.23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13,299,785,050.23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3,696,672.28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13,303,481,722.51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13,299,785,050.23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165.09</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8,592,589,118.35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13,299,785,050.23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165.09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D38D1">
        <w:tc>
          <w:tcPr>
            <w:tcW w:w="1504" w:type="dxa"/>
            <w:vAlign w:val="center"/>
          </w:tcPr>
          <w:p w:rsidR="006D38D1" w:rsidRDefault="00AF4FA0">
            <w:pPr>
              <w:jc w:val="center"/>
            </w:pPr>
            <w:r>
              <w:rPr>
                <w:rFonts w:eastAsiaTheme="minorEastAsia"/>
                <w:color w:val="000000" w:themeColor="text1"/>
                <w:szCs w:val="21"/>
              </w:rPr>
              <w:t>1</w:t>
            </w:r>
          </w:p>
        </w:tc>
        <w:tc>
          <w:tcPr>
            <w:tcW w:w="1504" w:type="dxa"/>
            <w:vAlign w:val="center"/>
          </w:tcPr>
          <w:p w:rsidR="006D38D1" w:rsidRDefault="00AF4FA0">
            <w:pPr>
              <w:jc w:val="center"/>
            </w:pPr>
            <w:r>
              <w:rPr>
                <w:rFonts w:eastAsiaTheme="minorEastAsia"/>
                <w:color w:val="000000" w:themeColor="text1"/>
                <w:szCs w:val="21"/>
              </w:rPr>
              <w:t>160210</w:t>
            </w:r>
          </w:p>
        </w:tc>
        <w:tc>
          <w:tcPr>
            <w:tcW w:w="1504" w:type="dxa"/>
            <w:vAlign w:val="center"/>
          </w:tcPr>
          <w:p w:rsidR="006D38D1" w:rsidRDefault="00AF4FA0">
            <w:pPr>
              <w:jc w:val="center"/>
            </w:pPr>
            <w:r>
              <w:rPr>
                <w:rFonts w:eastAsiaTheme="minorEastAsia"/>
                <w:color w:val="000000" w:themeColor="text1"/>
                <w:szCs w:val="21"/>
              </w:rPr>
              <w:t>16</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6D38D1" w:rsidRDefault="00AF4FA0">
            <w:pPr>
              <w:jc w:val="right"/>
            </w:pPr>
            <w:r>
              <w:rPr>
                <w:rFonts w:eastAsiaTheme="minorEastAsia"/>
                <w:color w:val="000000" w:themeColor="text1"/>
                <w:szCs w:val="21"/>
              </w:rPr>
              <w:t>31,200,000</w:t>
            </w:r>
          </w:p>
        </w:tc>
        <w:tc>
          <w:tcPr>
            <w:tcW w:w="1503" w:type="dxa"/>
            <w:vAlign w:val="center"/>
          </w:tcPr>
          <w:p w:rsidR="006D38D1" w:rsidRDefault="00AF4FA0">
            <w:pPr>
              <w:jc w:val="right"/>
            </w:pPr>
            <w:r>
              <w:rPr>
                <w:rFonts w:eastAsiaTheme="minorEastAsia"/>
                <w:color w:val="000000" w:themeColor="text1"/>
                <w:szCs w:val="21"/>
              </w:rPr>
              <w:t>3,242,504,161.57</w:t>
            </w:r>
          </w:p>
        </w:tc>
        <w:tc>
          <w:tcPr>
            <w:tcW w:w="1503" w:type="dxa"/>
            <w:vAlign w:val="center"/>
          </w:tcPr>
          <w:p w:rsidR="006D38D1" w:rsidRDefault="00AF4FA0">
            <w:pPr>
              <w:jc w:val="right"/>
            </w:pPr>
            <w:r>
              <w:rPr>
                <w:rFonts w:eastAsiaTheme="minorEastAsia"/>
                <w:color w:val="000000" w:themeColor="text1"/>
                <w:szCs w:val="21"/>
              </w:rPr>
              <w:t>40.25</w:t>
            </w:r>
          </w:p>
        </w:tc>
      </w:tr>
      <w:tr w:rsidR="006D38D1">
        <w:tc>
          <w:tcPr>
            <w:tcW w:w="1504" w:type="dxa"/>
            <w:vAlign w:val="center"/>
          </w:tcPr>
          <w:p w:rsidR="006D38D1" w:rsidRDefault="00AF4FA0">
            <w:pPr>
              <w:jc w:val="center"/>
            </w:pPr>
            <w:r>
              <w:rPr>
                <w:rFonts w:eastAsiaTheme="minorEastAsia"/>
                <w:color w:val="000000" w:themeColor="text1"/>
                <w:szCs w:val="21"/>
              </w:rPr>
              <w:t>2</w:t>
            </w:r>
          </w:p>
        </w:tc>
        <w:tc>
          <w:tcPr>
            <w:tcW w:w="1504" w:type="dxa"/>
            <w:vAlign w:val="center"/>
          </w:tcPr>
          <w:p w:rsidR="006D38D1" w:rsidRDefault="00AF4FA0">
            <w:pPr>
              <w:jc w:val="center"/>
            </w:pPr>
            <w:r>
              <w:rPr>
                <w:rFonts w:eastAsiaTheme="minorEastAsia"/>
                <w:color w:val="000000" w:themeColor="text1"/>
                <w:szCs w:val="21"/>
              </w:rPr>
              <w:t>190408</w:t>
            </w:r>
          </w:p>
        </w:tc>
        <w:tc>
          <w:tcPr>
            <w:tcW w:w="1504" w:type="dxa"/>
            <w:vAlign w:val="center"/>
          </w:tcPr>
          <w:p w:rsidR="006D38D1" w:rsidRDefault="00AF4FA0">
            <w:pPr>
              <w:jc w:val="center"/>
            </w:pPr>
            <w:r>
              <w:rPr>
                <w:rFonts w:eastAsiaTheme="minorEastAsia"/>
                <w:color w:val="000000" w:themeColor="text1"/>
                <w:szCs w:val="21"/>
              </w:rPr>
              <w:t>19</w:t>
            </w:r>
            <w:r>
              <w:rPr>
                <w:rFonts w:eastAsiaTheme="minorEastAsia"/>
                <w:color w:val="000000" w:themeColor="text1"/>
                <w:szCs w:val="21"/>
              </w:rPr>
              <w:t>农发</w:t>
            </w:r>
            <w:r>
              <w:rPr>
                <w:rFonts w:eastAsiaTheme="minorEastAsia"/>
                <w:color w:val="000000" w:themeColor="text1"/>
                <w:szCs w:val="21"/>
              </w:rPr>
              <w:t>08</w:t>
            </w:r>
          </w:p>
        </w:tc>
        <w:tc>
          <w:tcPr>
            <w:tcW w:w="1503" w:type="dxa"/>
            <w:vAlign w:val="center"/>
          </w:tcPr>
          <w:p w:rsidR="006D38D1" w:rsidRDefault="00AF4FA0">
            <w:pPr>
              <w:jc w:val="right"/>
            </w:pPr>
            <w:r>
              <w:rPr>
                <w:rFonts w:eastAsiaTheme="minorEastAsia"/>
                <w:color w:val="000000" w:themeColor="text1"/>
                <w:szCs w:val="21"/>
              </w:rPr>
              <w:t>25,400,000</w:t>
            </w:r>
          </w:p>
        </w:tc>
        <w:tc>
          <w:tcPr>
            <w:tcW w:w="1503" w:type="dxa"/>
            <w:vAlign w:val="center"/>
          </w:tcPr>
          <w:p w:rsidR="006D38D1" w:rsidRDefault="00AF4FA0">
            <w:pPr>
              <w:jc w:val="right"/>
            </w:pPr>
            <w:r>
              <w:rPr>
                <w:rFonts w:eastAsiaTheme="minorEastAsia"/>
                <w:color w:val="000000" w:themeColor="text1"/>
                <w:szCs w:val="21"/>
              </w:rPr>
              <w:t>2,654,441,776.85</w:t>
            </w:r>
          </w:p>
        </w:tc>
        <w:tc>
          <w:tcPr>
            <w:tcW w:w="1503" w:type="dxa"/>
            <w:vAlign w:val="center"/>
          </w:tcPr>
          <w:p w:rsidR="006D38D1" w:rsidRDefault="00AF4FA0">
            <w:pPr>
              <w:jc w:val="right"/>
            </w:pPr>
            <w:r>
              <w:rPr>
                <w:rFonts w:eastAsiaTheme="minorEastAsia"/>
                <w:color w:val="000000" w:themeColor="text1"/>
                <w:szCs w:val="21"/>
              </w:rPr>
              <w:t>32.95</w:t>
            </w:r>
          </w:p>
        </w:tc>
      </w:tr>
      <w:tr w:rsidR="006D38D1">
        <w:tc>
          <w:tcPr>
            <w:tcW w:w="1504" w:type="dxa"/>
            <w:vAlign w:val="center"/>
          </w:tcPr>
          <w:p w:rsidR="006D38D1" w:rsidRDefault="00AF4FA0">
            <w:pPr>
              <w:jc w:val="center"/>
            </w:pPr>
            <w:r>
              <w:rPr>
                <w:rFonts w:eastAsiaTheme="minorEastAsia"/>
                <w:color w:val="000000" w:themeColor="text1"/>
                <w:szCs w:val="21"/>
              </w:rPr>
              <w:t>3</w:t>
            </w:r>
          </w:p>
        </w:tc>
        <w:tc>
          <w:tcPr>
            <w:tcW w:w="1504" w:type="dxa"/>
            <w:vAlign w:val="center"/>
          </w:tcPr>
          <w:p w:rsidR="006D38D1" w:rsidRDefault="00AF4FA0">
            <w:pPr>
              <w:jc w:val="center"/>
            </w:pPr>
            <w:r>
              <w:rPr>
                <w:rFonts w:eastAsiaTheme="minorEastAsia"/>
                <w:color w:val="000000" w:themeColor="text1"/>
                <w:szCs w:val="21"/>
              </w:rPr>
              <w:t>230405</w:t>
            </w:r>
          </w:p>
        </w:tc>
        <w:tc>
          <w:tcPr>
            <w:tcW w:w="1504" w:type="dxa"/>
            <w:vAlign w:val="center"/>
          </w:tcPr>
          <w:p w:rsidR="006D38D1" w:rsidRDefault="00AF4FA0">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rsidR="006D38D1" w:rsidRDefault="00AF4FA0">
            <w:pPr>
              <w:jc w:val="right"/>
            </w:pPr>
            <w:r>
              <w:rPr>
                <w:rFonts w:eastAsiaTheme="minorEastAsia"/>
                <w:color w:val="000000" w:themeColor="text1"/>
                <w:szCs w:val="21"/>
              </w:rPr>
              <w:t>14,300,000</w:t>
            </w:r>
          </w:p>
        </w:tc>
        <w:tc>
          <w:tcPr>
            <w:tcW w:w="1503" w:type="dxa"/>
            <w:vAlign w:val="center"/>
          </w:tcPr>
          <w:p w:rsidR="006D38D1" w:rsidRDefault="00AF4FA0">
            <w:pPr>
              <w:jc w:val="right"/>
            </w:pPr>
            <w:r>
              <w:rPr>
                <w:rFonts w:eastAsiaTheme="minorEastAsia"/>
                <w:color w:val="000000" w:themeColor="text1"/>
                <w:szCs w:val="21"/>
              </w:rPr>
              <w:t>1,459,053,061.89</w:t>
            </w:r>
          </w:p>
        </w:tc>
        <w:tc>
          <w:tcPr>
            <w:tcW w:w="1503" w:type="dxa"/>
            <w:vAlign w:val="center"/>
          </w:tcPr>
          <w:p w:rsidR="006D38D1" w:rsidRDefault="00AF4FA0">
            <w:pPr>
              <w:jc w:val="right"/>
            </w:pPr>
            <w:r>
              <w:rPr>
                <w:rFonts w:eastAsiaTheme="minorEastAsia"/>
                <w:color w:val="000000" w:themeColor="text1"/>
                <w:szCs w:val="21"/>
              </w:rPr>
              <w:t>18.11</w:t>
            </w:r>
          </w:p>
        </w:tc>
      </w:tr>
      <w:tr w:rsidR="006D38D1">
        <w:tc>
          <w:tcPr>
            <w:tcW w:w="1504" w:type="dxa"/>
            <w:vAlign w:val="center"/>
          </w:tcPr>
          <w:p w:rsidR="006D38D1" w:rsidRDefault="00AF4FA0">
            <w:pPr>
              <w:jc w:val="center"/>
            </w:pPr>
            <w:r>
              <w:rPr>
                <w:rFonts w:eastAsiaTheme="minorEastAsia"/>
                <w:color w:val="000000" w:themeColor="text1"/>
                <w:szCs w:val="21"/>
              </w:rPr>
              <w:t>4</w:t>
            </w:r>
          </w:p>
        </w:tc>
        <w:tc>
          <w:tcPr>
            <w:tcW w:w="1504" w:type="dxa"/>
            <w:vAlign w:val="center"/>
          </w:tcPr>
          <w:p w:rsidR="006D38D1" w:rsidRDefault="00AF4FA0">
            <w:pPr>
              <w:jc w:val="center"/>
            </w:pPr>
            <w:r>
              <w:rPr>
                <w:rFonts w:eastAsiaTheme="minorEastAsia"/>
                <w:color w:val="000000" w:themeColor="text1"/>
                <w:szCs w:val="21"/>
              </w:rPr>
              <w:t>212300002</w:t>
            </w:r>
          </w:p>
        </w:tc>
        <w:tc>
          <w:tcPr>
            <w:tcW w:w="1504" w:type="dxa"/>
            <w:vAlign w:val="center"/>
          </w:tcPr>
          <w:p w:rsidR="006D38D1" w:rsidRDefault="00AF4FA0">
            <w:pPr>
              <w:jc w:val="center"/>
            </w:pPr>
            <w:r>
              <w:rPr>
                <w:rFonts w:eastAsiaTheme="minorEastAsia"/>
                <w:color w:val="000000" w:themeColor="text1"/>
                <w:szCs w:val="21"/>
              </w:rPr>
              <w:t>23</w:t>
            </w:r>
            <w:r>
              <w:rPr>
                <w:rFonts w:eastAsiaTheme="minorEastAsia"/>
                <w:color w:val="000000" w:themeColor="text1"/>
                <w:szCs w:val="21"/>
              </w:rPr>
              <w:t>江苏银行债</w:t>
            </w:r>
            <w:r>
              <w:rPr>
                <w:rFonts w:eastAsiaTheme="minorEastAsia"/>
                <w:color w:val="000000" w:themeColor="text1"/>
                <w:szCs w:val="21"/>
              </w:rPr>
              <w:t>01</w:t>
            </w:r>
          </w:p>
        </w:tc>
        <w:tc>
          <w:tcPr>
            <w:tcW w:w="1503" w:type="dxa"/>
            <w:vAlign w:val="center"/>
          </w:tcPr>
          <w:p w:rsidR="006D38D1" w:rsidRDefault="00AF4FA0">
            <w:pPr>
              <w:jc w:val="right"/>
            </w:pPr>
            <w:r>
              <w:rPr>
                <w:rFonts w:eastAsiaTheme="minorEastAsia"/>
                <w:color w:val="000000" w:themeColor="text1"/>
                <w:szCs w:val="21"/>
              </w:rPr>
              <w:t>5,500,000</w:t>
            </w:r>
          </w:p>
        </w:tc>
        <w:tc>
          <w:tcPr>
            <w:tcW w:w="1503" w:type="dxa"/>
            <w:vAlign w:val="center"/>
          </w:tcPr>
          <w:p w:rsidR="006D38D1" w:rsidRDefault="00AF4FA0">
            <w:pPr>
              <w:jc w:val="right"/>
            </w:pPr>
            <w:r>
              <w:rPr>
                <w:rFonts w:eastAsiaTheme="minorEastAsia"/>
                <w:color w:val="000000" w:themeColor="text1"/>
                <w:szCs w:val="21"/>
              </w:rPr>
              <w:t>556,965,195.26</w:t>
            </w:r>
          </w:p>
        </w:tc>
        <w:tc>
          <w:tcPr>
            <w:tcW w:w="1503" w:type="dxa"/>
            <w:vAlign w:val="center"/>
          </w:tcPr>
          <w:p w:rsidR="006D38D1" w:rsidRDefault="00AF4FA0">
            <w:pPr>
              <w:jc w:val="right"/>
            </w:pPr>
            <w:r>
              <w:rPr>
                <w:rFonts w:eastAsiaTheme="minorEastAsia"/>
                <w:color w:val="000000" w:themeColor="text1"/>
                <w:szCs w:val="21"/>
              </w:rPr>
              <w:t>6.91</w:t>
            </w:r>
          </w:p>
        </w:tc>
      </w:tr>
      <w:tr w:rsidR="006D38D1">
        <w:tc>
          <w:tcPr>
            <w:tcW w:w="1504" w:type="dxa"/>
            <w:vAlign w:val="center"/>
          </w:tcPr>
          <w:p w:rsidR="006D38D1" w:rsidRDefault="00AF4FA0">
            <w:pPr>
              <w:jc w:val="center"/>
            </w:pPr>
            <w:r>
              <w:rPr>
                <w:rFonts w:eastAsiaTheme="minorEastAsia"/>
                <w:color w:val="000000" w:themeColor="text1"/>
                <w:szCs w:val="21"/>
              </w:rPr>
              <w:t>5</w:t>
            </w:r>
          </w:p>
        </w:tc>
        <w:tc>
          <w:tcPr>
            <w:tcW w:w="1504" w:type="dxa"/>
            <w:vAlign w:val="center"/>
          </w:tcPr>
          <w:p w:rsidR="006D38D1" w:rsidRDefault="00AF4FA0">
            <w:pPr>
              <w:jc w:val="center"/>
            </w:pPr>
            <w:r>
              <w:rPr>
                <w:rFonts w:eastAsiaTheme="minorEastAsia"/>
                <w:color w:val="000000" w:themeColor="text1"/>
                <w:szCs w:val="21"/>
              </w:rPr>
              <w:t>2328018</w:t>
            </w:r>
          </w:p>
        </w:tc>
        <w:tc>
          <w:tcPr>
            <w:tcW w:w="1504" w:type="dxa"/>
            <w:vAlign w:val="center"/>
          </w:tcPr>
          <w:p w:rsidR="006D38D1" w:rsidRDefault="00AF4FA0">
            <w:pPr>
              <w:jc w:val="center"/>
            </w:pPr>
            <w:r>
              <w:rPr>
                <w:rFonts w:eastAsiaTheme="minorEastAsia"/>
                <w:color w:val="000000" w:themeColor="text1"/>
                <w:szCs w:val="21"/>
              </w:rPr>
              <w:t>23</w:t>
            </w:r>
            <w:r>
              <w:rPr>
                <w:rFonts w:eastAsiaTheme="minorEastAsia"/>
                <w:color w:val="000000" w:themeColor="text1"/>
                <w:szCs w:val="21"/>
              </w:rPr>
              <w:t>兴业银行绿色金融债</w:t>
            </w:r>
            <w:r>
              <w:rPr>
                <w:rFonts w:eastAsiaTheme="minorEastAsia"/>
                <w:color w:val="000000" w:themeColor="text1"/>
                <w:szCs w:val="21"/>
              </w:rPr>
              <w:t>02</w:t>
            </w:r>
          </w:p>
        </w:tc>
        <w:tc>
          <w:tcPr>
            <w:tcW w:w="1503" w:type="dxa"/>
            <w:vAlign w:val="center"/>
          </w:tcPr>
          <w:p w:rsidR="006D38D1" w:rsidRDefault="00AF4FA0">
            <w:pPr>
              <w:jc w:val="right"/>
            </w:pPr>
            <w:r>
              <w:rPr>
                <w:rFonts w:eastAsiaTheme="minorEastAsia"/>
                <w:color w:val="000000" w:themeColor="text1"/>
                <w:szCs w:val="21"/>
              </w:rPr>
              <w:t>5,200,000</w:t>
            </w:r>
          </w:p>
        </w:tc>
        <w:tc>
          <w:tcPr>
            <w:tcW w:w="1503" w:type="dxa"/>
            <w:vAlign w:val="center"/>
          </w:tcPr>
          <w:p w:rsidR="006D38D1" w:rsidRDefault="00AF4FA0">
            <w:pPr>
              <w:jc w:val="right"/>
            </w:pPr>
            <w:r>
              <w:rPr>
                <w:rFonts w:eastAsiaTheme="minorEastAsia"/>
                <w:color w:val="000000" w:themeColor="text1"/>
                <w:szCs w:val="21"/>
              </w:rPr>
              <w:t>526,576,415.90</w:t>
            </w:r>
          </w:p>
        </w:tc>
        <w:tc>
          <w:tcPr>
            <w:tcW w:w="1503" w:type="dxa"/>
            <w:vAlign w:val="center"/>
          </w:tcPr>
          <w:p w:rsidR="006D38D1" w:rsidRDefault="00AF4FA0">
            <w:pPr>
              <w:jc w:val="right"/>
            </w:pPr>
            <w:r>
              <w:rPr>
                <w:rFonts w:eastAsiaTheme="minorEastAsia"/>
                <w:color w:val="000000" w:themeColor="text1"/>
                <w:szCs w:val="21"/>
              </w:rPr>
              <w:t>6.54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本基金本报告期末无其他资产构成。</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6D38D1">
        <w:tc>
          <w:tcPr>
            <w:tcW w:w="993" w:type="dxa"/>
            <w:vMerge w:val="restart"/>
            <w:vAlign w:val="center"/>
          </w:tcPr>
          <w:p w:rsidR="006D38D1" w:rsidRDefault="00AF4FA0">
            <w:r>
              <w:rPr>
                <w:bCs/>
                <w:color w:val="000000"/>
                <w:kern w:val="0"/>
                <w:szCs w:val="21"/>
              </w:rPr>
              <w:t>机构</w:t>
            </w:r>
          </w:p>
        </w:tc>
        <w:tc>
          <w:tcPr>
            <w:tcW w:w="992" w:type="dxa"/>
            <w:vAlign w:val="center"/>
          </w:tcPr>
          <w:p w:rsidR="006D38D1" w:rsidRDefault="00AF4FA0">
            <w:pPr>
              <w:jc w:val="center"/>
            </w:pPr>
            <w:r>
              <w:rPr>
                <w:color w:val="000000"/>
                <w:kern w:val="0"/>
                <w:szCs w:val="21"/>
              </w:rPr>
              <w:t>1</w:t>
            </w:r>
          </w:p>
        </w:tc>
        <w:tc>
          <w:tcPr>
            <w:tcW w:w="1843" w:type="dxa"/>
            <w:vAlign w:val="center"/>
          </w:tcPr>
          <w:p w:rsidR="006D38D1" w:rsidRDefault="00AF4FA0">
            <w:pPr>
              <w:jc w:val="center"/>
            </w:pPr>
            <w:r>
              <w:rPr>
                <w:color w:val="000000"/>
                <w:kern w:val="0"/>
                <w:szCs w:val="21"/>
              </w:rPr>
              <w:t>20231001-20231231</w:t>
            </w:r>
          </w:p>
        </w:tc>
        <w:tc>
          <w:tcPr>
            <w:tcW w:w="851" w:type="dxa"/>
            <w:vAlign w:val="center"/>
          </w:tcPr>
          <w:p w:rsidR="006D38D1" w:rsidRDefault="00AF4FA0">
            <w:pPr>
              <w:jc w:val="center"/>
            </w:pPr>
            <w:r>
              <w:rPr>
                <w:color w:val="000000"/>
                <w:kern w:val="0"/>
                <w:szCs w:val="21"/>
              </w:rPr>
              <w:t>2,036,922,000.69</w:t>
            </w:r>
          </w:p>
        </w:tc>
        <w:tc>
          <w:tcPr>
            <w:tcW w:w="850" w:type="dxa"/>
            <w:vAlign w:val="center"/>
          </w:tcPr>
          <w:p w:rsidR="006D38D1" w:rsidRDefault="00AF4FA0">
            <w:pPr>
              <w:jc w:val="center"/>
            </w:pPr>
            <w:r>
              <w:rPr>
                <w:color w:val="000000"/>
                <w:kern w:val="0"/>
                <w:szCs w:val="21"/>
              </w:rPr>
              <w:t>0.00</w:t>
            </w:r>
          </w:p>
        </w:tc>
        <w:tc>
          <w:tcPr>
            <w:tcW w:w="1134" w:type="dxa"/>
            <w:vAlign w:val="center"/>
          </w:tcPr>
          <w:p w:rsidR="006D38D1" w:rsidRDefault="00AF4FA0">
            <w:pPr>
              <w:jc w:val="center"/>
            </w:pPr>
            <w:r>
              <w:rPr>
                <w:color w:val="000000"/>
                <w:kern w:val="0"/>
                <w:szCs w:val="21"/>
              </w:rPr>
              <w:t>0.00</w:t>
            </w:r>
          </w:p>
        </w:tc>
        <w:tc>
          <w:tcPr>
            <w:tcW w:w="1419" w:type="dxa"/>
            <w:vAlign w:val="center"/>
          </w:tcPr>
          <w:p w:rsidR="006D38D1" w:rsidRDefault="00AF4FA0">
            <w:pPr>
              <w:jc w:val="center"/>
            </w:pPr>
            <w:r>
              <w:rPr>
                <w:color w:val="000000"/>
                <w:kern w:val="0"/>
                <w:szCs w:val="21"/>
              </w:rPr>
              <w:t>2,036,922,000.69</w:t>
            </w:r>
          </w:p>
        </w:tc>
        <w:tc>
          <w:tcPr>
            <w:tcW w:w="1130" w:type="dxa"/>
            <w:vAlign w:val="center"/>
          </w:tcPr>
          <w:p w:rsidR="006D38D1" w:rsidRDefault="00AF4FA0">
            <w:pPr>
              <w:jc w:val="center"/>
            </w:pPr>
            <w:r>
              <w:rPr>
                <w:color w:val="000000"/>
                <w:kern w:val="0"/>
                <w:szCs w:val="21"/>
              </w:rPr>
              <w:t>25.71%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6D38D1" w:rsidRDefault="00AF4FA0">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、摩根基金管理（中国）有限公司开放式基金业务规则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24C0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24C07">
      <w:rPr>
        <w:noProof/>
        <w:kern w:val="0"/>
        <w:szCs w:val="21"/>
      </w:rPr>
      <w:t>12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24C0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摩根瑞泰</w:t>
    </w:r>
    <w:r>
      <w:t>38</w:t>
    </w:r>
    <w:r>
      <w:t>个月定期开放债券型证券投资基金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4C07"/>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38D1"/>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4FA0"/>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5B578-0BC2-4A58-9705-E5A6F7A3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27</TotalTime>
  <Pages>12</Pages>
  <Words>1005</Words>
  <Characters>5731</Characters>
  <Application>Microsoft Office Word</Application>
  <DocSecurity>0</DocSecurity>
  <Lines>47</Lines>
  <Paragraphs>13</Paragraphs>
  <ScaleCrop>false</ScaleCrop>
  <Company>TRT. Ltd. Co.</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2024-01-19T06:08:00Z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