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7,923,455,732.55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C474A" w:rsidRDefault="009531D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7,923,440,765.03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14,967.52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43,845,020.27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43,845,020.27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8,100,147,534.95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15,262.12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1.0197</w:t>
            </w:r>
          </w:p>
        </w:tc>
      </w:tr>
    </w:tbl>
    <w:p w:rsidR="00EC474A" w:rsidRDefault="009531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C474A">
        <w:tc>
          <w:tcPr>
            <w:tcW w:w="1290" w:type="dxa"/>
            <w:vAlign w:val="center"/>
          </w:tcPr>
          <w:p w:rsidR="00EC474A" w:rsidRDefault="009531DE">
            <w:pPr>
              <w:jc w:val="left"/>
            </w:pPr>
            <w:r>
              <w:rPr>
                <w:rFonts w:eastAsiaTheme="minorEastAsia"/>
                <w:color w:val="000000" w:themeColor="text1"/>
                <w:szCs w:val="21"/>
              </w:rPr>
              <w:t>过去三个月</w:t>
            </w:r>
          </w:p>
        </w:tc>
        <w:tc>
          <w:tcPr>
            <w:tcW w:w="1291" w:type="dxa"/>
            <w:vAlign w:val="center"/>
          </w:tcPr>
          <w:p w:rsidR="00EC474A" w:rsidRDefault="009531DE">
            <w:pPr>
              <w:jc w:val="right"/>
            </w:pPr>
            <w:r>
              <w:rPr>
                <w:rFonts w:eastAsiaTheme="minorEastAsia"/>
                <w:color w:val="000000" w:themeColor="text1"/>
                <w:szCs w:val="21"/>
              </w:rPr>
              <w:t>0.54%</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0.95%</w:t>
            </w:r>
          </w:p>
        </w:tc>
        <w:tc>
          <w:tcPr>
            <w:tcW w:w="1291" w:type="dxa"/>
            <w:vAlign w:val="center"/>
          </w:tcPr>
          <w:p w:rsidR="00EC474A" w:rsidRDefault="009531DE">
            <w:pPr>
              <w:jc w:val="right"/>
            </w:pPr>
            <w:r>
              <w:rPr>
                <w:rFonts w:eastAsiaTheme="minorEastAsia"/>
                <w:color w:val="000000" w:themeColor="text1"/>
                <w:szCs w:val="21"/>
              </w:rPr>
              <w:t>0.02%</w:t>
            </w:r>
          </w:p>
        </w:tc>
        <w:tc>
          <w:tcPr>
            <w:tcW w:w="1291" w:type="dxa"/>
            <w:vAlign w:val="center"/>
          </w:tcPr>
          <w:p w:rsidR="00EC474A" w:rsidRDefault="009531DE">
            <w:pPr>
              <w:jc w:val="right"/>
            </w:pPr>
            <w:r>
              <w:rPr>
                <w:rFonts w:eastAsiaTheme="minorEastAsia"/>
                <w:color w:val="000000" w:themeColor="text1"/>
                <w:szCs w:val="21"/>
              </w:rPr>
              <w:t>-0.41%</w:t>
            </w:r>
          </w:p>
        </w:tc>
        <w:tc>
          <w:tcPr>
            <w:tcW w:w="1291" w:type="dxa"/>
            <w:vAlign w:val="center"/>
          </w:tcPr>
          <w:p w:rsidR="00EC474A" w:rsidRDefault="009531DE">
            <w:pPr>
              <w:jc w:val="right"/>
            </w:pPr>
            <w:r>
              <w:rPr>
                <w:rFonts w:eastAsiaTheme="minorEastAsia"/>
                <w:color w:val="000000" w:themeColor="text1"/>
                <w:szCs w:val="21"/>
              </w:rPr>
              <w:t>-0.01%</w:t>
            </w:r>
          </w:p>
        </w:tc>
      </w:tr>
      <w:tr w:rsidR="00EC474A">
        <w:tc>
          <w:tcPr>
            <w:tcW w:w="1290" w:type="dxa"/>
            <w:vAlign w:val="center"/>
          </w:tcPr>
          <w:p w:rsidR="00EC474A" w:rsidRDefault="009531DE">
            <w:pPr>
              <w:jc w:val="left"/>
            </w:pPr>
            <w:r>
              <w:rPr>
                <w:rFonts w:eastAsiaTheme="minorEastAsia"/>
                <w:color w:val="000000" w:themeColor="text1"/>
                <w:szCs w:val="21"/>
              </w:rPr>
              <w:t>过去六个月</w:t>
            </w:r>
          </w:p>
        </w:tc>
        <w:tc>
          <w:tcPr>
            <w:tcW w:w="1291" w:type="dxa"/>
            <w:vAlign w:val="center"/>
          </w:tcPr>
          <w:p w:rsidR="00EC474A" w:rsidRDefault="009531DE">
            <w:pPr>
              <w:jc w:val="right"/>
            </w:pPr>
            <w:r>
              <w:rPr>
                <w:rFonts w:eastAsiaTheme="minorEastAsia"/>
                <w:color w:val="000000" w:themeColor="text1"/>
                <w:szCs w:val="21"/>
              </w:rPr>
              <w:t>1.05%</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1.91%</w:t>
            </w:r>
          </w:p>
        </w:tc>
        <w:tc>
          <w:tcPr>
            <w:tcW w:w="1291" w:type="dxa"/>
            <w:vAlign w:val="center"/>
          </w:tcPr>
          <w:p w:rsidR="00EC474A" w:rsidRDefault="009531DE">
            <w:pPr>
              <w:jc w:val="right"/>
            </w:pPr>
            <w:r>
              <w:rPr>
                <w:rFonts w:eastAsiaTheme="minorEastAsia"/>
                <w:color w:val="000000" w:themeColor="text1"/>
                <w:szCs w:val="21"/>
              </w:rPr>
              <w:t>0.02%</w:t>
            </w:r>
          </w:p>
        </w:tc>
        <w:tc>
          <w:tcPr>
            <w:tcW w:w="1291" w:type="dxa"/>
            <w:vAlign w:val="center"/>
          </w:tcPr>
          <w:p w:rsidR="00EC474A" w:rsidRDefault="009531DE">
            <w:pPr>
              <w:jc w:val="right"/>
            </w:pPr>
            <w:r>
              <w:rPr>
                <w:rFonts w:eastAsiaTheme="minorEastAsia"/>
                <w:color w:val="000000" w:themeColor="text1"/>
                <w:szCs w:val="21"/>
              </w:rPr>
              <w:t>-0.86%</w:t>
            </w:r>
          </w:p>
        </w:tc>
        <w:tc>
          <w:tcPr>
            <w:tcW w:w="1291" w:type="dxa"/>
            <w:vAlign w:val="center"/>
          </w:tcPr>
          <w:p w:rsidR="00EC474A" w:rsidRDefault="009531DE">
            <w:pPr>
              <w:jc w:val="right"/>
            </w:pPr>
            <w:r>
              <w:rPr>
                <w:rFonts w:eastAsiaTheme="minorEastAsia"/>
                <w:color w:val="000000" w:themeColor="text1"/>
                <w:szCs w:val="21"/>
              </w:rPr>
              <w:t>-0.01%</w:t>
            </w:r>
          </w:p>
        </w:tc>
      </w:tr>
      <w:tr w:rsidR="00EC474A">
        <w:tc>
          <w:tcPr>
            <w:tcW w:w="1290" w:type="dxa"/>
            <w:vAlign w:val="center"/>
          </w:tcPr>
          <w:p w:rsidR="00EC474A" w:rsidRDefault="009531DE">
            <w:pPr>
              <w:jc w:val="left"/>
            </w:pPr>
            <w:r>
              <w:rPr>
                <w:rFonts w:eastAsiaTheme="minorEastAsia"/>
                <w:color w:val="000000" w:themeColor="text1"/>
                <w:szCs w:val="21"/>
              </w:rPr>
              <w:t>过去一年</w:t>
            </w:r>
          </w:p>
        </w:tc>
        <w:tc>
          <w:tcPr>
            <w:tcW w:w="1291" w:type="dxa"/>
            <w:vAlign w:val="center"/>
          </w:tcPr>
          <w:p w:rsidR="00EC474A" w:rsidRDefault="009531DE">
            <w:pPr>
              <w:jc w:val="right"/>
            </w:pPr>
            <w:r>
              <w:rPr>
                <w:rFonts w:eastAsiaTheme="minorEastAsia"/>
                <w:color w:val="000000" w:themeColor="text1"/>
                <w:szCs w:val="21"/>
              </w:rPr>
              <w:t>2.18%</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3.81%</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-1.63%</w:t>
            </w:r>
          </w:p>
        </w:tc>
        <w:tc>
          <w:tcPr>
            <w:tcW w:w="1291" w:type="dxa"/>
            <w:vAlign w:val="center"/>
          </w:tcPr>
          <w:p w:rsidR="00EC474A" w:rsidRDefault="009531DE">
            <w:pPr>
              <w:jc w:val="right"/>
            </w:pPr>
            <w:r>
              <w:rPr>
                <w:rFonts w:eastAsiaTheme="minorEastAsia"/>
                <w:color w:val="000000" w:themeColor="text1"/>
                <w:szCs w:val="21"/>
              </w:rPr>
              <w:t>0.00%</w:t>
            </w:r>
          </w:p>
        </w:tc>
      </w:tr>
      <w:tr w:rsidR="00EC474A">
        <w:tc>
          <w:tcPr>
            <w:tcW w:w="1290" w:type="dxa"/>
            <w:vAlign w:val="center"/>
          </w:tcPr>
          <w:p w:rsidR="00EC474A" w:rsidRDefault="009531DE">
            <w:pPr>
              <w:jc w:val="left"/>
            </w:pPr>
            <w:r>
              <w:rPr>
                <w:rFonts w:eastAsiaTheme="minorEastAsia"/>
                <w:color w:val="000000" w:themeColor="text1"/>
                <w:szCs w:val="21"/>
              </w:rPr>
              <w:t>过去三年</w:t>
            </w:r>
          </w:p>
        </w:tc>
        <w:tc>
          <w:tcPr>
            <w:tcW w:w="1291" w:type="dxa"/>
            <w:vAlign w:val="center"/>
          </w:tcPr>
          <w:p w:rsidR="00EC474A" w:rsidRDefault="009531DE">
            <w:pPr>
              <w:jc w:val="right"/>
            </w:pPr>
            <w:r>
              <w:rPr>
                <w:rFonts w:eastAsiaTheme="minorEastAsia"/>
                <w:color w:val="000000" w:themeColor="text1"/>
                <w:szCs w:val="21"/>
              </w:rPr>
              <w:t>8.20%</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11.42%</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-3.22%</w:t>
            </w:r>
          </w:p>
        </w:tc>
        <w:tc>
          <w:tcPr>
            <w:tcW w:w="1291" w:type="dxa"/>
            <w:vAlign w:val="center"/>
          </w:tcPr>
          <w:p w:rsidR="00EC474A" w:rsidRDefault="009531DE">
            <w:pPr>
              <w:jc w:val="right"/>
            </w:pPr>
            <w:r>
              <w:rPr>
                <w:rFonts w:eastAsiaTheme="minorEastAsia"/>
                <w:color w:val="000000" w:themeColor="text1"/>
                <w:szCs w:val="21"/>
              </w:rPr>
              <w:t>0.00%</w:t>
            </w:r>
          </w:p>
        </w:tc>
      </w:tr>
      <w:tr w:rsidR="00EC474A">
        <w:tc>
          <w:tcPr>
            <w:tcW w:w="1290" w:type="dxa"/>
            <w:vAlign w:val="center"/>
          </w:tcPr>
          <w:p w:rsidR="00EC474A" w:rsidRDefault="009531DE">
            <w:pPr>
              <w:jc w:val="left"/>
            </w:pPr>
            <w:r>
              <w:rPr>
                <w:rFonts w:eastAsiaTheme="minorEastAsia"/>
                <w:color w:val="000000" w:themeColor="text1"/>
                <w:szCs w:val="21"/>
              </w:rPr>
              <w:t>过去五年</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r>
      <w:tr w:rsidR="00EC474A">
        <w:tc>
          <w:tcPr>
            <w:tcW w:w="1290" w:type="dxa"/>
            <w:vAlign w:val="center"/>
          </w:tcPr>
          <w:p w:rsidR="00EC474A" w:rsidRDefault="009531DE">
            <w:pPr>
              <w:jc w:val="left"/>
            </w:pPr>
            <w:r>
              <w:rPr>
                <w:rFonts w:eastAsiaTheme="minorEastAsia"/>
                <w:color w:val="000000" w:themeColor="text1"/>
                <w:szCs w:val="21"/>
              </w:rPr>
              <w:t>自基金合同生效起至今</w:t>
            </w:r>
          </w:p>
        </w:tc>
        <w:tc>
          <w:tcPr>
            <w:tcW w:w="1291" w:type="dxa"/>
            <w:vAlign w:val="center"/>
          </w:tcPr>
          <w:p w:rsidR="00EC474A" w:rsidRDefault="009531DE">
            <w:pPr>
              <w:jc w:val="right"/>
            </w:pPr>
            <w:r>
              <w:rPr>
                <w:rFonts w:eastAsiaTheme="minorEastAsia"/>
                <w:color w:val="000000" w:themeColor="text1"/>
                <w:szCs w:val="21"/>
              </w:rPr>
              <w:t>10.13%</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15.36%</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-5.23%</w:t>
            </w:r>
          </w:p>
        </w:tc>
        <w:tc>
          <w:tcPr>
            <w:tcW w:w="1291" w:type="dxa"/>
            <w:vAlign w:val="center"/>
          </w:tcPr>
          <w:p w:rsidR="00EC474A" w:rsidRDefault="009531DE">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C474A">
        <w:tc>
          <w:tcPr>
            <w:tcW w:w="1290" w:type="dxa"/>
            <w:vAlign w:val="center"/>
          </w:tcPr>
          <w:p w:rsidR="00EC474A" w:rsidRDefault="009531DE">
            <w:pPr>
              <w:jc w:val="left"/>
            </w:pPr>
            <w:r>
              <w:rPr>
                <w:rFonts w:eastAsiaTheme="minorEastAsia"/>
                <w:color w:val="000000" w:themeColor="text1"/>
                <w:szCs w:val="21"/>
              </w:rPr>
              <w:t>过去三个月</w:t>
            </w:r>
          </w:p>
        </w:tc>
        <w:tc>
          <w:tcPr>
            <w:tcW w:w="1291" w:type="dxa"/>
            <w:vAlign w:val="center"/>
          </w:tcPr>
          <w:p w:rsidR="00EC474A" w:rsidRDefault="009531DE">
            <w:pPr>
              <w:jc w:val="right"/>
            </w:pPr>
            <w:r>
              <w:rPr>
                <w:rFonts w:eastAsiaTheme="minorEastAsia"/>
                <w:color w:val="000000" w:themeColor="text1"/>
                <w:szCs w:val="21"/>
              </w:rPr>
              <w:t>0.48%</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0.95%</w:t>
            </w:r>
          </w:p>
        </w:tc>
        <w:tc>
          <w:tcPr>
            <w:tcW w:w="1291" w:type="dxa"/>
            <w:vAlign w:val="center"/>
          </w:tcPr>
          <w:p w:rsidR="00EC474A" w:rsidRDefault="009531DE">
            <w:pPr>
              <w:jc w:val="right"/>
            </w:pPr>
            <w:r>
              <w:rPr>
                <w:rFonts w:eastAsiaTheme="minorEastAsia"/>
                <w:color w:val="000000" w:themeColor="text1"/>
                <w:szCs w:val="21"/>
              </w:rPr>
              <w:t>0.02%</w:t>
            </w:r>
          </w:p>
        </w:tc>
        <w:tc>
          <w:tcPr>
            <w:tcW w:w="1291" w:type="dxa"/>
            <w:vAlign w:val="center"/>
          </w:tcPr>
          <w:p w:rsidR="00EC474A" w:rsidRDefault="009531DE">
            <w:pPr>
              <w:jc w:val="right"/>
            </w:pPr>
            <w:r>
              <w:rPr>
                <w:rFonts w:eastAsiaTheme="minorEastAsia"/>
                <w:color w:val="000000" w:themeColor="text1"/>
                <w:szCs w:val="21"/>
              </w:rPr>
              <w:t>-0.47%</w:t>
            </w:r>
          </w:p>
        </w:tc>
        <w:tc>
          <w:tcPr>
            <w:tcW w:w="1291" w:type="dxa"/>
            <w:vAlign w:val="center"/>
          </w:tcPr>
          <w:p w:rsidR="00EC474A" w:rsidRDefault="009531DE">
            <w:pPr>
              <w:jc w:val="right"/>
            </w:pPr>
            <w:r>
              <w:rPr>
                <w:rFonts w:eastAsiaTheme="minorEastAsia"/>
                <w:color w:val="000000" w:themeColor="text1"/>
                <w:szCs w:val="21"/>
              </w:rPr>
              <w:t>-0.01%</w:t>
            </w:r>
          </w:p>
        </w:tc>
      </w:tr>
      <w:tr w:rsidR="00EC474A">
        <w:tc>
          <w:tcPr>
            <w:tcW w:w="1290" w:type="dxa"/>
            <w:vAlign w:val="center"/>
          </w:tcPr>
          <w:p w:rsidR="00EC474A" w:rsidRDefault="009531DE">
            <w:pPr>
              <w:jc w:val="left"/>
            </w:pPr>
            <w:r>
              <w:rPr>
                <w:rFonts w:eastAsiaTheme="minorEastAsia"/>
                <w:color w:val="000000" w:themeColor="text1"/>
                <w:szCs w:val="21"/>
              </w:rPr>
              <w:t>过去六个月</w:t>
            </w:r>
          </w:p>
        </w:tc>
        <w:tc>
          <w:tcPr>
            <w:tcW w:w="1291" w:type="dxa"/>
            <w:vAlign w:val="center"/>
          </w:tcPr>
          <w:p w:rsidR="00EC474A" w:rsidRDefault="009531DE">
            <w:pPr>
              <w:jc w:val="right"/>
            </w:pPr>
            <w:r>
              <w:rPr>
                <w:rFonts w:eastAsiaTheme="minorEastAsia"/>
                <w:color w:val="000000" w:themeColor="text1"/>
                <w:szCs w:val="21"/>
              </w:rPr>
              <w:t>0.93%</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1.91%</w:t>
            </w:r>
          </w:p>
        </w:tc>
        <w:tc>
          <w:tcPr>
            <w:tcW w:w="1291" w:type="dxa"/>
            <w:vAlign w:val="center"/>
          </w:tcPr>
          <w:p w:rsidR="00EC474A" w:rsidRDefault="009531DE">
            <w:pPr>
              <w:jc w:val="right"/>
            </w:pPr>
            <w:r>
              <w:rPr>
                <w:rFonts w:eastAsiaTheme="minorEastAsia"/>
                <w:color w:val="000000" w:themeColor="text1"/>
                <w:szCs w:val="21"/>
              </w:rPr>
              <w:t>0.02%</w:t>
            </w:r>
          </w:p>
        </w:tc>
        <w:tc>
          <w:tcPr>
            <w:tcW w:w="1291" w:type="dxa"/>
            <w:vAlign w:val="center"/>
          </w:tcPr>
          <w:p w:rsidR="00EC474A" w:rsidRDefault="009531DE">
            <w:pPr>
              <w:jc w:val="right"/>
            </w:pPr>
            <w:r>
              <w:rPr>
                <w:rFonts w:eastAsiaTheme="minorEastAsia"/>
                <w:color w:val="000000" w:themeColor="text1"/>
                <w:szCs w:val="21"/>
              </w:rPr>
              <w:t>-0.98%</w:t>
            </w:r>
          </w:p>
        </w:tc>
        <w:tc>
          <w:tcPr>
            <w:tcW w:w="1291" w:type="dxa"/>
            <w:vAlign w:val="center"/>
          </w:tcPr>
          <w:p w:rsidR="00EC474A" w:rsidRDefault="009531DE">
            <w:pPr>
              <w:jc w:val="right"/>
            </w:pPr>
            <w:r>
              <w:rPr>
                <w:rFonts w:eastAsiaTheme="minorEastAsia"/>
                <w:color w:val="000000" w:themeColor="text1"/>
                <w:szCs w:val="21"/>
              </w:rPr>
              <w:t>-0.01%</w:t>
            </w:r>
          </w:p>
        </w:tc>
      </w:tr>
      <w:tr w:rsidR="00EC474A">
        <w:tc>
          <w:tcPr>
            <w:tcW w:w="1290" w:type="dxa"/>
            <w:vAlign w:val="center"/>
          </w:tcPr>
          <w:p w:rsidR="00EC474A" w:rsidRDefault="009531DE">
            <w:pPr>
              <w:jc w:val="left"/>
            </w:pPr>
            <w:r>
              <w:rPr>
                <w:rFonts w:eastAsiaTheme="minorEastAsia"/>
                <w:color w:val="000000" w:themeColor="text1"/>
                <w:szCs w:val="21"/>
              </w:rPr>
              <w:t>过去一年</w:t>
            </w:r>
          </w:p>
        </w:tc>
        <w:tc>
          <w:tcPr>
            <w:tcW w:w="1291" w:type="dxa"/>
            <w:vAlign w:val="center"/>
          </w:tcPr>
          <w:p w:rsidR="00EC474A" w:rsidRDefault="009531DE">
            <w:pPr>
              <w:jc w:val="right"/>
            </w:pPr>
            <w:r>
              <w:rPr>
                <w:rFonts w:eastAsiaTheme="minorEastAsia"/>
                <w:color w:val="000000" w:themeColor="text1"/>
                <w:szCs w:val="21"/>
              </w:rPr>
              <w:t>1.94%</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3.81%</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-1.87%</w:t>
            </w:r>
          </w:p>
        </w:tc>
        <w:tc>
          <w:tcPr>
            <w:tcW w:w="1291" w:type="dxa"/>
            <w:vAlign w:val="center"/>
          </w:tcPr>
          <w:p w:rsidR="00EC474A" w:rsidRDefault="009531DE">
            <w:pPr>
              <w:jc w:val="right"/>
            </w:pPr>
            <w:r>
              <w:rPr>
                <w:rFonts w:eastAsiaTheme="minorEastAsia"/>
                <w:color w:val="000000" w:themeColor="text1"/>
                <w:szCs w:val="21"/>
              </w:rPr>
              <w:t>0.00%</w:t>
            </w:r>
          </w:p>
        </w:tc>
      </w:tr>
      <w:tr w:rsidR="00EC474A">
        <w:tc>
          <w:tcPr>
            <w:tcW w:w="1290" w:type="dxa"/>
            <w:vAlign w:val="center"/>
          </w:tcPr>
          <w:p w:rsidR="00EC474A" w:rsidRDefault="009531DE">
            <w:pPr>
              <w:jc w:val="left"/>
            </w:pPr>
            <w:r>
              <w:rPr>
                <w:rFonts w:eastAsiaTheme="minorEastAsia"/>
                <w:color w:val="000000" w:themeColor="text1"/>
                <w:szCs w:val="21"/>
              </w:rPr>
              <w:t>过去三年</w:t>
            </w:r>
          </w:p>
        </w:tc>
        <w:tc>
          <w:tcPr>
            <w:tcW w:w="1291" w:type="dxa"/>
            <w:vAlign w:val="center"/>
          </w:tcPr>
          <w:p w:rsidR="00EC474A" w:rsidRDefault="009531DE">
            <w:pPr>
              <w:jc w:val="right"/>
            </w:pPr>
            <w:r>
              <w:rPr>
                <w:rFonts w:eastAsiaTheme="minorEastAsia"/>
                <w:color w:val="000000" w:themeColor="text1"/>
                <w:szCs w:val="21"/>
              </w:rPr>
              <w:t>7.41%</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11.42%</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-4.01%</w:t>
            </w:r>
          </w:p>
        </w:tc>
        <w:tc>
          <w:tcPr>
            <w:tcW w:w="1291" w:type="dxa"/>
            <w:vAlign w:val="center"/>
          </w:tcPr>
          <w:p w:rsidR="00EC474A" w:rsidRDefault="009531DE">
            <w:pPr>
              <w:jc w:val="right"/>
            </w:pPr>
            <w:r>
              <w:rPr>
                <w:rFonts w:eastAsiaTheme="minorEastAsia"/>
                <w:color w:val="000000" w:themeColor="text1"/>
                <w:szCs w:val="21"/>
              </w:rPr>
              <w:t>0.00%</w:t>
            </w:r>
          </w:p>
        </w:tc>
      </w:tr>
      <w:tr w:rsidR="00EC474A">
        <w:tc>
          <w:tcPr>
            <w:tcW w:w="1290" w:type="dxa"/>
            <w:vAlign w:val="center"/>
          </w:tcPr>
          <w:p w:rsidR="00EC474A" w:rsidRDefault="009531DE">
            <w:pPr>
              <w:jc w:val="left"/>
            </w:pPr>
            <w:r>
              <w:rPr>
                <w:rFonts w:eastAsiaTheme="minorEastAsia"/>
                <w:color w:val="000000" w:themeColor="text1"/>
                <w:szCs w:val="21"/>
              </w:rPr>
              <w:t>过去五年</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c>
          <w:tcPr>
            <w:tcW w:w="1291" w:type="dxa"/>
            <w:vAlign w:val="center"/>
          </w:tcPr>
          <w:p w:rsidR="00EC474A" w:rsidRDefault="009531DE">
            <w:pPr>
              <w:jc w:val="right"/>
            </w:pPr>
            <w:r>
              <w:rPr>
                <w:rFonts w:eastAsiaTheme="minorEastAsia"/>
                <w:color w:val="000000" w:themeColor="text1"/>
                <w:szCs w:val="21"/>
              </w:rPr>
              <w:t>-</w:t>
            </w:r>
          </w:p>
        </w:tc>
      </w:tr>
      <w:tr w:rsidR="00EC474A">
        <w:tc>
          <w:tcPr>
            <w:tcW w:w="1290" w:type="dxa"/>
            <w:vAlign w:val="center"/>
          </w:tcPr>
          <w:p w:rsidR="00EC474A" w:rsidRDefault="009531DE">
            <w:pPr>
              <w:jc w:val="left"/>
            </w:pPr>
            <w:r>
              <w:rPr>
                <w:rFonts w:eastAsiaTheme="minorEastAsia"/>
                <w:color w:val="000000" w:themeColor="text1"/>
                <w:szCs w:val="21"/>
              </w:rPr>
              <w:t>自基金合同生效起至今</w:t>
            </w:r>
          </w:p>
        </w:tc>
        <w:tc>
          <w:tcPr>
            <w:tcW w:w="1291" w:type="dxa"/>
            <w:vAlign w:val="center"/>
          </w:tcPr>
          <w:p w:rsidR="00EC474A" w:rsidRDefault="009531DE">
            <w:pPr>
              <w:jc w:val="right"/>
            </w:pPr>
            <w:r>
              <w:rPr>
                <w:rFonts w:eastAsiaTheme="minorEastAsia"/>
                <w:color w:val="000000" w:themeColor="text1"/>
                <w:szCs w:val="21"/>
              </w:rPr>
              <w:t>9.04%</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15.36%</w:t>
            </w:r>
          </w:p>
        </w:tc>
        <w:tc>
          <w:tcPr>
            <w:tcW w:w="1291" w:type="dxa"/>
            <w:vAlign w:val="center"/>
          </w:tcPr>
          <w:p w:rsidR="00EC474A" w:rsidRDefault="009531DE">
            <w:pPr>
              <w:jc w:val="right"/>
            </w:pPr>
            <w:r>
              <w:rPr>
                <w:rFonts w:eastAsiaTheme="minorEastAsia"/>
                <w:color w:val="000000" w:themeColor="text1"/>
                <w:szCs w:val="21"/>
              </w:rPr>
              <w:t>0.01%</w:t>
            </w:r>
          </w:p>
        </w:tc>
        <w:tc>
          <w:tcPr>
            <w:tcW w:w="1291" w:type="dxa"/>
            <w:vAlign w:val="center"/>
          </w:tcPr>
          <w:p w:rsidR="00EC474A" w:rsidRDefault="009531DE">
            <w:pPr>
              <w:jc w:val="right"/>
            </w:pPr>
            <w:r>
              <w:rPr>
                <w:rFonts w:eastAsiaTheme="minorEastAsia"/>
                <w:color w:val="000000" w:themeColor="text1"/>
                <w:szCs w:val="21"/>
              </w:rPr>
              <w:t>-6.32%</w:t>
            </w:r>
          </w:p>
        </w:tc>
        <w:tc>
          <w:tcPr>
            <w:tcW w:w="1291" w:type="dxa"/>
            <w:vAlign w:val="center"/>
          </w:tcPr>
          <w:p w:rsidR="00EC474A" w:rsidRDefault="009531DE">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C474A">
        <w:tc>
          <w:tcPr>
            <w:tcW w:w="952" w:type="dxa"/>
            <w:vAlign w:val="center"/>
          </w:tcPr>
          <w:p w:rsidR="00EC474A" w:rsidRDefault="009531DE">
            <w:pPr>
              <w:jc w:val="center"/>
            </w:pPr>
            <w:r>
              <w:rPr>
                <w:rFonts w:eastAsiaTheme="minorEastAsia"/>
                <w:color w:val="000000" w:themeColor="text1"/>
                <w:szCs w:val="21"/>
              </w:rPr>
              <w:t>任翔</w:t>
            </w:r>
          </w:p>
        </w:tc>
        <w:tc>
          <w:tcPr>
            <w:tcW w:w="930" w:type="dxa"/>
            <w:vAlign w:val="center"/>
          </w:tcPr>
          <w:p w:rsidR="00EC474A" w:rsidRDefault="009531DE">
            <w:pPr>
              <w:jc w:val="center"/>
            </w:pPr>
            <w:r>
              <w:rPr>
                <w:rFonts w:eastAsiaTheme="minorEastAsia"/>
                <w:color w:val="000000" w:themeColor="text1"/>
                <w:szCs w:val="21"/>
              </w:rPr>
              <w:t>本基金基金经理</w:t>
            </w:r>
          </w:p>
        </w:tc>
        <w:tc>
          <w:tcPr>
            <w:tcW w:w="1210" w:type="dxa"/>
            <w:vAlign w:val="center"/>
          </w:tcPr>
          <w:p w:rsidR="00EC474A" w:rsidRDefault="009531DE">
            <w:pPr>
              <w:jc w:val="center"/>
            </w:pPr>
            <w:r>
              <w:rPr>
                <w:rFonts w:eastAsiaTheme="minorEastAsia"/>
                <w:color w:val="000000" w:themeColor="text1"/>
                <w:szCs w:val="21"/>
              </w:rPr>
              <w:t>2020-03-18</w:t>
            </w:r>
          </w:p>
        </w:tc>
        <w:tc>
          <w:tcPr>
            <w:tcW w:w="1309" w:type="dxa"/>
            <w:vAlign w:val="center"/>
          </w:tcPr>
          <w:p w:rsidR="00EC474A" w:rsidRDefault="009531DE">
            <w:pPr>
              <w:jc w:val="center"/>
            </w:pPr>
            <w:r>
              <w:rPr>
                <w:rFonts w:eastAsiaTheme="minorEastAsia"/>
                <w:color w:val="000000" w:themeColor="text1"/>
                <w:szCs w:val="21"/>
              </w:rPr>
              <w:t>-</w:t>
            </w:r>
          </w:p>
        </w:tc>
        <w:tc>
          <w:tcPr>
            <w:tcW w:w="1254" w:type="dxa"/>
            <w:vAlign w:val="center"/>
          </w:tcPr>
          <w:p w:rsidR="00EC474A" w:rsidRDefault="009531DE">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EC474A" w:rsidRDefault="009531DE">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EC474A" w:rsidRDefault="009531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C474A" w:rsidRDefault="009531D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年，债券市场延续了此前的强势表现。在权益类资产表现趋弱、市场风险偏好偏低的情况下，股债跷跷板效应再度推动债券收益率下行。虽然</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日的中期借贷便利（</w:t>
      </w:r>
      <w:r>
        <w:rPr>
          <w:rFonts w:eastAsiaTheme="minorEastAsia"/>
          <w:color w:val="000000" w:themeColor="text1"/>
          <w:szCs w:val="21"/>
        </w:rPr>
        <w:t>MLF</w:t>
      </w:r>
      <w:r>
        <w:rPr>
          <w:rFonts w:eastAsiaTheme="minorEastAsia"/>
          <w:color w:val="000000" w:themeColor="text1"/>
          <w:szCs w:val="21"/>
        </w:rPr>
        <w:t>）降息预期落空，但是市场对后续的货币宽松依然持有信心。</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日央行宣布降准，对债券形成利好。临近春节，避险情绪再度升温，债券博弈情绪高涨，收益率再下一城后在止盈盘的影响下进入短暂震荡。</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w:t>
      </w:r>
      <w:r>
        <w:rPr>
          <w:rFonts w:eastAsiaTheme="minorEastAsia"/>
          <w:color w:val="000000" w:themeColor="text1"/>
          <w:szCs w:val="21"/>
        </w:rPr>
        <w:t>5</w:t>
      </w:r>
      <w:r>
        <w:rPr>
          <w:rFonts w:eastAsiaTheme="minorEastAsia"/>
          <w:color w:val="000000" w:themeColor="text1"/>
          <w:szCs w:val="21"/>
        </w:rPr>
        <w:t>年期贷款市场报价利率（</w:t>
      </w:r>
      <w:r>
        <w:rPr>
          <w:rFonts w:eastAsiaTheme="minorEastAsia"/>
          <w:color w:val="000000" w:themeColor="text1"/>
          <w:szCs w:val="21"/>
        </w:rPr>
        <w:t>LPR</w:t>
      </w:r>
      <w:r>
        <w:rPr>
          <w:rFonts w:eastAsiaTheme="minorEastAsia"/>
          <w:color w:val="000000" w:themeColor="text1"/>
          <w:szCs w:val="21"/>
        </w:rPr>
        <w:t>）超预期下调</w:t>
      </w:r>
      <w:r>
        <w:rPr>
          <w:rFonts w:eastAsiaTheme="minorEastAsia"/>
          <w:color w:val="000000" w:themeColor="text1"/>
          <w:szCs w:val="21"/>
        </w:rPr>
        <w:t>25bp</w:t>
      </w:r>
      <w:r>
        <w:rPr>
          <w:rFonts w:eastAsiaTheme="minorEastAsia"/>
          <w:color w:val="000000" w:themeColor="text1"/>
          <w:szCs w:val="21"/>
        </w:rPr>
        <w:t>，比价效应驱动债券市场再度走强。进入</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w:t>
      </w:r>
      <w:r>
        <w:rPr>
          <w:rFonts w:eastAsiaTheme="minorEastAsia"/>
          <w:color w:val="000000" w:themeColor="text1"/>
          <w:szCs w:val="21"/>
        </w:rPr>
        <w:t>两会</w:t>
      </w:r>
      <w:r>
        <w:rPr>
          <w:rFonts w:eastAsiaTheme="minorEastAsia"/>
          <w:color w:val="000000" w:themeColor="text1"/>
          <w:szCs w:val="21"/>
        </w:rPr>
        <w:t>”</w:t>
      </w:r>
      <w:r>
        <w:rPr>
          <w:rFonts w:eastAsiaTheme="minorEastAsia"/>
          <w:color w:val="000000" w:themeColor="text1"/>
          <w:szCs w:val="21"/>
        </w:rPr>
        <w:t>动向成为市场关注点。政府工作报告整体符合市场预</w:t>
      </w:r>
      <w:r>
        <w:rPr>
          <w:rFonts w:eastAsiaTheme="minorEastAsia"/>
          <w:color w:val="000000" w:themeColor="text1"/>
          <w:szCs w:val="21"/>
        </w:rPr>
        <w:t>期，央行在新闻发布会上提及降准仍有空间，债牛延续。</w:t>
      </w:r>
      <w:r>
        <w:rPr>
          <w:rFonts w:eastAsiaTheme="minorEastAsia"/>
          <w:color w:val="000000" w:themeColor="text1"/>
          <w:szCs w:val="21"/>
        </w:rPr>
        <w:t>3</w:t>
      </w:r>
      <w:r>
        <w:rPr>
          <w:rFonts w:eastAsiaTheme="minorEastAsia"/>
          <w:color w:val="000000" w:themeColor="text1"/>
          <w:szCs w:val="21"/>
        </w:rPr>
        <w:t>月中，受到监管关注超长债情况的影响，交易盘卖出明显，收益率向上调整，但整体调整幅度不大，市场随后进入震荡。虽然</w:t>
      </w:r>
      <w:r>
        <w:rPr>
          <w:rFonts w:eastAsiaTheme="minorEastAsia"/>
          <w:color w:val="000000" w:themeColor="text1"/>
          <w:szCs w:val="21"/>
        </w:rPr>
        <w:t>1-2</w:t>
      </w:r>
      <w:r>
        <w:rPr>
          <w:rFonts w:eastAsiaTheme="minorEastAsia"/>
          <w:color w:val="000000" w:themeColor="text1"/>
          <w:szCs w:val="21"/>
        </w:rPr>
        <w:t>月经济数据好于预期，但市场仍选择继续观察，对债券市场并未转向悲观。</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本基金在一季度保持了既有配置，维持基金杠杆率。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短期来看对于债券市场影响重要的核心变量依然是房地产。近期部分一线城市的二手房交易量持续回暖，应当关注其可持续性。但整体而言，我们认为地产的修复仍然需要一定的时间。货币政策方面，未来降准降息仍然值得期待，时点上于美联储开启降息之后的概率更高。</w:t>
      </w:r>
      <w:r w:rsidRPr="00B27A29">
        <w:rPr>
          <w:rFonts w:eastAsiaTheme="minorEastAsia"/>
          <w:color w:val="000000" w:themeColor="text1"/>
          <w:szCs w:val="21"/>
        </w:rPr>
        <w:lastRenderedPageBreak/>
        <w:t>我们将对重要宏观变量保持紧密跟踪，应势而动。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:0.54%</w:t>
      </w:r>
      <w:r>
        <w:rPr>
          <w:rFonts w:eastAsiaTheme="minorEastAsia"/>
          <w:color w:val="000000" w:themeColor="text1"/>
          <w:szCs w:val="21"/>
        </w:rPr>
        <w:t>，同期业绩比较基准收益率为</w:t>
      </w:r>
      <w:r>
        <w:rPr>
          <w:rFonts w:eastAsiaTheme="minorEastAsia"/>
          <w:color w:val="000000" w:themeColor="text1"/>
          <w:szCs w:val="21"/>
        </w:rPr>
        <w:t>:0.95%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13,367,819,013.44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13,367,819,013.44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2,920,095.96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672,000.00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13,371,411,109.40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13,367,819,013.44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165.03</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8,637,256,607.30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13,367,819,013.44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C474A">
        <w:tc>
          <w:tcPr>
            <w:tcW w:w="1504" w:type="dxa"/>
            <w:vAlign w:val="center"/>
          </w:tcPr>
          <w:p w:rsidR="00EC474A" w:rsidRDefault="009531DE">
            <w:pPr>
              <w:jc w:val="center"/>
            </w:pPr>
            <w:r>
              <w:rPr>
                <w:rFonts w:eastAsiaTheme="minorEastAsia"/>
                <w:color w:val="000000" w:themeColor="text1"/>
                <w:szCs w:val="21"/>
              </w:rPr>
              <w:t>1</w:t>
            </w:r>
          </w:p>
        </w:tc>
        <w:tc>
          <w:tcPr>
            <w:tcW w:w="1504" w:type="dxa"/>
            <w:vAlign w:val="center"/>
          </w:tcPr>
          <w:p w:rsidR="00EC474A" w:rsidRDefault="009531DE">
            <w:pPr>
              <w:jc w:val="center"/>
            </w:pPr>
            <w:r>
              <w:rPr>
                <w:rFonts w:eastAsiaTheme="minorEastAsia"/>
                <w:color w:val="000000" w:themeColor="text1"/>
                <w:szCs w:val="21"/>
              </w:rPr>
              <w:t>160210</w:t>
            </w:r>
          </w:p>
        </w:tc>
        <w:tc>
          <w:tcPr>
            <w:tcW w:w="1504" w:type="dxa"/>
            <w:vAlign w:val="center"/>
          </w:tcPr>
          <w:p w:rsidR="00EC474A" w:rsidRDefault="009531DE">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EC474A" w:rsidRDefault="009531DE">
            <w:pPr>
              <w:jc w:val="right"/>
            </w:pPr>
            <w:r>
              <w:rPr>
                <w:rFonts w:eastAsiaTheme="minorEastAsia"/>
                <w:color w:val="000000" w:themeColor="text1"/>
                <w:szCs w:val="21"/>
              </w:rPr>
              <w:t>31,200,000</w:t>
            </w:r>
          </w:p>
        </w:tc>
        <w:tc>
          <w:tcPr>
            <w:tcW w:w="1503" w:type="dxa"/>
            <w:vAlign w:val="center"/>
          </w:tcPr>
          <w:p w:rsidR="00EC474A" w:rsidRDefault="009531DE">
            <w:pPr>
              <w:jc w:val="right"/>
            </w:pPr>
            <w:r>
              <w:rPr>
                <w:rFonts w:eastAsiaTheme="minorEastAsia"/>
                <w:color w:val="000000" w:themeColor="text1"/>
                <w:szCs w:val="21"/>
              </w:rPr>
              <w:t>3,261,956,085.26</w:t>
            </w:r>
          </w:p>
        </w:tc>
        <w:tc>
          <w:tcPr>
            <w:tcW w:w="1503" w:type="dxa"/>
            <w:vAlign w:val="center"/>
          </w:tcPr>
          <w:p w:rsidR="00EC474A" w:rsidRDefault="009531DE">
            <w:pPr>
              <w:jc w:val="right"/>
            </w:pPr>
            <w:r>
              <w:rPr>
                <w:rFonts w:eastAsiaTheme="minorEastAsia"/>
                <w:color w:val="000000" w:themeColor="text1"/>
                <w:szCs w:val="21"/>
              </w:rPr>
              <w:t>40.27</w:t>
            </w:r>
          </w:p>
        </w:tc>
      </w:tr>
      <w:tr w:rsidR="00EC474A">
        <w:tc>
          <w:tcPr>
            <w:tcW w:w="1504" w:type="dxa"/>
            <w:vAlign w:val="center"/>
          </w:tcPr>
          <w:p w:rsidR="00EC474A" w:rsidRDefault="009531DE">
            <w:pPr>
              <w:jc w:val="center"/>
            </w:pPr>
            <w:r>
              <w:rPr>
                <w:rFonts w:eastAsiaTheme="minorEastAsia"/>
                <w:color w:val="000000" w:themeColor="text1"/>
                <w:szCs w:val="21"/>
              </w:rPr>
              <w:t>2</w:t>
            </w:r>
          </w:p>
        </w:tc>
        <w:tc>
          <w:tcPr>
            <w:tcW w:w="1504" w:type="dxa"/>
            <w:vAlign w:val="center"/>
          </w:tcPr>
          <w:p w:rsidR="00EC474A" w:rsidRDefault="009531DE">
            <w:pPr>
              <w:jc w:val="center"/>
            </w:pPr>
            <w:r>
              <w:rPr>
                <w:rFonts w:eastAsiaTheme="minorEastAsia"/>
                <w:color w:val="000000" w:themeColor="text1"/>
                <w:szCs w:val="21"/>
              </w:rPr>
              <w:t>190408</w:t>
            </w:r>
          </w:p>
        </w:tc>
        <w:tc>
          <w:tcPr>
            <w:tcW w:w="1504" w:type="dxa"/>
            <w:vAlign w:val="center"/>
          </w:tcPr>
          <w:p w:rsidR="00EC474A" w:rsidRDefault="009531DE">
            <w:pPr>
              <w:jc w:val="center"/>
            </w:pPr>
            <w:r>
              <w:rPr>
                <w:rFonts w:eastAsiaTheme="minorEastAsia"/>
                <w:color w:val="000000" w:themeColor="text1"/>
                <w:szCs w:val="21"/>
              </w:rPr>
              <w:t>19</w:t>
            </w:r>
            <w:r>
              <w:rPr>
                <w:rFonts w:eastAsiaTheme="minorEastAsia"/>
                <w:color w:val="000000" w:themeColor="text1"/>
                <w:szCs w:val="21"/>
              </w:rPr>
              <w:t>农发</w:t>
            </w:r>
            <w:r>
              <w:rPr>
                <w:rFonts w:eastAsiaTheme="minorEastAsia"/>
                <w:color w:val="000000" w:themeColor="text1"/>
                <w:szCs w:val="21"/>
              </w:rPr>
              <w:t>08</w:t>
            </w:r>
          </w:p>
        </w:tc>
        <w:tc>
          <w:tcPr>
            <w:tcW w:w="1503" w:type="dxa"/>
            <w:vAlign w:val="center"/>
          </w:tcPr>
          <w:p w:rsidR="00EC474A" w:rsidRDefault="009531DE">
            <w:pPr>
              <w:jc w:val="right"/>
            </w:pPr>
            <w:r>
              <w:rPr>
                <w:rFonts w:eastAsiaTheme="minorEastAsia"/>
                <w:color w:val="000000" w:themeColor="text1"/>
                <w:szCs w:val="21"/>
              </w:rPr>
              <w:t>25,400,000</w:t>
            </w:r>
          </w:p>
        </w:tc>
        <w:tc>
          <w:tcPr>
            <w:tcW w:w="1503" w:type="dxa"/>
            <w:vAlign w:val="center"/>
          </w:tcPr>
          <w:p w:rsidR="00EC474A" w:rsidRDefault="009531DE">
            <w:pPr>
              <w:jc w:val="right"/>
            </w:pPr>
            <w:r>
              <w:rPr>
                <w:rFonts w:eastAsiaTheme="minorEastAsia"/>
                <w:color w:val="000000" w:themeColor="text1"/>
                <w:szCs w:val="21"/>
              </w:rPr>
              <w:t>2,670,509,284.00</w:t>
            </w:r>
          </w:p>
        </w:tc>
        <w:tc>
          <w:tcPr>
            <w:tcW w:w="1503" w:type="dxa"/>
            <w:vAlign w:val="center"/>
          </w:tcPr>
          <w:p w:rsidR="00EC474A" w:rsidRDefault="009531DE">
            <w:pPr>
              <w:jc w:val="right"/>
            </w:pPr>
            <w:r>
              <w:rPr>
                <w:rFonts w:eastAsiaTheme="minorEastAsia"/>
                <w:color w:val="000000" w:themeColor="text1"/>
                <w:szCs w:val="21"/>
              </w:rPr>
              <w:t>32.97</w:t>
            </w:r>
          </w:p>
        </w:tc>
      </w:tr>
      <w:tr w:rsidR="00EC474A">
        <w:tc>
          <w:tcPr>
            <w:tcW w:w="1504" w:type="dxa"/>
            <w:vAlign w:val="center"/>
          </w:tcPr>
          <w:p w:rsidR="00EC474A" w:rsidRDefault="009531DE">
            <w:pPr>
              <w:jc w:val="center"/>
            </w:pPr>
            <w:r>
              <w:rPr>
                <w:rFonts w:eastAsiaTheme="minorEastAsia"/>
                <w:color w:val="000000" w:themeColor="text1"/>
                <w:szCs w:val="21"/>
              </w:rPr>
              <w:t>3</w:t>
            </w:r>
          </w:p>
        </w:tc>
        <w:tc>
          <w:tcPr>
            <w:tcW w:w="1504" w:type="dxa"/>
            <w:vAlign w:val="center"/>
          </w:tcPr>
          <w:p w:rsidR="00EC474A" w:rsidRDefault="009531DE">
            <w:pPr>
              <w:jc w:val="center"/>
            </w:pPr>
            <w:r>
              <w:rPr>
                <w:rFonts w:eastAsiaTheme="minorEastAsia"/>
                <w:color w:val="000000" w:themeColor="text1"/>
                <w:szCs w:val="21"/>
              </w:rPr>
              <w:t>230405</w:t>
            </w:r>
          </w:p>
        </w:tc>
        <w:tc>
          <w:tcPr>
            <w:tcW w:w="1504" w:type="dxa"/>
            <w:vAlign w:val="center"/>
          </w:tcPr>
          <w:p w:rsidR="00EC474A" w:rsidRDefault="009531DE">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EC474A" w:rsidRDefault="009531DE">
            <w:pPr>
              <w:jc w:val="right"/>
            </w:pPr>
            <w:r>
              <w:rPr>
                <w:rFonts w:eastAsiaTheme="minorEastAsia"/>
                <w:color w:val="000000" w:themeColor="text1"/>
                <w:szCs w:val="21"/>
              </w:rPr>
              <w:t>14,300,000</w:t>
            </w:r>
          </w:p>
        </w:tc>
        <w:tc>
          <w:tcPr>
            <w:tcW w:w="1503" w:type="dxa"/>
            <w:vAlign w:val="center"/>
          </w:tcPr>
          <w:p w:rsidR="00EC474A" w:rsidRDefault="009531DE">
            <w:pPr>
              <w:jc w:val="right"/>
            </w:pPr>
            <w:r>
              <w:rPr>
                <w:rFonts w:eastAsiaTheme="minorEastAsia"/>
                <w:color w:val="000000" w:themeColor="text1"/>
                <w:szCs w:val="21"/>
              </w:rPr>
              <w:t>1,467,559,291.24</w:t>
            </w:r>
          </w:p>
        </w:tc>
        <w:tc>
          <w:tcPr>
            <w:tcW w:w="1503" w:type="dxa"/>
            <w:vAlign w:val="center"/>
          </w:tcPr>
          <w:p w:rsidR="00EC474A" w:rsidRDefault="009531DE">
            <w:pPr>
              <w:jc w:val="right"/>
            </w:pPr>
            <w:r>
              <w:rPr>
                <w:rFonts w:eastAsiaTheme="minorEastAsia"/>
                <w:color w:val="000000" w:themeColor="text1"/>
                <w:szCs w:val="21"/>
              </w:rPr>
              <w:t>18.12</w:t>
            </w:r>
          </w:p>
        </w:tc>
      </w:tr>
      <w:tr w:rsidR="00EC474A">
        <w:tc>
          <w:tcPr>
            <w:tcW w:w="1504" w:type="dxa"/>
            <w:vAlign w:val="center"/>
          </w:tcPr>
          <w:p w:rsidR="00EC474A" w:rsidRDefault="009531DE">
            <w:pPr>
              <w:jc w:val="center"/>
            </w:pPr>
            <w:r>
              <w:rPr>
                <w:rFonts w:eastAsiaTheme="minorEastAsia"/>
                <w:color w:val="000000" w:themeColor="text1"/>
                <w:szCs w:val="21"/>
              </w:rPr>
              <w:t>4</w:t>
            </w:r>
          </w:p>
        </w:tc>
        <w:tc>
          <w:tcPr>
            <w:tcW w:w="1504" w:type="dxa"/>
            <w:vAlign w:val="center"/>
          </w:tcPr>
          <w:p w:rsidR="00EC474A" w:rsidRDefault="009531DE">
            <w:pPr>
              <w:jc w:val="center"/>
            </w:pPr>
            <w:r>
              <w:rPr>
                <w:rFonts w:eastAsiaTheme="minorEastAsia"/>
                <w:color w:val="000000" w:themeColor="text1"/>
                <w:szCs w:val="21"/>
              </w:rPr>
              <w:t>212300002</w:t>
            </w:r>
          </w:p>
        </w:tc>
        <w:tc>
          <w:tcPr>
            <w:tcW w:w="1504" w:type="dxa"/>
            <w:vAlign w:val="center"/>
          </w:tcPr>
          <w:p w:rsidR="00EC474A" w:rsidRDefault="009531DE">
            <w:pPr>
              <w:jc w:val="center"/>
            </w:pPr>
            <w:r>
              <w:rPr>
                <w:rFonts w:eastAsiaTheme="minorEastAsia"/>
                <w:color w:val="000000" w:themeColor="text1"/>
                <w:szCs w:val="21"/>
              </w:rPr>
              <w:t>23</w:t>
            </w:r>
            <w:r>
              <w:rPr>
                <w:rFonts w:eastAsiaTheme="minorEastAsia"/>
                <w:color w:val="000000" w:themeColor="text1"/>
                <w:szCs w:val="21"/>
              </w:rPr>
              <w:t>江苏银行债</w:t>
            </w:r>
            <w:r>
              <w:rPr>
                <w:rFonts w:eastAsiaTheme="minorEastAsia"/>
                <w:color w:val="000000" w:themeColor="text1"/>
                <w:szCs w:val="21"/>
              </w:rPr>
              <w:t>01</w:t>
            </w:r>
          </w:p>
        </w:tc>
        <w:tc>
          <w:tcPr>
            <w:tcW w:w="1503" w:type="dxa"/>
            <w:vAlign w:val="center"/>
          </w:tcPr>
          <w:p w:rsidR="00EC474A" w:rsidRDefault="009531DE">
            <w:pPr>
              <w:jc w:val="right"/>
            </w:pPr>
            <w:r>
              <w:rPr>
                <w:rFonts w:eastAsiaTheme="minorEastAsia"/>
                <w:color w:val="000000" w:themeColor="text1"/>
                <w:szCs w:val="21"/>
              </w:rPr>
              <w:t>5,500,000</w:t>
            </w:r>
          </w:p>
        </w:tc>
        <w:tc>
          <w:tcPr>
            <w:tcW w:w="1503" w:type="dxa"/>
            <w:vAlign w:val="center"/>
          </w:tcPr>
          <w:p w:rsidR="00EC474A" w:rsidRDefault="009531DE">
            <w:pPr>
              <w:jc w:val="right"/>
            </w:pPr>
            <w:r>
              <w:rPr>
                <w:rFonts w:eastAsiaTheme="minorEastAsia"/>
                <w:color w:val="000000" w:themeColor="text1"/>
                <w:szCs w:val="21"/>
              </w:rPr>
              <w:t>559,867,985.76</w:t>
            </w:r>
          </w:p>
        </w:tc>
        <w:tc>
          <w:tcPr>
            <w:tcW w:w="1503" w:type="dxa"/>
            <w:vAlign w:val="center"/>
          </w:tcPr>
          <w:p w:rsidR="00EC474A" w:rsidRDefault="009531DE">
            <w:pPr>
              <w:jc w:val="right"/>
            </w:pPr>
            <w:r>
              <w:rPr>
                <w:rFonts w:eastAsiaTheme="minorEastAsia"/>
                <w:color w:val="000000" w:themeColor="text1"/>
                <w:szCs w:val="21"/>
              </w:rPr>
              <w:t>6.91</w:t>
            </w:r>
          </w:p>
        </w:tc>
      </w:tr>
      <w:tr w:rsidR="00EC474A">
        <w:tc>
          <w:tcPr>
            <w:tcW w:w="1504" w:type="dxa"/>
            <w:vAlign w:val="center"/>
          </w:tcPr>
          <w:p w:rsidR="00EC474A" w:rsidRDefault="009531DE">
            <w:pPr>
              <w:jc w:val="center"/>
            </w:pPr>
            <w:r>
              <w:rPr>
                <w:rFonts w:eastAsiaTheme="minorEastAsia"/>
                <w:color w:val="000000" w:themeColor="text1"/>
                <w:szCs w:val="21"/>
              </w:rPr>
              <w:t>5</w:t>
            </w:r>
          </w:p>
        </w:tc>
        <w:tc>
          <w:tcPr>
            <w:tcW w:w="1504" w:type="dxa"/>
            <w:vAlign w:val="center"/>
          </w:tcPr>
          <w:p w:rsidR="00EC474A" w:rsidRDefault="009531DE">
            <w:pPr>
              <w:jc w:val="center"/>
            </w:pPr>
            <w:r>
              <w:rPr>
                <w:rFonts w:eastAsiaTheme="minorEastAsia"/>
                <w:color w:val="000000" w:themeColor="text1"/>
                <w:szCs w:val="21"/>
              </w:rPr>
              <w:t>2328018</w:t>
            </w:r>
          </w:p>
        </w:tc>
        <w:tc>
          <w:tcPr>
            <w:tcW w:w="1504" w:type="dxa"/>
            <w:vAlign w:val="center"/>
          </w:tcPr>
          <w:p w:rsidR="00EC474A" w:rsidRDefault="009531DE">
            <w:pPr>
              <w:jc w:val="center"/>
            </w:pPr>
            <w:r>
              <w:rPr>
                <w:rFonts w:eastAsiaTheme="minorEastAsia"/>
                <w:color w:val="000000" w:themeColor="text1"/>
                <w:szCs w:val="21"/>
              </w:rPr>
              <w:t>23</w:t>
            </w:r>
            <w:r>
              <w:rPr>
                <w:rFonts w:eastAsiaTheme="minorEastAsia"/>
                <w:color w:val="000000" w:themeColor="text1"/>
                <w:szCs w:val="21"/>
              </w:rPr>
              <w:t>兴业银行绿色金融债</w:t>
            </w:r>
            <w:r>
              <w:rPr>
                <w:rFonts w:eastAsiaTheme="minorEastAsia"/>
                <w:color w:val="000000" w:themeColor="text1"/>
                <w:szCs w:val="21"/>
              </w:rPr>
              <w:t>02</w:t>
            </w:r>
          </w:p>
        </w:tc>
        <w:tc>
          <w:tcPr>
            <w:tcW w:w="1503" w:type="dxa"/>
            <w:vAlign w:val="center"/>
          </w:tcPr>
          <w:p w:rsidR="00EC474A" w:rsidRDefault="009531DE">
            <w:pPr>
              <w:jc w:val="right"/>
            </w:pPr>
            <w:r>
              <w:rPr>
                <w:rFonts w:eastAsiaTheme="minorEastAsia"/>
                <w:color w:val="000000" w:themeColor="text1"/>
                <w:szCs w:val="21"/>
              </w:rPr>
              <w:t>5,200,000</w:t>
            </w:r>
          </w:p>
        </w:tc>
        <w:tc>
          <w:tcPr>
            <w:tcW w:w="1503" w:type="dxa"/>
            <w:vAlign w:val="center"/>
          </w:tcPr>
          <w:p w:rsidR="00EC474A" w:rsidRDefault="009531DE">
            <w:pPr>
              <w:jc w:val="right"/>
            </w:pPr>
            <w:r>
              <w:rPr>
                <w:rFonts w:eastAsiaTheme="minorEastAsia"/>
                <w:color w:val="000000" w:themeColor="text1"/>
                <w:szCs w:val="21"/>
              </w:rPr>
              <w:t>529,223,462.21</w:t>
            </w:r>
          </w:p>
        </w:tc>
        <w:tc>
          <w:tcPr>
            <w:tcW w:w="1503" w:type="dxa"/>
            <w:vAlign w:val="center"/>
          </w:tcPr>
          <w:p w:rsidR="00EC474A" w:rsidRDefault="009531DE">
            <w:pPr>
              <w:jc w:val="right"/>
            </w:pPr>
            <w:r>
              <w:rPr>
                <w:rFonts w:eastAsiaTheme="minorEastAsia"/>
                <w:color w:val="000000" w:themeColor="text1"/>
                <w:szCs w:val="21"/>
              </w:rPr>
              <w:t>6.53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宁波银行股份有限公司在报告编制日前一年内曾受到国家金融监督管理总局宁波监管局、国家外汇管理局宁波市分局的处罚。杭州银行股份有限公司在报告编制日前一年内曾受到国家金融监督管理总局浙江监管局、浙江证监局的处罚。平安银行股份有限公司在报告编制日前一年内曾受到央行、国家金融监督管理总局深圳监管局的处罚。中信银行股份有限公司在报告编制日前一年内曾受到国家金融监督管理总局的处罚。本基金对上述主体所发行证券的投资决策程序符合相关法律法规、基金合同及公司投资制度的要求。</w:t>
      </w:r>
    </w:p>
    <w:p w:rsidR="00EC474A" w:rsidRDefault="009531DE">
      <w:pPr>
        <w:widowControl/>
        <w:spacing w:line="360" w:lineRule="auto"/>
        <w:rPr>
          <w:rFonts w:eastAsiaTheme="minorEastAsia"/>
          <w:color w:val="000000" w:themeColor="text1"/>
          <w:szCs w:val="21"/>
        </w:rPr>
      </w:pPr>
      <w:r>
        <w:rPr>
          <w:rFonts w:eastAsiaTheme="minorEastAsia"/>
          <w:color w:val="000000" w:themeColor="text1"/>
          <w:szCs w:val="21"/>
        </w:rPr>
        <w:t>除上</w:t>
      </w:r>
      <w:r>
        <w:rPr>
          <w:rFonts w:eastAsiaTheme="minorEastAsia"/>
          <w:color w:val="000000" w:themeColor="text1"/>
          <w:szCs w:val="21"/>
        </w:rPr>
        <w:t>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672,000.00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672,000.00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EC474A">
        <w:tc>
          <w:tcPr>
            <w:tcW w:w="993" w:type="dxa"/>
            <w:vMerge w:val="restart"/>
            <w:vAlign w:val="center"/>
          </w:tcPr>
          <w:p w:rsidR="00EC474A" w:rsidRDefault="009531DE">
            <w:r>
              <w:rPr>
                <w:bCs/>
                <w:color w:val="000000"/>
                <w:kern w:val="0"/>
                <w:szCs w:val="21"/>
              </w:rPr>
              <w:t>机构</w:t>
            </w:r>
          </w:p>
        </w:tc>
        <w:tc>
          <w:tcPr>
            <w:tcW w:w="992" w:type="dxa"/>
            <w:vAlign w:val="center"/>
          </w:tcPr>
          <w:p w:rsidR="00EC474A" w:rsidRDefault="009531DE">
            <w:pPr>
              <w:jc w:val="center"/>
            </w:pPr>
            <w:r>
              <w:rPr>
                <w:color w:val="000000"/>
                <w:kern w:val="0"/>
                <w:szCs w:val="21"/>
              </w:rPr>
              <w:t>1</w:t>
            </w:r>
          </w:p>
        </w:tc>
        <w:tc>
          <w:tcPr>
            <w:tcW w:w="1843" w:type="dxa"/>
            <w:vAlign w:val="center"/>
          </w:tcPr>
          <w:p w:rsidR="00EC474A" w:rsidRDefault="009531DE">
            <w:pPr>
              <w:jc w:val="center"/>
            </w:pPr>
            <w:r>
              <w:rPr>
                <w:color w:val="000000"/>
                <w:kern w:val="0"/>
                <w:szCs w:val="21"/>
              </w:rPr>
              <w:t>20240101-20240331</w:t>
            </w:r>
          </w:p>
        </w:tc>
        <w:tc>
          <w:tcPr>
            <w:tcW w:w="851" w:type="dxa"/>
            <w:vAlign w:val="center"/>
          </w:tcPr>
          <w:p w:rsidR="00EC474A" w:rsidRDefault="009531DE">
            <w:pPr>
              <w:jc w:val="center"/>
            </w:pPr>
            <w:r>
              <w:rPr>
                <w:color w:val="000000"/>
                <w:kern w:val="0"/>
                <w:szCs w:val="21"/>
              </w:rPr>
              <w:t>2,036,922,000.69</w:t>
            </w:r>
          </w:p>
        </w:tc>
        <w:tc>
          <w:tcPr>
            <w:tcW w:w="850" w:type="dxa"/>
            <w:vAlign w:val="center"/>
          </w:tcPr>
          <w:p w:rsidR="00EC474A" w:rsidRDefault="009531DE">
            <w:pPr>
              <w:jc w:val="center"/>
            </w:pPr>
            <w:r>
              <w:rPr>
                <w:color w:val="000000"/>
                <w:kern w:val="0"/>
                <w:szCs w:val="21"/>
              </w:rPr>
              <w:t>0.00</w:t>
            </w:r>
          </w:p>
        </w:tc>
        <w:tc>
          <w:tcPr>
            <w:tcW w:w="1134" w:type="dxa"/>
            <w:vAlign w:val="center"/>
          </w:tcPr>
          <w:p w:rsidR="00EC474A" w:rsidRDefault="009531DE">
            <w:pPr>
              <w:jc w:val="center"/>
            </w:pPr>
            <w:r>
              <w:rPr>
                <w:color w:val="000000"/>
                <w:kern w:val="0"/>
                <w:szCs w:val="21"/>
              </w:rPr>
              <w:t>0.00</w:t>
            </w:r>
          </w:p>
        </w:tc>
        <w:tc>
          <w:tcPr>
            <w:tcW w:w="1419" w:type="dxa"/>
            <w:vAlign w:val="center"/>
          </w:tcPr>
          <w:p w:rsidR="00EC474A" w:rsidRDefault="009531DE">
            <w:pPr>
              <w:jc w:val="center"/>
            </w:pPr>
            <w:r>
              <w:rPr>
                <w:color w:val="000000"/>
                <w:kern w:val="0"/>
                <w:szCs w:val="21"/>
              </w:rPr>
              <w:t>2,036,922,000.69</w:t>
            </w:r>
          </w:p>
        </w:tc>
        <w:tc>
          <w:tcPr>
            <w:tcW w:w="1130" w:type="dxa"/>
            <w:vAlign w:val="center"/>
          </w:tcPr>
          <w:p w:rsidR="00EC474A" w:rsidRDefault="009531DE">
            <w:pPr>
              <w:jc w:val="center"/>
            </w:pPr>
            <w:r>
              <w:rPr>
                <w:color w:val="000000"/>
                <w:kern w:val="0"/>
                <w:szCs w:val="21"/>
              </w:rPr>
              <w:t>25.71%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EC474A" w:rsidRDefault="009531D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、摩根基金管理（中国）有限公司开放式基金业务规则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531D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531DE">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531D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摩根瑞泰</w:t>
    </w:r>
    <w:r>
      <w:t>38</w:t>
    </w:r>
    <w:r>
      <w:t>个月定期开放债券型证券投资基金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31DE"/>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474A"/>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35CBC-E528-4D6B-9975-1125B6F9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1076</Words>
  <Characters>6134</Characters>
  <Application>Microsoft Office Word</Application>
  <DocSecurity>0</DocSecurity>
  <Lines>51</Lines>
  <Paragraphs>14</Paragraphs>
  <ScaleCrop>false</ScaleCrop>
  <Company>TRT. Ltd. Co.</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