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7,923,455,732.55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54F01" w:rsidRDefault="00486B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7,923,440,765.03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14,967.52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50,110,405.29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50,110,405.29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8,221,020,291.45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15,470.35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1.0336</w:t>
            </w:r>
          </w:p>
        </w:tc>
      </w:tr>
    </w:tbl>
    <w:p w:rsidR="00554F01" w:rsidRDefault="00486B5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54F01">
        <w:tc>
          <w:tcPr>
            <w:tcW w:w="1290" w:type="dxa"/>
            <w:vAlign w:val="center"/>
          </w:tcPr>
          <w:p w:rsidR="00554F01" w:rsidRDefault="00486B57">
            <w:pPr>
              <w:jc w:val="left"/>
            </w:pPr>
            <w:r>
              <w:rPr>
                <w:rFonts w:eastAsiaTheme="minorEastAsia"/>
                <w:color w:val="000000" w:themeColor="text1"/>
                <w:szCs w:val="21"/>
              </w:rPr>
              <w:t>过去三个月</w:t>
            </w:r>
          </w:p>
        </w:tc>
        <w:tc>
          <w:tcPr>
            <w:tcW w:w="1291" w:type="dxa"/>
            <w:vAlign w:val="center"/>
          </w:tcPr>
          <w:p w:rsidR="00554F01" w:rsidRDefault="00486B57">
            <w:pPr>
              <w:jc w:val="right"/>
            </w:pPr>
            <w:r>
              <w:rPr>
                <w:rFonts w:eastAsiaTheme="minorEastAsia"/>
                <w:color w:val="000000" w:themeColor="text1"/>
                <w:szCs w:val="21"/>
              </w:rPr>
              <w:t>0.62%</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0.96%</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-0.34%</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过去六个月</w:t>
            </w:r>
          </w:p>
        </w:tc>
        <w:tc>
          <w:tcPr>
            <w:tcW w:w="1291" w:type="dxa"/>
            <w:vAlign w:val="center"/>
          </w:tcPr>
          <w:p w:rsidR="00554F01" w:rsidRDefault="00486B57">
            <w:pPr>
              <w:jc w:val="right"/>
            </w:pPr>
            <w:r>
              <w:rPr>
                <w:rFonts w:eastAsiaTheme="minorEastAsia"/>
                <w:color w:val="000000" w:themeColor="text1"/>
                <w:szCs w:val="21"/>
              </w:rPr>
              <w:t>1.50%</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1.91%</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-0.41%</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过去一年</w:t>
            </w:r>
          </w:p>
        </w:tc>
        <w:tc>
          <w:tcPr>
            <w:tcW w:w="1291" w:type="dxa"/>
            <w:vAlign w:val="center"/>
          </w:tcPr>
          <w:p w:rsidR="00554F01" w:rsidRDefault="00486B57">
            <w:pPr>
              <w:jc w:val="right"/>
            </w:pPr>
            <w:r>
              <w:rPr>
                <w:rFonts w:eastAsiaTheme="minorEastAsia"/>
                <w:color w:val="000000" w:themeColor="text1"/>
                <w:szCs w:val="21"/>
              </w:rPr>
              <w:t>2.56%</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3.81%</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-1.25%</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过去三年</w:t>
            </w:r>
          </w:p>
        </w:tc>
        <w:tc>
          <w:tcPr>
            <w:tcW w:w="1291" w:type="dxa"/>
            <w:vAlign w:val="center"/>
          </w:tcPr>
          <w:p w:rsidR="00554F01" w:rsidRDefault="00486B57">
            <w:pPr>
              <w:jc w:val="right"/>
            </w:pPr>
            <w:r>
              <w:rPr>
                <w:rFonts w:eastAsiaTheme="minorEastAsia"/>
                <w:color w:val="000000" w:themeColor="text1"/>
                <w:szCs w:val="21"/>
              </w:rPr>
              <w:t>8.38%</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11.42%</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-3.04%</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过去五年</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r>
      <w:tr w:rsidR="00554F01">
        <w:tc>
          <w:tcPr>
            <w:tcW w:w="1290" w:type="dxa"/>
            <w:vAlign w:val="center"/>
          </w:tcPr>
          <w:p w:rsidR="00554F01" w:rsidRDefault="00486B57">
            <w:pPr>
              <w:jc w:val="left"/>
            </w:pPr>
            <w:r>
              <w:rPr>
                <w:rFonts w:eastAsiaTheme="minorEastAsia"/>
                <w:color w:val="000000" w:themeColor="text1"/>
                <w:szCs w:val="21"/>
              </w:rPr>
              <w:t>自基金合同生效起至今</w:t>
            </w:r>
          </w:p>
        </w:tc>
        <w:tc>
          <w:tcPr>
            <w:tcW w:w="1291" w:type="dxa"/>
            <w:vAlign w:val="center"/>
          </w:tcPr>
          <w:p w:rsidR="00554F01" w:rsidRDefault="00486B57">
            <w:pPr>
              <w:jc w:val="right"/>
            </w:pPr>
            <w:r>
              <w:rPr>
                <w:rFonts w:eastAsiaTheme="minorEastAsia"/>
                <w:color w:val="000000" w:themeColor="text1"/>
                <w:szCs w:val="21"/>
              </w:rPr>
              <w:t>11.78%</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17.27%</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-5.49%</w:t>
            </w:r>
          </w:p>
        </w:tc>
        <w:tc>
          <w:tcPr>
            <w:tcW w:w="1291" w:type="dxa"/>
            <w:vAlign w:val="center"/>
          </w:tcPr>
          <w:p w:rsidR="00554F01" w:rsidRDefault="00486B57">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54F01">
        <w:tc>
          <w:tcPr>
            <w:tcW w:w="1290" w:type="dxa"/>
            <w:vAlign w:val="center"/>
          </w:tcPr>
          <w:p w:rsidR="00554F01" w:rsidRDefault="00486B57">
            <w:pPr>
              <w:jc w:val="left"/>
            </w:pPr>
            <w:r>
              <w:rPr>
                <w:rFonts w:eastAsiaTheme="minorEastAsia"/>
                <w:color w:val="000000" w:themeColor="text1"/>
                <w:szCs w:val="21"/>
              </w:rPr>
              <w:t>过去三个月</w:t>
            </w:r>
          </w:p>
        </w:tc>
        <w:tc>
          <w:tcPr>
            <w:tcW w:w="1291" w:type="dxa"/>
            <w:vAlign w:val="center"/>
          </w:tcPr>
          <w:p w:rsidR="00554F01" w:rsidRDefault="00486B57">
            <w:pPr>
              <w:jc w:val="right"/>
            </w:pPr>
            <w:r>
              <w:rPr>
                <w:rFonts w:eastAsiaTheme="minorEastAsia"/>
                <w:color w:val="000000" w:themeColor="text1"/>
                <w:szCs w:val="21"/>
              </w:rPr>
              <w:t>0.54%</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0.96%</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-0.42%</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过去六个月</w:t>
            </w:r>
          </w:p>
        </w:tc>
        <w:tc>
          <w:tcPr>
            <w:tcW w:w="1291" w:type="dxa"/>
            <w:vAlign w:val="center"/>
          </w:tcPr>
          <w:p w:rsidR="00554F01" w:rsidRDefault="00486B57">
            <w:pPr>
              <w:jc w:val="right"/>
            </w:pPr>
            <w:r>
              <w:rPr>
                <w:rFonts w:eastAsiaTheme="minorEastAsia"/>
                <w:color w:val="000000" w:themeColor="text1"/>
                <w:szCs w:val="21"/>
              </w:rPr>
              <w:t>1.36%</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1.91%</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-0.55%</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过去一年</w:t>
            </w:r>
          </w:p>
        </w:tc>
        <w:tc>
          <w:tcPr>
            <w:tcW w:w="1291" w:type="dxa"/>
            <w:vAlign w:val="center"/>
          </w:tcPr>
          <w:p w:rsidR="00554F01" w:rsidRDefault="00486B57">
            <w:pPr>
              <w:jc w:val="right"/>
            </w:pPr>
            <w:r>
              <w:rPr>
                <w:rFonts w:eastAsiaTheme="minorEastAsia"/>
                <w:color w:val="000000" w:themeColor="text1"/>
                <w:szCs w:val="21"/>
              </w:rPr>
              <w:t>2.30%</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3.81%</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-1.51%</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过去三年</w:t>
            </w:r>
          </w:p>
        </w:tc>
        <w:tc>
          <w:tcPr>
            <w:tcW w:w="1291" w:type="dxa"/>
            <w:vAlign w:val="center"/>
          </w:tcPr>
          <w:p w:rsidR="00554F01" w:rsidRDefault="00486B57">
            <w:pPr>
              <w:jc w:val="right"/>
            </w:pPr>
            <w:r>
              <w:rPr>
                <w:rFonts w:eastAsiaTheme="minorEastAsia"/>
                <w:color w:val="000000" w:themeColor="text1"/>
                <w:szCs w:val="21"/>
              </w:rPr>
              <w:t>7.57%</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11.42%</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-3.85%</w:t>
            </w:r>
          </w:p>
        </w:tc>
        <w:tc>
          <w:tcPr>
            <w:tcW w:w="1291" w:type="dxa"/>
            <w:vAlign w:val="center"/>
          </w:tcPr>
          <w:p w:rsidR="00554F01" w:rsidRDefault="00486B57">
            <w:pPr>
              <w:jc w:val="right"/>
            </w:pPr>
            <w:r>
              <w:rPr>
                <w:rFonts w:eastAsiaTheme="minorEastAsia"/>
                <w:color w:val="000000" w:themeColor="text1"/>
                <w:szCs w:val="21"/>
              </w:rPr>
              <w:t>0.00%</w:t>
            </w:r>
          </w:p>
        </w:tc>
      </w:tr>
      <w:tr w:rsidR="00554F01">
        <w:tc>
          <w:tcPr>
            <w:tcW w:w="1290" w:type="dxa"/>
            <w:vAlign w:val="center"/>
          </w:tcPr>
          <w:p w:rsidR="00554F01" w:rsidRDefault="00486B57">
            <w:pPr>
              <w:jc w:val="left"/>
            </w:pPr>
            <w:r>
              <w:rPr>
                <w:rFonts w:eastAsiaTheme="minorEastAsia"/>
                <w:color w:val="000000" w:themeColor="text1"/>
                <w:szCs w:val="21"/>
              </w:rPr>
              <w:t>过去五年</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c>
          <w:tcPr>
            <w:tcW w:w="1291" w:type="dxa"/>
            <w:vAlign w:val="center"/>
          </w:tcPr>
          <w:p w:rsidR="00554F01" w:rsidRDefault="00486B57">
            <w:pPr>
              <w:jc w:val="right"/>
            </w:pPr>
            <w:r>
              <w:rPr>
                <w:rFonts w:eastAsiaTheme="minorEastAsia"/>
                <w:color w:val="000000" w:themeColor="text1"/>
                <w:szCs w:val="21"/>
              </w:rPr>
              <w:t>-</w:t>
            </w:r>
          </w:p>
        </w:tc>
      </w:tr>
      <w:tr w:rsidR="00554F01">
        <w:tc>
          <w:tcPr>
            <w:tcW w:w="1290" w:type="dxa"/>
            <w:vAlign w:val="center"/>
          </w:tcPr>
          <w:p w:rsidR="00554F01" w:rsidRDefault="00486B57">
            <w:pPr>
              <w:jc w:val="left"/>
            </w:pPr>
            <w:r>
              <w:rPr>
                <w:rFonts w:eastAsiaTheme="minorEastAsia"/>
                <w:color w:val="000000" w:themeColor="text1"/>
                <w:szCs w:val="21"/>
              </w:rPr>
              <w:t>自基金合同生效起至今</w:t>
            </w:r>
          </w:p>
        </w:tc>
        <w:tc>
          <w:tcPr>
            <w:tcW w:w="1291" w:type="dxa"/>
            <w:vAlign w:val="center"/>
          </w:tcPr>
          <w:p w:rsidR="00554F01" w:rsidRDefault="00486B57">
            <w:pPr>
              <w:jc w:val="right"/>
            </w:pPr>
            <w:r>
              <w:rPr>
                <w:rFonts w:eastAsiaTheme="minorEastAsia"/>
                <w:color w:val="000000" w:themeColor="text1"/>
                <w:szCs w:val="21"/>
              </w:rPr>
              <w:t>10.52%</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17.27%</w:t>
            </w:r>
          </w:p>
        </w:tc>
        <w:tc>
          <w:tcPr>
            <w:tcW w:w="1291" w:type="dxa"/>
            <w:vAlign w:val="center"/>
          </w:tcPr>
          <w:p w:rsidR="00554F01" w:rsidRDefault="00486B57">
            <w:pPr>
              <w:jc w:val="right"/>
            </w:pPr>
            <w:r>
              <w:rPr>
                <w:rFonts w:eastAsiaTheme="minorEastAsia"/>
                <w:color w:val="000000" w:themeColor="text1"/>
                <w:szCs w:val="21"/>
              </w:rPr>
              <w:t>0.01%</w:t>
            </w:r>
          </w:p>
        </w:tc>
        <w:tc>
          <w:tcPr>
            <w:tcW w:w="1291" w:type="dxa"/>
            <w:vAlign w:val="center"/>
          </w:tcPr>
          <w:p w:rsidR="00554F01" w:rsidRDefault="00486B57">
            <w:pPr>
              <w:jc w:val="right"/>
            </w:pPr>
            <w:r>
              <w:rPr>
                <w:rFonts w:eastAsiaTheme="minorEastAsia"/>
                <w:color w:val="000000" w:themeColor="text1"/>
                <w:szCs w:val="21"/>
              </w:rPr>
              <w:t>-6.75%</w:t>
            </w:r>
          </w:p>
        </w:tc>
        <w:tc>
          <w:tcPr>
            <w:tcW w:w="1291" w:type="dxa"/>
            <w:vAlign w:val="center"/>
          </w:tcPr>
          <w:p w:rsidR="00554F01" w:rsidRDefault="00486B57">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54F01">
        <w:tc>
          <w:tcPr>
            <w:tcW w:w="952" w:type="dxa"/>
            <w:vAlign w:val="center"/>
          </w:tcPr>
          <w:p w:rsidR="00554F01" w:rsidRDefault="00486B57">
            <w:pPr>
              <w:jc w:val="center"/>
            </w:pPr>
            <w:r>
              <w:rPr>
                <w:rFonts w:eastAsiaTheme="minorEastAsia"/>
                <w:color w:val="000000" w:themeColor="text1"/>
                <w:szCs w:val="21"/>
              </w:rPr>
              <w:t>任翔</w:t>
            </w:r>
          </w:p>
        </w:tc>
        <w:tc>
          <w:tcPr>
            <w:tcW w:w="930" w:type="dxa"/>
            <w:vAlign w:val="center"/>
          </w:tcPr>
          <w:p w:rsidR="00554F01" w:rsidRDefault="00486B57">
            <w:pPr>
              <w:jc w:val="center"/>
            </w:pPr>
            <w:r>
              <w:rPr>
                <w:rFonts w:eastAsiaTheme="minorEastAsia"/>
                <w:color w:val="000000" w:themeColor="text1"/>
                <w:szCs w:val="21"/>
              </w:rPr>
              <w:t>本基金基金经理</w:t>
            </w:r>
          </w:p>
        </w:tc>
        <w:tc>
          <w:tcPr>
            <w:tcW w:w="1210" w:type="dxa"/>
            <w:vAlign w:val="center"/>
          </w:tcPr>
          <w:p w:rsidR="00554F01" w:rsidRDefault="00486B57">
            <w:pPr>
              <w:jc w:val="center"/>
            </w:pPr>
            <w:r>
              <w:rPr>
                <w:rFonts w:eastAsiaTheme="minorEastAsia"/>
                <w:color w:val="000000" w:themeColor="text1"/>
                <w:szCs w:val="21"/>
              </w:rPr>
              <w:t>2020-03-18</w:t>
            </w:r>
          </w:p>
        </w:tc>
        <w:tc>
          <w:tcPr>
            <w:tcW w:w="1309" w:type="dxa"/>
            <w:vAlign w:val="center"/>
          </w:tcPr>
          <w:p w:rsidR="00554F01" w:rsidRDefault="00486B57">
            <w:pPr>
              <w:jc w:val="center"/>
            </w:pPr>
            <w:r>
              <w:rPr>
                <w:rFonts w:eastAsiaTheme="minorEastAsia"/>
                <w:color w:val="000000" w:themeColor="text1"/>
                <w:szCs w:val="21"/>
              </w:rPr>
              <w:t>-</w:t>
            </w:r>
          </w:p>
        </w:tc>
        <w:tc>
          <w:tcPr>
            <w:tcW w:w="1254" w:type="dxa"/>
            <w:vAlign w:val="center"/>
          </w:tcPr>
          <w:p w:rsidR="00554F01" w:rsidRDefault="00486B57">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554F01" w:rsidRDefault="00486B57">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554F01" w:rsidRDefault="00486B5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54F01" w:rsidRDefault="00486B5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w:t>
      </w:r>
      <w:r>
        <w:rPr>
          <w:rFonts w:eastAsiaTheme="minorEastAsia"/>
          <w:color w:val="000000" w:themeColor="text1"/>
          <w:szCs w:val="21"/>
        </w:rPr>
        <w:t>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w:t>
      </w:r>
      <w:r>
        <w:rPr>
          <w:rFonts w:eastAsiaTheme="minorEastAsia"/>
          <w:color w:val="000000" w:themeColor="text1"/>
          <w:szCs w:val="21"/>
        </w:rPr>
        <w:t>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三季度市场博弈主要围绕政策展开。</w:t>
      </w:r>
      <w:r>
        <w:rPr>
          <w:rFonts w:eastAsiaTheme="minorEastAsia"/>
          <w:color w:val="000000" w:themeColor="text1"/>
          <w:szCs w:val="21"/>
        </w:rPr>
        <w:t>7</w:t>
      </w:r>
      <w:r>
        <w:rPr>
          <w:rFonts w:eastAsiaTheme="minorEastAsia"/>
          <w:color w:val="000000" w:themeColor="text1"/>
          <w:szCs w:val="21"/>
        </w:rPr>
        <w:t>月初央行公告将适时开展借券卖出、临时正回购或逆回购操作，收益率受此影响调整明显。</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日，央行超预期下调逆回购操作利率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利率同步下调</w:t>
      </w:r>
      <w:r>
        <w:rPr>
          <w:rFonts w:eastAsiaTheme="minorEastAsia"/>
          <w:color w:val="000000" w:themeColor="text1"/>
          <w:szCs w:val="21"/>
        </w:rPr>
        <w:t>10bp</w:t>
      </w:r>
      <w:r>
        <w:rPr>
          <w:rFonts w:eastAsiaTheme="minorEastAsia"/>
          <w:color w:val="000000" w:themeColor="text1"/>
          <w:szCs w:val="21"/>
        </w:rPr>
        <w:t>，叠加此前公布的经济数据，市场做多情绪被点燃，收益率大幅下行。进入</w:t>
      </w:r>
      <w:r>
        <w:rPr>
          <w:rFonts w:eastAsiaTheme="minorEastAsia"/>
          <w:color w:val="000000" w:themeColor="text1"/>
          <w:szCs w:val="21"/>
        </w:rPr>
        <w:t>8</w:t>
      </w:r>
      <w:r>
        <w:rPr>
          <w:rFonts w:eastAsiaTheme="minorEastAsia"/>
          <w:color w:val="000000" w:themeColor="text1"/>
          <w:szCs w:val="21"/>
        </w:rPr>
        <w:t>月份，</w:t>
      </w:r>
      <w:r>
        <w:rPr>
          <w:rFonts w:eastAsiaTheme="minorEastAsia"/>
          <w:color w:val="000000" w:themeColor="text1"/>
          <w:szCs w:val="21"/>
        </w:rPr>
        <w:t>10</w:t>
      </w:r>
      <w:r>
        <w:rPr>
          <w:rFonts w:eastAsiaTheme="minorEastAsia"/>
          <w:color w:val="000000" w:themeColor="text1"/>
          <w:szCs w:val="21"/>
        </w:rPr>
        <w:t>年期国债抛盘明显，或与央行对利率曲线调控有关，市场担忧于此，债市出现一波调整。随着对此担忧的逐步缓和以及抛压释放，收益率于</w:t>
      </w:r>
      <w:r>
        <w:rPr>
          <w:rFonts w:eastAsiaTheme="minorEastAsia"/>
          <w:color w:val="000000" w:themeColor="text1"/>
          <w:szCs w:val="21"/>
        </w:rPr>
        <w:t>8</w:t>
      </w:r>
      <w:r>
        <w:rPr>
          <w:rFonts w:eastAsiaTheme="minorEastAsia"/>
          <w:color w:val="000000" w:themeColor="text1"/>
          <w:szCs w:val="21"/>
        </w:rPr>
        <w:t>月中旬企稳并再度下行。进入</w:t>
      </w:r>
      <w:r>
        <w:rPr>
          <w:rFonts w:eastAsiaTheme="minorEastAsia"/>
          <w:color w:val="000000" w:themeColor="text1"/>
          <w:szCs w:val="21"/>
        </w:rPr>
        <w:t>9</w:t>
      </w:r>
      <w:r>
        <w:rPr>
          <w:rFonts w:eastAsiaTheme="minorEastAsia"/>
          <w:color w:val="000000" w:themeColor="text1"/>
          <w:szCs w:val="21"/>
        </w:rPr>
        <w:t>月份，市场对于货币政策进一步宽松的预期持续升温，期间央行此前</w:t>
      </w:r>
      <w:r>
        <w:rPr>
          <w:rFonts w:eastAsiaTheme="minorEastAsia"/>
          <w:color w:val="000000" w:themeColor="text1"/>
          <w:szCs w:val="21"/>
        </w:rPr>
        <w:t>买入的续作特别国债出现卖盘对市场有一定扰动，但在基本面数据下，债市多头情绪浓厚。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日国务院牵头中国人民银行、金融监管总局和中国证监会三部委召开发布会，公布包括降准降息、降低存量按揭利率、创设货币政策工具、补充大行资本等一系列超常规政策。</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日中央政治局会议分析当前经济形势，对经济关切程度超预期。这一系列政策及表态，扭转了市场对于经济、政策的预期，风险资产大涨，债券市场则出现了快速、明显的调整。</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本基金在上半年保持了既有配置，维持基金杠杆率。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当前市场对于政策预期变化的调整已经基本到位。后续将更为关注政策的落地以及政策向数据的传导。我们认为当前债券市场尚未到全面转向时点。与此同时，投资者行为也是影响后续市场走向的重要因素，例如投资者资产配置变化，出于对债券调整担忧而产生的赎回影响等。我们将对此保持关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:0.62%</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13,163,666,718.89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13,163,666,718.89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2,462,038.96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13,166,128,757.85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13,163,666,718.89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160.12</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8,484,213,848.51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103.20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13,163,666,718.89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54F01">
        <w:tc>
          <w:tcPr>
            <w:tcW w:w="1504" w:type="dxa"/>
            <w:vAlign w:val="center"/>
          </w:tcPr>
          <w:p w:rsidR="00554F01" w:rsidRDefault="00486B57">
            <w:pPr>
              <w:jc w:val="center"/>
            </w:pPr>
            <w:r>
              <w:rPr>
                <w:rFonts w:eastAsiaTheme="minorEastAsia"/>
                <w:color w:val="000000" w:themeColor="text1"/>
                <w:szCs w:val="21"/>
              </w:rPr>
              <w:t>1</w:t>
            </w:r>
          </w:p>
        </w:tc>
        <w:tc>
          <w:tcPr>
            <w:tcW w:w="1504" w:type="dxa"/>
            <w:vAlign w:val="center"/>
          </w:tcPr>
          <w:p w:rsidR="00554F01" w:rsidRDefault="00486B57">
            <w:pPr>
              <w:jc w:val="center"/>
            </w:pPr>
            <w:r>
              <w:rPr>
                <w:rFonts w:eastAsiaTheme="minorEastAsia"/>
                <w:color w:val="000000" w:themeColor="text1"/>
                <w:szCs w:val="21"/>
              </w:rPr>
              <w:t>160210</w:t>
            </w:r>
          </w:p>
        </w:tc>
        <w:tc>
          <w:tcPr>
            <w:tcW w:w="1504" w:type="dxa"/>
            <w:vAlign w:val="center"/>
          </w:tcPr>
          <w:p w:rsidR="00554F01" w:rsidRDefault="00486B57">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554F01" w:rsidRDefault="00486B57">
            <w:pPr>
              <w:jc w:val="right"/>
            </w:pPr>
            <w:r>
              <w:rPr>
                <w:rFonts w:eastAsiaTheme="minorEastAsia"/>
                <w:color w:val="000000" w:themeColor="text1"/>
                <w:szCs w:val="21"/>
              </w:rPr>
              <w:t>31,200,000</w:t>
            </w:r>
          </w:p>
        </w:tc>
        <w:tc>
          <w:tcPr>
            <w:tcW w:w="1503" w:type="dxa"/>
            <w:vAlign w:val="center"/>
          </w:tcPr>
          <w:p w:rsidR="00554F01" w:rsidRDefault="00486B57">
            <w:pPr>
              <w:jc w:val="right"/>
            </w:pPr>
            <w:r>
              <w:rPr>
                <w:rFonts w:eastAsiaTheme="minorEastAsia"/>
                <w:color w:val="000000" w:themeColor="text1"/>
                <w:szCs w:val="21"/>
              </w:rPr>
              <w:t>3,201,759,371.25</w:t>
            </w:r>
          </w:p>
        </w:tc>
        <w:tc>
          <w:tcPr>
            <w:tcW w:w="1503" w:type="dxa"/>
            <w:vAlign w:val="center"/>
          </w:tcPr>
          <w:p w:rsidR="00554F01" w:rsidRDefault="00486B57">
            <w:pPr>
              <w:jc w:val="right"/>
            </w:pPr>
            <w:r>
              <w:rPr>
                <w:rFonts w:eastAsiaTheme="minorEastAsia"/>
                <w:color w:val="000000" w:themeColor="text1"/>
                <w:szCs w:val="21"/>
              </w:rPr>
              <w:t>38.95</w:t>
            </w:r>
          </w:p>
        </w:tc>
      </w:tr>
      <w:tr w:rsidR="00554F01">
        <w:tc>
          <w:tcPr>
            <w:tcW w:w="1504" w:type="dxa"/>
            <w:vAlign w:val="center"/>
          </w:tcPr>
          <w:p w:rsidR="00554F01" w:rsidRDefault="00486B57">
            <w:pPr>
              <w:jc w:val="center"/>
            </w:pPr>
            <w:r>
              <w:rPr>
                <w:rFonts w:eastAsiaTheme="minorEastAsia"/>
                <w:color w:val="000000" w:themeColor="text1"/>
                <w:szCs w:val="21"/>
              </w:rPr>
              <w:t>2</w:t>
            </w:r>
          </w:p>
        </w:tc>
        <w:tc>
          <w:tcPr>
            <w:tcW w:w="1504" w:type="dxa"/>
            <w:vAlign w:val="center"/>
          </w:tcPr>
          <w:p w:rsidR="00554F01" w:rsidRDefault="00486B57">
            <w:pPr>
              <w:jc w:val="center"/>
            </w:pPr>
            <w:r>
              <w:rPr>
                <w:rFonts w:eastAsiaTheme="minorEastAsia"/>
                <w:color w:val="000000" w:themeColor="text1"/>
                <w:szCs w:val="21"/>
              </w:rPr>
              <w:t>190408</w:t>
            </w:r>
          </w:p>
        </w:tc>
        <w:tc>
          <w:tcPr>
            <w:tcW w:w="1504" w:type="dxa"/>
            <w:vAlign w:val="center"/>
          </w:tcPr>
          <w:p w:rsidR="00554F01" w:rsidRDefault="00486B57">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503" w:type="dxa"/>
            <w:vAlign w:val="center"/>
          </w:tcPr>
          <w:p w:rsidR="00554F01" w:rsidRDefault="00486B57">
            <w:pPr>
              <w:jc w:val="right"/>
            </w:pPr>
            <w:r>
              <w:rPr>
                <w:rFonts w:eastAsiaTheme="minorEastAsia"/>
                <w:color w:val="000000" w:themeColor="text1"/>
                <w:szCs w:val="21"/>
              </w:rPr>
              <w:t>25,400,000</w:t>
            </w:r>
          </w:p>
        </w:tc>
        <w:tc>
          <w:tcPr>
            <w:tcW w:w="1503" w:type="dxa"/>
            <w:vAlign w:val="center"/>
          </w:tcPr>
          <w:p w:rsidR="00554F01" w:rsidRDefault="00486B57">
            <w:pPr>
              <w:jc w:val="right"/>
            </w:pPr>
            <w:r>
              <w:rPr>
                <w:rFonts w:eastAsiaTheme="minorEastAsia"/>
                <w:color w:val="000000" w:themeColor="text1"/>
                <w:szCs w:val="21"/>
              </w:rPr>
              <w:t>2,610,490,242.94</w:t>
            </w:r>
          </w:p>
        </w:tc>
        <w:tc>
          <w:tcPr>
            <w:tcW w:w="1503" w:type="dxa"/>
            <w:vAlign w:val="center"/>
          </w:tcPr>
          <w:p w:rsidR="00554F01" w:rsidRDefault="00486B57">
            <w:pPr>
              <w:jc w:val="right"/>
            </w:pPr>
            <w:r>
              <w:rPr>
                <w:rFonts w:eastAsiaTheme="minorEastAsia"/>
                <w:color w:val="000000" w:themeColor="text1"/>
                <w:szCs w:val="21"/>
              </w:rPr>
              <w:t>31.75</w:t>
            </w:r>
          </w:p>
        </w:tc>
      </w:tr>
      <w:tr w:rsidR="00554F01">
        <w:tc>
          <w:tcPr>
            <w:tcW w:w="1504" w:type="dxa"/>
            <w:vAlign w:val="center"/>
          </w:tcPr>
          <w:p w:rsidR="00554F01" w:rsidRDefault="00486B57">
            <w:pPr>
              <w:jc w:val="center"/>
            </w:pPr>
            <w:r>
              <w:rPr>
                <w:rFonts w:eastAsiaTheme="minorEastAsia"/>
                <w:color w:val="000000" w:themeColor="text1"/>
                <w:szCs w:val="21"/>
              </w:rPr>
              <w:t>3</w:t>
            </w:r>
          </w:p>
        </w:tc>
        <w:tc>
          <w:tcPr>
            <w:tcW w:w="1504" w:type="dxa"/>
            <w:vAlign w:val="center"/>
          </w:tcPr>
          <w:p w:rsidR="00554F01" w:rsidRDefault="00486B57">
            <w:pPr>
              <w:jc w:val="center"/>
            </w:pPr>
            <w:r>
              <w:rPr>
                <w:rFonts w:eastAsiaTheme="minorEastAsia"/>
                <w:color w:val="000000" w:themeColor="text1"/>
                <w:szCs w:val="21"/>
              </w:rPr>
              <w:t>230405</w:t>
            </w:r>
          </w:p>
        </w:tc>
        <w:tc>
          <w:tcPr>
            <w:tcW w:w="1504" w:type="dxa"/>
            <w:vAlign w:val="center"/>
          </w:tcPr>
          <w:p w:rsidR="00554F01" w:rsidRDefault="00486B57">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554F01" w:rsidRDefault="00486B57">
            <w:pPr>
              <w:jc w:val="right"/>
            </w:pPr>
            <w:r>
              <w:rPr>
                <w:rFonts w:eastAsiaTheme="minorEastAsia"/>
                <w:color w:val="000000" w:themeColor="text1"/>
                <w:szCs w:val="21"/>
              </w:rPr>
              <w:t>14,300,000</w:t>
            </w:r>
          </w:p>
        </w:tc>
        <w:tc>
          <w:tcPr>
            <w:tcW w:w="1503" w:type="dxa"/>
            <w:vAlign w:val="center"/>
          </w:tcPr>
          <w:p w:rsidR="00554F01" w:rsidRDefault="00486B57">
            <w:pPr>
              <w:jc w:val="right"/>
            </w:pPr>
            <w:r>
              <w:rPr>
                <w:rFonts w:eastAsiaTheme="minorEastAsia"/>
                <w:color w:val="000000" w:themeColor="text1"/>
                <w:szCs w:val="21"/>
              </w:rPr>
              <w:t>1,448,189,943.25</w:t>
            </w:r>
          </w:p>
        </w:tc>
        <w:tc>
          <w:tcPr>
            <w:tcW w:w="1503" w:type="dxa"/>
            <w:vAlign w:val="center"/>
          </w:tcPr>
          <w:p w:rsidR="00554F01" w:rsidRDefault="00486B57">
            <w:pPr>
              <w:jc w:val="right"/>
            </w:pPr>
            <w:r>
              <w:rPr>
                <w:rFonts w:eastAsiaTheme="minorEastAsia"/>
                <w:color w:val="000000" w:themeColor="text1"/>
                <w:szCs w:val="21"/>
              </w:rPr>
              <w:t>17.62</w:t>
            </w:r>
          </w:p>
        </w:tc>
      </w:tr>
      <w:tr w:rsidR="00554F01">
        <w:tc>
          <w:tcPr>
            <w:tcW w:w="1504" w:type="dxa"/>
            <w:vAlign w:val="center"/>
          </w:tcPr>
          <w:p w:rsidR="00554F01" w:rsidRDefault="00486B57">
            <w:pPr>
              <w:jc w:val="center"/>
            </w:pPr>
            <w:r>
              <w:rPr>
                <w:rFonts w:eastAsiaTheme="minorEastAsia"/>
                <w:color w:val="000000" w:themeColor="text1"/>
                <w:szCs w:val="21"/>
              </w:rPr>
              <w:t>4</w:t>
            </w:r>
          </w:p>
        </w:tc>
        <w:tc>
          <w:tcPr>
            <w:tcW w:w="1504" w:type="dxa"/>
            <w:vAlign w:val="center"/>
          </w:tcPr>
          <w:p w:rsidR="00554F01" w:rsidRDefault="00486B57">
            <w:pPr>
              <w:jc w:val="center"/>
            </w:pPr>
            <w:r>
              <w:rPr>
                <w:rFonts w:eastAsiaTheme="minorEastAsia"/>
                <w:color w:val="000000" w:themeColor="text1"/>
                <w:szCs w:val="21"/>
              </w:rPr>
              <w:t>212300002</w:t>
            </w:r>
          </w:p>
        </w:tc>
        <w:tc>
          <w:tcPr>
            <w:tcW w:w="1504" w:type="dxa"/>
            <w:vAlign w:val="center"/>
          </w:tcPr>
          <w:p w:rsidR="00554F01" w:rsidRDefault="00486B57">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503" w:type="dxa"/>
            <w:vAlign w:val="center"/>
          </w:tcPr>
          <w:p w:rsidR="00554F01" w:rsidRDefault="00486B57">
            <w:pPr>
              <w:jc w:val="right"/>
            </w:pPr>
            <w:r>
              <w:rPr>
                <w:rFonts w:eastAsiaTheme="minorEastAsia"/>
                <w:color w:val="000000" w:themeColor="text1"/>
                <w:szCs w:val="21"/>
              </w:rPr>
              <w:t>5,500,000</w:t>
            </w:r>
          </w:p>
        </w:tc>
        <w:tc>
          <w:tcPr>
            <w:tcW w:w="1503" w:type="dxa"/>
            <w:vAlign w:val="center"/>
          </w:tcPr>
          <w:p w:rsidR="00554F01" w:rsidRDefault="00486B57">
            <w:pPr>
              <w:jc w:val="right"/>
            </w:pPr>
            <w:r>
              <w:rPr>
                <w:rFonts w:eastAsiaTheme="minorEastAsia"/>
                <w:color w:val="000000" w:themeColor="text1"/>
                <w:szCs w:val="21"/>
              </w:rPr>
              <w:t>553,840,461.44</w:t>
            </w:r>
          </w:p>
        </w:tc>
        <w:tc>
          <w:tcPr>
            <w:tcW w:w="1503" w:type="dxa"/>
            <w:vAlign w:val="center"/>
          </w:tcPr>
          <w:p w:rsidR="00554F01" w:rsidRDefault="00486B57">
            <w:pPr>
              <w:jc w:val="right"/>
            </w:pPr>
            <w:r>
              <w:rPr>
                <w:rFonts w:eastAsiaTheme="minorEastAsia"/>
                <w:color w:val="000000" w:themeColor="text1"/>
                <w:szCs w:val="21"/>
              </w:rPr>
              <w:t>6.74</w:t>
            </w:r>
          </w:p>
        </w:tc>
      </w:tr>
      <w:tr w:rsidR="00554F01">
        <w:tc>
          <w:tcPr>
            <w:tcW w:w="1504" w:type="dxa"/>
            <w:vAlign w:val="center"/>
          </w:tcPr>
          <w:p w:rsidR="00554F01" w:rsidRDefault="00486B57">
            <w:pPr>
              <w:jc w:val="center"/>
            </w:pPr>
            <w:r>
              <w:rPr>
                <w:rFonts w:eastAsiaTheme="minorEastAsia"/>
                <w:color w:val="000000" w:themeColor="text1"/>
                <w:szCs w:val="21"/>
              </w:rPr>
              <w:t>5</w:t>
            </w:r>
          </w:p>
        </w:tc>
        <w:tc>
          <w:tcPr>
            <w:tcW w:w="1504" w:type="dxa"/>
            <w:vAlign w:val="center"/>
          </w:tcPr>
          <w:p w:rsidR="00554F01" w:rsidRDefault="00486B57">
            <w:pPr>
              <w:jc w:val="center"/>
            </w:pPr>
            <w:r>
              <w:rPr>
                <w:rFonts w:eastAsiaTheme="minorEastAsia"/>
                <w:color w:val="000000" w:themeColor="text1"/>
                <w:szCs w:val="21"/>
              </w:rPr>
              <w:t>2328018</w:t>
            </w:r>
          </w:p>
        </w:tc>
        <w:tc>
          <w:tcPr>
            <w:tcW w:w="1504" w:type="dxa"/>
            <w:vAlign w:val="center"/>
          </w:tcPr>
          <w:p w:rsidR="00554F01" w:rsidRDefault="00486B57">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503" w:type="dxa"/>
            <w:vAlign w:val="center"/>
          </w:tcPr>
          <w:p w:rsidR="00554F01" w:rsidRDefault="00486B57">
            <w:pPr>
              <w:jc w:val="right"/>
            </w:pPr>
            <w:r>
              <w:rPr>
                <w:rFonts w:eastAsiaTheme="minorEastAsia"/>
                <w:color w:val="000000" w:themeColor="text1"/>
                <w:szCs w:val="21"/>
              </w:rPr>
              <w:t>5,200,000</w:t>
            </w:r>
          </w:p>
        </w:tc>
        <w:tc>
          <w:tcPr>
            <w:tcW w:w="1503" w:type="dxa"/>
            <w:vAlign w:val="center"/>
          </w:tcPr>
          <w:p w:rsidR="00554F01" w:rsidRDefault="00486B57">
            <w:pPr>
              <w:jc w:val="right"/>
            </w:pPr>
            <w:r>
              <w:rPr>
                <w:rFonts w:eastAsiaTheme="minorEastAsia"/>
                <w:color w:val="000000" w:themeColor="text1"/>
                <w:szCs w:val="21"/>
              </w:rPr>
              <w:t>523,619,539.53</w:t>
            </w:r>
          </w:p>
        </w:tc>
        <w:tc>
          <w:tcPr>
            <w:tcW w:w="1503" w:type="dxa"/>
            <w:vAlign w:val="center"/>
          </w:tcPr>
          <w:p w:rsidR="00554F01" w:rsidRDefault="00486B57">
            <w:pPr>
              <w:jc w:val="right"/>
            </w:pPr>
            <w:r>
              <w:rPr>
                <w:rFonts w:eastAsiaTheme="minorEastAsia"/>
                <w:color w:val="000000" w:themeColor="text1"/>
                <w:szCs w:val="21"/>
              </w:rPr>
              <w:t>6.37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平安银行股份有限公司报告编制日前一年内曾受到国家金融监督管理总局、国家金融监督管理总局深圳监管局的处罚，宁波银行股份有限公司报告编制日前一年内曾受到国家金融监督管理总局宁波监管局的处罚，杭州银行股份有限公司报告编制日前一年内曾受到国家金融监督管理总局浙江监管局的处罚，中信银行股份有限公司报告编制日前一年内曾受到国家金融监督管理总局的处罚，兴业银行股份有限公司报告编制日前一年内曾受到国家金融监督管理总局福建监管局的处罚。</w:t>
      </w:r>
    </w:p>
    <w:p w:rsidR="00554F01" w:rsidRDefault="00486B57">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w:t>
      </w:r>
      <w:r>
        <w:rPr>
          <w:rFonts w:eastAsiaTheme="minorEastAsia"/>
          <w:color w:val="000000" w:themeColor="text1"/>
          <w:szCs w:val="21"/>
        </w:rPr>
        <w:t>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554F01">
        <w:tc>
          <w:tcPr>
            <w:tcW w:w="993" w:type="dxa"/>
            <w:vMerge w:val="restart"/>
            <w:vAlign w:val="center"/>
          </w:tcPr>
          <w:p w:rsidR="00554F01" w:rsidRDefault="00486B57">
            <w:r>
              <w:rPr>
                <w:bCs/>
                <w:color w:val="000000"/>
                <w:kern w:val="0"/>
                <w:szCs w:val="21"/>
              </w:rPr>
              <w:t>机构</w:t>
            </w:r>
          </w:p>
        </w:tc>
        <w:tc>
          <w:tcPr>
            <w:tcW w:w="992" w:type="dxa"/>
            <w:vAlign w:val="center"/>
          </w:tcPr>
          <w:p w:rsidR="00554F01" w:rsidRDefault="00486B57">
            <w:pPr>
              <w:jc w:val="center"/>
            </w:pPr>
            <w:r>
              <w:rPr>
                <w:color w:val="000000"/>
                <w:kern w:val="0"/>
                <w:szCs w:val="21"/>
              </w:rPr>
              <w:t>1</w:t>
            </w:r>
          </w:p>
        </w:tc>
        <w:tc>
          <w:tcPr>
            <w:tcW w:w="1843" w:type="dxa"/>
            <w:vAlign w:val="center"/>
          </w:tcPr>
          <w:p w:rsidR="00554F01" w:rsidRDefault="00486B57">
            <w:pPr>
              <w:jc w:val="center"/>
            </w:pPr>
            <w:r>
              <w:rPr>
                <w:color w:val="000000"/>
                <w:kern w:val="0"/>
                <w:szCs w:val="21"/>
              </w:rPr>
              <w:t>20240701-20240930</w:t>
            </w:r>
          </w:p>
        </w:tc>
        <w:tc>
          <w:tcPr>
            <w:tcW w:w="851" w:type="dxa"/>
            <w:vAlign w:val="center"/>
          </w:tcPr>
          <w:p w:rsidR="00554F01" w:rsidRDefault="00486B57">
            <w:pPr>
              <w:jc w:val="center"/>
            </w:pPr>
            <w:r>
              <w:rPr>
                <w:color w:val="000000"/>
                <w:kern w:val="0"/>
                <w:szCs w:val="21"/>
              </w:rPr>
              <w:t>2,036,922,000.69</w:t>
            </w:r>
          </w:p>
        </w:tc>
        <w:tc>
          <w:tcPr>
            <w:tcW w:w="850" w:type="dxa"/>
            <w:vAlign w:val="center"/>
          </w:tcPr>
          <w:p w:rsidR="00554F01" w:rsidRDefault="00486B57">
            <w:pPr>
              <w:jc w:val="center"/>
            </w:pPr>
            <w:r>
              <w:rPr>
                <w:color w:val="000000"/>
                <w:kern w:val="0"/>
                <w:szCs w:val="21"/>
              </w:rPr>
              <w:t>0.00</w:t>
            </w:r>
          </w:p>
        </w:tc>
        <w:tc>
          <w:tcPr>
            <w:tcW w:w="1134" w:type="dxa"/>
            <w:vAlign w:val="center"/>
          </w:tcPr>
          <w:p w:rsidR="00554F01" w:rsidRDefault="00486B57">
            <w:pPr>
              <w:jc w:val="center"/>
            </w:pPr>
            <w:r>
              <w:rPr>
                <w:color w:val="000000"/>
                <w:kern w:val="0"/>
                <w:szCs w:val="21"/>
              </w:rPr>
              <w:t>0.00</w:t>
            </w:r>
          </w:p>
        </w:tc>
        <w:tc>
          <w:tcPr>
            <w:tcW w:w="1419" w:type="dxa"/>
            <w:vAlign w:val="center"/>
          </w:tcPr>
          <w:p w:rsidR="00554F01" w:rsidRDefault="00486B57">
            <w:pPr>
              <w:jc w:val="center"/>
            </w:pPr>
            <w:r>
              <w:rPr>
                <w:color w:val="000000"/>
                <w:kern w:val="0"/>
                <w:szCs w:val="21"/>
              </w:rPr>
              <w:t>2,036,922,000.69</w:t>
            </w:r>
          </w:p>
        </w:tc>
        <w:tc>
          <w:tcPr>
            <w:tcW w:w="1130" w:type="dxa"/>
            <w:vAlign w:val="center"/>
          </w:tcPr>
          <w:p w:rsidR="00554F01" w:rsidRDefault="00486B57">
            <w:pPr>
              <w:jc w:val="center"/>
            </w:pPr>
            <w:r>
              <w:rPr>
                <w:color w:val="000000"/>
                <w:kern w:val="0"/>
                <w:szCs w:val="21"/>
              </w:rPr>
              <w:t>25.71%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554F01" w:rsidRDefault="00486B5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、摩根基金管理（中国）有限公司开放式基金业务规则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86B5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86B57">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86B5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摩根瑞泰</w:t>
    </w:r>
    <w:r>
      <w:t>38</w:t>
    </w:r>
    <w:r>
      <w:t>个月定期开放债券型证券投资基金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86B57"/>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4F01"/>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B2CF3-88A4-4305-B74E-7B24D2D5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12</Pages>
  <Words>1051</Words>
  <Characters>5993</Characters>
  <Application>Microsoft Office Word</Application>
  <DocSecurity>0</DocSecurity>
  <Lines>49</Lines>
  <Paragraphs>14</Paragraphs>
  <ScaleCrop>false</ScaleCrop>
  <Company>TRT. Ltd. Co.</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2024-10-24T06:05:00Z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