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摩根瑞泰</w:t>
      </w:r>
      <w:r w:rsidRPr="00B27A29">
        <w:rPr>
          <w:rFonts w:eastAsiaTheme="minorEastAsia"/>
          <w:b/>
          <w:color w:val="000000" w:themeColor="text1"/>
          <w:sz w:val="36"/>
          <w:szCs w:val="36"/>
        </w:rPr>
        <w:t>38</w:t>
      </w:r>
      <w:r w:rsidRPr="00B27A29">
        <w:rPr>
          <w:rFonts w:eastAsiaTheme="minorEastAsia"/>
          <w:b/>
          <w:color w:val="000000" w:themeColor="text1"/>
          <w:sz w:val="36"/>
          <w:szCs w:val="36"/>
        </w:rPr>
        <w:t>个月定期开放债券型证券投资基金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基金托管人：中国邮政储蓄银行股份有限公司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E977E0" w:rsidRDefault="0084393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977E0" w:rsidRDefault="0084393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977E0" w:rsidRDefault="0084393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977E0" w:rsidRDefault="0084393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977E0" w:rsidRDefault="0084393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摩根瑞泰</w:t>
            </w:r>
            <w:r w:rsidRPr="00B27A29">
              <w:rPr>
                <w:rFonts w:eastAsiaTheme="minorEastAsia"/>
                <w:color w:val="000000" w:themeColor="text1"/>
                <w:kern w:val="0"/>
                <w:szCs w:val="21"/>
              </w:rPr>
              <w:t>38</w:t>
            </w:r>
            <w:r w:rsidRPr="00B27A29">
              <w:rPr>
                <w:rFonts w:eastAsiaTheme="minorEastAsia"/>
                <w:color w:val="000000" w:themeColor="text1"/>
                <w:kern w:val="0"/>
                <w:szCs w:val="21"/>
              </w:rPr>
              <w:t>个月定期开放债券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008759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契约型定期开放式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18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7,923,455,732.55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在严格控制风险的前提下，采用持有到期策略，力争实现长期稳定的投资回报。</w:t>
            </w:r>
            <w:r w:rsidRPr="00B27A29">
              <w:rPr>
                <w:rFonts w:eastAsiaTheme="minorEastAsia"/>
                <w:color w:val="000000" w:themeColor="text1"/>
                <w:kern w:val="0"/>
                <w:szCs w:val="21"/>
              </w:rPr>
              <w:t xml:space="preserve">          </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E977E0" w:rsidRDefault="0084393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作期到期日。开放期内，将保持资产适当的流动性，以应付当时市场条件下的赎回要求，并降低资产的流动性风险，做好流动性管理。</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具体策略包括：封闭期投资策略（包括封闭期配置策略、信用债投资策略、杠杆投资策略、资产支持证券投资策略、封闭期现金管理策略）、开放期投资策略。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在每个封闭期，本基金的业绩比较基准为该封闭期起始日公布的三年定期存款利率（税后）</w:t>
            </w:r>
            <w:r w:rsidRPr="00B27A29">
              <w:rPr>
                <w:rFonts w:eastAsiaTheme="minorEastAsia"/>
                <w:color w:val="000000" w:themeColor="text1"/>
                <w:kern w:val="0"/>
                <w:szCs w:val="21"/>
              </w:rPr>
              <w:t>+1%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本基金为债券型基金，一般而言，其长期平均风险和预期收益率低于股票型基金、混合型基金，高于货币市场基金。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中国邮政储蓄银行股份有限公司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008759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008760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7,923,440,765.03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14,967.52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50,236,940.68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84.73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50,236,940.68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84.73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8,073,171,212.70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15,255.68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1.0189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1.0193</w:t>
            </w:r>
          </w:p>
        </w:tc>
      </w:tr>
    </w:tbl>
    <w:p w:rsidR="00E977E0" w:rsidRDefault="0084393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由于本基金采用摊余成本法核算，所以，公允价值变动收益为零，本期已实现收益和本期利润的金额相等；</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摩根瑞泰</w:t>
      </w:r>
      <w:r w:rsidRPr="00B27A29">
        <w:rPr>
          <w:rFonts w:eastAsiaTheme="minorEastAsia"/>
          <w:b/>
          <w:color w:val="000000" w:themeColor="text1"/>
          <w:kern w:val="0"/>
          <w:szCs w:val="21"/>
        </w:rPr>
        <w:t>38</w:t>
      </w:r>
      <w:r w:rsidRPr="00B27A29">
        <w:rPr>
          <w:rFonts w:eastAsiaTheme="minorEastAsia"/>
          <w:b/>
          <w:color w:val="000000" w:themeColor="text1"/>
          <w:kern w:val="0"/>
          <w:szCs w:val="21"/>
        </w:rPr>
        <w:t>个月定期开放债券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977E0">
        <w:tc>
          <w:tcPr>
            <w:tcW w:w="1290" w:type="dxa"/>
            <w:vAlign w:val="center"/>
          </w:tcPr>
          <w:p w:rsidR="00E977E0" w:rsidRDefault="0084393D">
            <w:pPr>
              <w:jc w:val="left"/>
            </w:pPr>
            <w:r>
              <w:rPr>
                <w:rFonts w:eastAsiaTheme="minorEastAsia"/>
                <w:color w:val="000000" w:themeColor="text1"/>
                <w:szCs w:val="21"/>
              </w:rPr>
              <w:t>过去三个月</w:t>
            </w:r>
          </w:p>
        </w:tc>
        <w:tc>
          <w:tcPr>
            <w:tcW w:w="1291" w:type="dxa"/>
            <w:vAlign w:val="center"/>
          </w:tcPr>
          <w:p w:rsidR="00E977E0" w:rsidRDefault="0084393D">
            <w:pPr>
              <w:jc w:val="right"/>
            </w:pPr>
            <w:r>
              <w:rPr>
                <w:rFonts w:eastAsiaTheme="minorEastAsia"/>
                <w:color w:val="000000" w:themeColor="text1"/>
                <w:szCs w:val="21"/>
              </w:rPr>
              <w:t>0.61%</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0.96%</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-0.35%</w:t>
            </w:r>
          </w:p>
        </w:tc>
        <w:tc>
          <w:tcPr>
            <w:tcW w:w="1291" w:type="dxa"/>
            <w:vAlign w:val="center"/>
          </w:tcPr>
          <w:p w:rsidR="00E977E0" w:rsidRDefault="0084393D">
            <w:pPr>
              <w:jc w:val="right"/>
            </w:pPr>
            <w:r>
              <w:rPr>
                <w:rFonts w:eastAsiaTheme="minorEastAsia"/>
                <w:color w:val="000000" w:themeColor="text1"/>
                <w:szCs w:val="21"/>
              </w:rPr>
              <w:t>0.00%</w:t>
            </w:r>
          </w:p>
        </w:tc>
      </w:tr>
      <w:tr w:rsidR="00E977E0">
        <w:tc>
          <w:tcPr>
            <w:tcW w:w="1290" w:type="dxa"/>
            <w:vAlign w:val="center"/>
          </w:tcPr>
          <w:p w:rsidR="00E977E0" w:rsidRDefault="0084393D">
            <w:pPr>
              <w:jc w:val="left"/>
            </w:pPr>
            <w:r>
              <w:rPr>
                <w:rFonts w:eastAsiaTheme="minorEastAsia"/>
                <w:color w:val="000000" w:themeColor="text1"/>
                <w:szCs w:val="21"/>
              </w:rPr>
              <w:t>过去六个月</w:t>
            </w:r>
          </w:p>
        </w:tc>
        <w:tc>
          <w:tcPr>
            <w:tcW w:w="1291" w:type="dxa"/>
            <w:vAlign w:val="center"/>
          </w:tcPr>
          <w:p w:rsidR="00E977E0" w:rsidRDefault="0084393D">
            <w:pPr>
              <w:jc w:val="right"/>
            </w:pPr>
            <w:r>
              <w:rPr>
                <w:rFonts w:eastAsiaTheme="minorEastAsia"/>
                <w:color w:val="000000" w:themeColor="text1"/>
                <w:szCs w:val="21"/>
              </w:rPr>
              <w:t>1.23%</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1.92%</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-0.69%</w:t>
            </w:r>
          </w:p>
        </w:tc>
        <w:tc>
          <w:tcPr>
            <w:tcW w:w="1291" w:type="dxa"/>
            <w:vAlign w:val="center"/>
          </w:tcPr>
          <w:p w:rsidR="00E977E0" w:rsidRDefault="0084393D">
            <w:pPr>
              <w:jc w:val="right"/>
            </w:pPr>
            <w:r>
              <w:rPr>
                <w:rFonts w:eastAsiaTheme="minorEastAsia"/>
                <w:color w:val="000000" w:themeColor="text1"/>
                <w:szCs w:val="21"/>
              </w:rPr>
              <w:t>0.00%</w:t>
            </w:r>
          </w:p>
        </w:tc>
      </w:tr>
      <w:tr w:rsidR="00E977E0">
        <w:tc>
          <w:tcPr>
            <w:tcW w:w="1290" w:type="dxa"/>
            <w:vAlign w:val="center"/>
          </w:tcPr>
          <w:p w:rsidR="00E977E0" w:rsidRDefault="0084393D">
            <w:pPr>
              <w:jc w:val="left"/>
            </w:pPr>
            <w:r>
              <w:rPr>
                <w:rFonts w:eastAsiaTheme="minorEastAsia"/>
                <w:color w:val="000000" w:themeColor="text1"/>
                <w:szCs w:val="21"/>
              </w:rPr>
              <w:t>过去一年</w:t>
            </w:r>
          </w:p>
        </w:tc>
        <w:tc>
          <w:tcPr>
            <w:tcW w:w="1291" w:type="dxa"/>
            <w:vAlign w:val="center"/>
          </w:tcPr>
          <w:p w:rsidR="00E977E0" w:rsidRDefault="0084393D">
            <w:pPr>
              <w:jc w:val="right"/>
            </w:pPr>
            <w:r>
              <w:rPr>
                <w:rFonts w:eastAsiaTheme="minorEastAsia"/>
                <w:color w:val="000000" w:themeColor="text1"/>
                <w:szCs w:val="21"/>
              </w:rPr>
              <w:t>2.67%</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3.81%</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-1.14%</w:t>
            </w:r>
          </w:p>
        </w:tc>
        <w:tc>
          <w:tcPr>
            <w:tcW w:w="1291" w:type="dxa"/>
            <w:vAlign w:val="center"/>
          </w:tcPr>
          <w:p w:rsidR="00E977E0" w:rsidRDefault="0084393D">
            <w:pPr>
              <w:jc w:val="right"/>
            </w:pPr>
            <w:r>
              <w:rPr>
                <w:rFonts w:eastAsiaTheme="minorEastAsia"/>
                <w:color w:val="000000" w:themeColor="text1"/>
                <w:szCs w:val="21"/>
              </w:rPr>
              <w:t>0.00%</w:t>
            </w:r>
          </w:p>
        </w:tc>
      </w:tr>
      <w:tr w:rsidR="00E977E0">
        <w:tc>
          <w:tcPr>
            <w:tcW w:w="1290" w:type="dxa"/>
            <w:vAlign w:val="center"/>
          </w:tcPr>
          <w:p w:rsidR="00E977E0" w:rsidRDefault="0084393D">
            <w:pPr>
              <w:jc w:val="left"/>
            </w:pPr>
            <w:r>
              <w:rPr>
                <w:rFonts w:eastAsiaTheme="minorEastAsia"/>
                <w:color w:val="000000" w:themeColor="text1"/>
                <w:szCs w:val="21"/>
              </w:rPr>
              <w:t>过去三年</w:t>
            </w:r>
          </w:p>
        </w:tc>
        <w:tc>
          <w:tcPr>
            <w:tcW w:w="1291" w:type="dxa"/>
            <w:vAlign w:val="center"/>
          </w:tcPr>
          <w:p w:rsidR="00E977E0" w:rsidRDefault="0084393D">
            <w:pPr>
              <w:jc w:val="right"/>
            </w:pPr>
            <w:r>
              <w:rPr>
                <w:rFonts w:eastAsiaTheme="minorEastAsia"/>
                <w:color w:val="000000" w:themeColor="text1"/>
                <w:szCs w:val="21"/>
              </w:rPr>
              <w:t>8.34%</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11.42%</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-3.08%</w:t>
            </w:r>
          </w:p>
        </w:tc>
        <w:tc>
          <w:tcPr>
            <w:tcW w:w="1291" w:type="dxa"/>
            <w:vAlign w:val="center"/>
          </w:tcPr>
          <w:p w:rsidR="00E977E0" w:rsidRDefault="0084393D">
            <w:pPr>
              <w:jc w:val="right"/>
            </w:pPr>
            <w:r>
              <w:rPr>
                <w:rFonts w:eastAsiaTheme="minorEastAsia"/>
                <w:color w:val="000000" w:themeColor="text1"/>
                <w:szCs w:val="21"/>
              </w:rPr>
              <w:t>0.00%</w:t>
            </w:r>
          </w:p>
        </w:tc>
      </w:tr>
      <w:tr w:rsidR="00E977E0">
        <w:tc>
          <w:tcPr>
            <w:tcW w:w="1290" w:type="dxa"/>
            <w:vAlign w:val="center"/>
          </w:tcPr>
          <w:p w:rsidR="00E977E0" w:rsidRDefault="0084393D">
            <w:pPr>
              <w:jc w:val="left"/>
            </w:pPr>
            <w:r>
              <w:rPr>
                <w:rFonts w:eastAsiaTheme="minorEastAsia"/>
                <w:color w:val="000000" w:themeColor="text1"/>
                <w:szCs w:val="21"/>
              </w:rPr>
              <w:t>过去五年</w:t>
            </w:r>
          </w:p>
        </w:tc>
        <w:tc>
          <w:tcPr>
            <w:tcW w:w="1291" w:type="dxa"/>
            <w:vAlign w:val="center"/>
          </w:tcPr>
          <w:p w:rsidR="00E977E0" w:rsidRDefault="0084393D">
            <w:pPr>
              <w:jc w:val="right"/>
            </w:pPr>
            <w:r>
              <w:rPr>
                <w:rFonts w:eastAsiaTheme="minorEastAsia"/>
                <w:color w:val="000000" w:themeColor="text1"/>
                <w:szCs w:val="21"/>
              </w:rPr>
              <w:t>-</w:t>
            </w:r>
          </w:p>
        </w:tc>
        <w:tc>
          <w:tcPr>
            <w:tcW w:w="1291" w:type="dxa"/>
            <w:vAlign w:val="center"/>
          </w:tcPr>
          <w:p w:rsidR="00E977E0" w:rsidRDefault="0084393D">
            <w:pPr>
              <w:jc w:val="right"/>
            </w:pPr>
            <w:r>
              <w:rPr>
                <w:rFonts w:eastAsiaTheme="minorEastAsia"/>
                <w:color w:val="000000" w:themeColor="text1"/>
                <w:szCs w:val="21"/>
              </w:rPr>
              <w:t>-</w:t>
            </w:r>
          </w:p>
        </w:tc>
        <w:tc>
          <w:tcPr>
            <w:tcW w:w="1291" w:type="dxa"/>
            <w:vAlign w:val="center"/>
          </w:tcPr>
          <w:p w:rsidR="00E977E0" w:rsidRDefault="0084393D">
            <w:pPr>
              <w:jc w:val="right"/>
            </w:pPr>
            <w:r>
              <w:rPr>
                <w:rFonts w:eastAsiaTheme="minorEastAsia"/>
                <w:color w:val="000000" w:themeColor="text1"/>
                <w:szCs w:val="21"/>
              </w:rPr>
              <w:t>-</w:t>
            </w:r>
          </w:p>
        </w:tc>
        <w:tc>
          <w:tcPr>
            <w:tcW w:w="1291" w:type="dxa"/>
            <w:vAlign w:val="center"/>
          </w:tcPr>
          <w:p w:rsidR="00E977E0" w:rsidRDefault="0084393D">
            <w:pPr>
              <w:jc w:val="right"/>
            </w:pPr>
            <w:r>
              <w:rPr>
                <w:rFonts w:eastAsiaTheme="minorEastAsia"/>
                <w:color w:val="000000" w:themeColor="text1"/>
                <w:szCs w:val="21"/>
              </w:rPr>
              <w:t>-</w:t>
            </w:r>
          </w:p>
        </w:tc>
        <w:tc>
          <w:tcPr>
            <w:tcW w:w="1291" w:type="dxa"/>
            <w:vAlign w:val="center"/>
          </w:tcPr>
          <w:p w:rsidR="00E977E0" w:rsidRDefault="0084393D">
            <w:pPr>
              <w:jc w:val="right"/>
            </w:pPr>
            <w:r>
              <w:rPr>
                <w:rFonts w:eastAsiaTheme="minorEastAsia"/>
                <w:color w:val="000000" w:themeColor="text1"/>
                <w:szCs w:val="21"/>
              </w:rPr>
              <w:t>-</w:t>
            </w:r>
          </w:p>
        </w:tc>
        <w:tc>
          <w:tcPr>
            <w:tcW w:w="1291" w:type="dxa"/>
            <w:vAlign w:val="center"/>
          </w:tcPr>
          <w:p w:rsidR="00E977E0" w:rsidRDefault="0084393D">
            <w:pPr>
              <w:jc w:val="right"/>
            </w:pPr>
            <w:r>
              <w:rPr>
                <w:rFonts w:eastAsiaTheme="minorEastAsia"/>
                <w:color w:val="000000" w:themeColor="text1"/>
                <w:szCs w:val="21"/>
              </w:rPr>
              <w:t>-</w:t>
            </w:r>
          </w:p>
        </w:tc>
      </w:tr>
      <w:tr w:rsidR="00E977E0">
        <w:tc>
          <w:tcPr>
            <w:tcW w:w="1290" w:type="dxa"/>
            <w:vAlign w:val="center"/>
          </w:tcPr>
          <w:p w:rsidR="00E977E0" w:rsidRDefault="0084393D">
            <w:pPr>
              <w:jc w:val="left"/>
            </w:pPr>
            <w:r>
              <w:rPr>
                <w:rFonts w:eastAsiaTheme="minorEastAsia"/>
                <w:color w:val="000000" w:themeColor="text1"/>
                <w:szCs w:val="21"/>
              </w:rPr>
              <w:t>自基金合同生效起至今</w:t>
            </w:r>
          </w:p>
        </w:tc>
        <w:tc>
          <w:tcPr>
            <w:tcW w:w="1291" w:type="dxa"/>
            <w:vAlign w:val="center"/>
          </w:tcPr>
          <w:p w:rsidR="00E977E0" w:rsidRDefault="0084393D">
            <w:pPr>
              <w:jc w:val="right"/>
            </w:pPr>
            <w:r>
              <w:rPr>
                <w:rFonts w:eastAsiaTheme="minorEastAsia"/>
                <w:color w:val="000000" w:themeColor="text1"/>
                <w:szCs w:val="21"/>
              </w:rPr>
              <w:t>12.46%</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18.23%</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-5.77%</w:t>
            </w:r>
          </w:p>
        </w:tc>
        <w:tc>
          <w:tcPr>
            <w:tcW w:w="1291" w:type="dxa"/>
            <w:vAlign w:val="center"/>
          </w:tcPr>
          <w:p w:rsidR="00E977E0" w:rsidRDefault="0084393D">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摩根瑞泰</w:t>
      </w:r>
      <w:r w:rsidRPr="00B27A29">
        <w:rPr>
          <w:rFonts w:eastAsiaTheme="minorEastAsia"/>
          <w:b/>
          <w:color w:val="000000" w:themeColor="text1"/>
          <w:kern w:val="0"/>
          <w:szCs w:val="21"/>
        </w:rPr>
        <w:t>38</w:t>
      </w:r>
      <w:r w:rsidRPr="00B27A29">
        <w:rPr>
          <w:rFonts w:eastAsiaTheme="minorEastAsia"/>
          <w:b/>
          <w:color w:val="000000" w:themeColor="text1"/>
          <w:kern w:val="0"/>
          <w:szCs w:val="21"/>
        </w:rPr>
        <w:t>个月定期开放债券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977E0">
        <w:tc>
          <w:tcPr>
            <w:tcW w:w="1290" w:type="dxa"/>
            <w:vAlign w:val="center"/>
          </w:tcPr>
          <w:p w:rsidR="00E977E0" w:rsidRDefault="0084393D">
            <w:pPr>
              <w:jc w:val="left"/>
            </w:pPr>
            <w:r>
              <w:rPr>
                <w:rFonts w:eastAsiaTheme="minorEastAsia"/>
                <w:color w:val="000000" w:themeColor="text1"/>
                <w:szCs w:val="21"/>
              </w:rPr>
              <w:t>过去三个月</w:t>
            </w:r>
          </w:p>
        </w:tc>
        <w:tc>
          <w:tcPr>
            <w:tcW w:w="1291" w:type="dxa"/>
            <w:vAlign w:val="center"/>
          </w:tcPr>
          <w:p w:rsidR="00E977E0" w:rsidRDefault="0084393D">
            <w:pPr>
              <w:jc w:val="right"/>
            </w:pPr>
            <w:r>
              <w:rPr>
                <w:rFonts w:eastAsiaTheme="minorEastAsia"/>
                <w:color w:val="000000" w:themeColor="text1"/>
                <w:szCs w:val="21"/>
              </w:rPr>
              <w:t>0.55%</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0.96%</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-0.41%</w:t>
            </w:r>
          </w:p>
        </w:tc>
        <w:tc>
          <w:tcPr>
            <w:tcW w:w="1291" w:type="dxa"/>
            <w:vAlign w:val="center"/>
          </w:tcPr>
          <w:p w:rsidR="00E977E0" w:rsidRDefault="0084393D">
            <w:pPr>
              <w:jc w:val="right"/>
            </w:pPr>
            <w:r>
              <w:rPr>
                <w:rFonts w:eastAsiaTheme="minorEastAsia"/>
                <w:color w:val="000000" w:themeColor="text1"/>
                <w:szCs w:val="21"/>
              </w:rPr>
              <w:t>0.00%</w:t>
            </w:r>
          </w:p>
        </w:tc>
      </w:tr>
      <w:tr w:rsidR="00E977E0">
        <w:tc>
          <w:tcPr>
            <w:tcW w:w="1290" w:type="dxa"/>
            <w:vAlign w:val="center"/>
          </w:tcPr>
          <w:p w:rsidR="00E977E0" w:rsidRDefault="0084393D">
            <w:pPr>
              <w:jc w:val="left"/>
            </w:pPr>
            <w:r>
              <w:rPr>
                <w:rFonts w:eastAsiaTheme="minorEastAsia"/>
                <w:color w:val="000000" w:themeColor="text1"/>
                <w:szCs w:val="21"/>
              </w:rPr>
              <w:t>过去六个月</w:t>
            </w:r>
          </w:p>
        </w:tc>
        <w:tc>
          <w:tcPr>
            <w:tcW w:w="1291" w:type="dxa"/>
            <w:vAlign w:val="center"/>
          </w:tcPr>
          <w:p w:rsidR="00E977E0" w:rsidRDefault="0084393D">
            <w:pPr>
              <w:jc w:val="right"/>
            </w:pPr>
            <w:r>
              <w:rPr>
                <w:rFonts w:eastAsiaTheme="minorEastAsia"/>
                <w:color w:val="000000" w:themeColor="text1"/>
                <w:szCs w:val="21"/>
              </w:rPr>
              <w:t>1.10%</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1.92%</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-0.82%</w:t>
            </w:r>
          </w:p>
        </w:tc>
        <w:tc>
          <w:tcPr>
            <w:tcW w:w="1291" w:type="dxa"/>
            <w:vAlign w:val="center"/>
          </w:tcPr>
          <w:p w:rsidR="00E977E0" w:rsidRDefault="0084393D">
            <w:pPr>
              <w:jc w:val="right"/>
            </w:pPr>
            <w:r>
              <w:rPr>
                <w:rFonts w:eastAsiaTheme="minorEastAsia"/>
                <w:color w:val="000000" w:themeColor="text1"/>
                <w:szCs w:val="21"/>
              </w:rPr>
              <w:t>0.00%</w:t>
            </w:r>
          </w:p>
        </w:tc>
      </w:tr>
      <w:tr w:rsidR="00E977E0">
        <w:tc>
          <w:tcPr>
            <w:tcW w:w="1290" w:type="dxa"/>
            <w:vAlign w:val="center"/>
          </w:tcPr>
          <w:p w:rsidR="00E977E0" w:rsidRDefault="0084393D">
            <w:pPr>
              <w:jc w:val="left"/>
            </w:pPr>
            <w:r>
              <w:rPr>
                <w:rFonts w:eastAsiaTheme="minorEastAsia"/>
                <w:color w:val="000000" w:themeColor="text1"/>
                <w:szCs w:val="21"/>
              </w:rPr>
              <w:t>过去一年</w:t>
            </w:r>
          </w:p>
        </w:tc>
        <w:tc>
          <w:tcPr>
            <w:tcW w:w="1291" w:type="dxa"/>
            <w:vAlign w:val="center"/>
          </w:tcPr>
          <w:p w:rsidR="00E977E0" w:rsidRDefault="0084393D">
            <w:pPr>
              <w:jc w:val="right"/>
            </w:pPr>
            <w:r>
              <w:rPr>
                <w:rFonts w:eastAsiaTheme="minorEastAsia"/>
                <w:color w:val="000000" w:themeColor="text1"/>
                <w:szCs w:val="21"/>
              </w:rPr>
              <w:t>2.42%</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3.81%</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-1.39%</w:t>
            </w:r>
          </w:p>
        </w:tc>
        <w:tc>
          <w:tcPr>
            <w:tcW w:w="1291" w:type="dxa"/>
            <w:vAlign w:val="center"/>
          </w:tcPr>
          <w:p w:rsidR="00E977E0" w:rsidRDefault="0084393D">
            <w:pPr>
              <w:jc w:val="right"/>
            </w:pPr>
            <w:r>
              <w:rPr>
                <w:rFonts w:eastAsiaTheme="minorEastAsia"/>
                <w:color w:val="000000" w:themeColor="text1"/>
                <w:szCs w:val="21"/>
              </w:rPr>
              <w:t>0.00%</w:t>
            </w:r>
          </w:p>
        </w:tc>
      </w:tr>
      <w:tr w:rsidR="00E977E0">
        <w:tc>
          <w:tcPr>
            <w:tcW w:w="1290" w:type="dxa"/>
            <w:vAlign w:val="center"/>
          </w:tcPr>
          <w:p w:rsidR="00E977E0" w:rsidRDefault="0084393D">
            <w:pPr>
              <w:jc w:val="left"/>
            </w:pPr>
            <w:r>
              <w:rPr>
                <w:rFonts w:eastAsiaTheme="minorEastAsia"/>
                <w:color w:val="000000" w:themeColor="text1"/>
                <w:szCs w:val="21"/>
              </w:rPr>
              <w:t>过去三年</w:t>
            </w:r>
          </w:p>
        </w:tc>
        <w:tc>
          <w:tcPr>
            <w:tcW w:w="1291" w:type="dxa"/>
            <w:vAlign w:val="center"/>
          </w:tcPr>
          <w:p w:rsidR="00E977E0" w:rsidRDefault="0084393D">
            <w:pPr>
              <w:jc w:val="right"/>
            </w:pPr>
            <w:r>
              <w:rPr>
                <w:rFonts w:eastAsiaTheme="minorEastAsia"/>
                <w:color w:val="000000" w:themeColor="text1"/>
                <w:szCs w:val="21"/>
              </w:rPr>
              <w:t>7.54%</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11.42%</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-3.88%</w:t>
            </w:r>
          </w:p>
        </w:tc>
        <w:tc>
          <w:tcPr>
            <w:tcW w:w="1291" w:type="dxa"/>
            <w:vAlign w:val="center"/>
          </w:tcPr>
          <w:p w:rsidR="00E977E0" w:rsidRDefault="0084393D">
            <w:pPr>
              <w:jc w:val="right"/>
            </w:pPr>
            <w:r>
              <w:rPr>
                <w:rFonts w:eastAsiaTheme="minorEastAsia"/>
                <w:color w:val="000000" w:themeColor="text1"/>
                <w:szCs w:val="21"/>
              </w:rPr>
              <w:t>0.00%</w:t>
            </w:r>
          </w:p>
        </w:tc>
      </w:tr>
      <w:tr w:rsidR="00E977E0">
        <w:tc>
          <w:tcPr>
            <w:tcW w:w="1290" w:type="dxa"/>
            <w:vAlign w:val="center"/>
          </w:tcPr>
          <w:p w:rsidR="00E977E0" w:rsidRDefault="0084393D">
            <w:pPr>
              <w:jc w:val="left"/>
            </w:pPr>
            <w:r>
              <w:rPr>
                <w:rFonts w:eastAsiaTheme="minorEastAsia"/>
                <w:color w:val="000000" w:themeColor="text1"/>
                <w:szCs w:val="21"/>
              </w:rPr>
              <w:t>过去五年</w:t>
            </w:r>
          </w:p>
        </w:tc>
        <w:tc>
          <w:tcPr>
            <w:tcW w:w="1291" w:type="dxa"/>
            <w:vAlign w:val="center"/>
          </w:tcPr>
          <w:p w:rsidR="00E977E0" w:rsidRDefault="0084393D">
            <w:pPr>
              <w:jc w:val="right"/>
            </w:pPr>
            <w:r>
              <w:rPr>
                <w:rFonts w:eastAsiaTheme="minorEastAsia"/>
                <w:color w:val="000000" w:themeColor="text1"/>
                <w:szCs w:val="21"/>
              </w:rPr>
              <w:t>-</w:t>
            </w:r>
          </w:p>
        </w:tc>
        <w:tc>
          <w:tcPr>
            <w:tcW w:w="1291" w:type="dxa"/>
            <w:vAlign w:val="center"/>
          </w:tcPr>
          <w:p w:rsidR="00E977E0" w:rsidRDefault="0084393D">
            <w:pPr>
              <w:jc w:val="right"/>
            </w:pPr>
            <w:r>
              <w:rPr>
                <w:rFonts w:eastAsiaTheme="minorEastAsia"/>
                <w:color w:val="000000" w:themeColor="text1"/>
                <w:szCs w:val="21"/>
              </w:rPr>
              <w:t>-</w:t>
            </w:r>
          </w:p>
        </w:tc>
        <w:tc>
          <w:tcPr>
            <w:tcW w:w="1291" w:type="dxa"/>
            <w:vAlign w:val="center"/>
          </w:tcPr>
          <w:p w:rsidR="00E977E0" w:rsidRDefault="0084393D">
            <w:pPr>
              <w:jc w:val="right"/>
            </w:pPr>
            <w:r>
              <w:rPr>
                <w:rFonts w:eastAsiaTheme="minorEastAsia"/>
                <w:color w:val="000000" w:themeColor="text1"/>
                <w:szCs w:val="21"/>
              </w:rPr>
              <w:t>-</w:t>
            </w:r>
          </w:p>
        </w:tc>
        <w:tc>
          <w:tcPr>
            <w:tcW w:w="1291" w:type="dxa"/>
            <w:vAlign w:val="center"/>
          </w:tcPr>
          <w:p w:rsidR="00E977E0" w:rsidRDefault="0084393D">
            <w:pPr>
              <w:jc w:val="right"/>
            </w:pPr>
            <w:r>
              <w:rPr>
                <w:rFonts w:eastAsiaTheme="minorEastAsia"/>
                <w:color w:val="000000" w:themeColor="text1"/>
                <w:szCs w:val="21"/>
              </w:rPr>
              <w:t>-</w:t>
            </w:r>
          </w:p>
        </w:tc>
        <w:tc>
          <w:tcPr>
            <w:tcW w:w="1291" w:type="dxa"/>
            <w:vAlign w:val="center"/>
          </w:tcPr>
          <w:p w:rsidR="00E977E0" w:rsidRDefault="0084393D">
            <w:pPr>
              <w:jc w:val="right"/>
            </w:pPr>
            <w:r>
              <w:rPr>
                <w:rFonts w:eastAsiaTheme="minorEastAsia"/>
                <w:color w:val="000000" w:themeColor="text1"/>
                <w:szCs w:val="21"/>
              </w:rPr>
              <w:t>-</w:t>
            </w:r>
          </w:p>
        </w:tc>
        <w:tc>
          <w:tcPr>
            <w:tcW w:w="1291" w:type="dxa"/>
            <w:vAlign w:val="center"/>
          </w:tcPr>
          <w:p w:rsidR="00E977E0" w:rsidRDefault="0084393D">
            <w:pPr>
              <w:jc w:val="right"/>
            </w:pPr>
            <w:r>
              <w:rPr>
                <w:rFonts w:eastAsiaTheme="minorEastAsia"/>
                <w:color w:val="000000" w:themeColor="text1"/>
                <w:szCs w:val="21"/>
              </w:rPr>
              <w:t>-</w:t>
            </w:r>
          </w:p>
        </w:tc>
      </w:tr>
      <w:tr w:rsidR="00E977E0">
        <w:tc>
          <w:tcPr>
            <w:tcW w:w="1290" w:type="dxa"/>
            <w:vAlign w:val="center"/>
          </w:tcPr>
          <w:p w:rsidR="00E977E0" w:rsidRDefault="0084393D">
            <w:pPr>
              <w:jc w:val="left"/>
            </w:pPr>
            <w:r>
              <w:rPr>
                <w:rFonts w:eastAsiaTheme="minorEastAsia"/>
                <w:color w:val="000000" w:themeColor="text1"/>
                <w:szCs w:val="21"/>
              </w:rPr>
              <w:t>自基金合同生效起至今</w:t>
            </w:r>
          </w:p>
        </w:tc>
        <w:tc>
          <w:tcPr>
            <w:tcW w:w="1291" w:type="dxa"/>
            <w:vAlign w:val="center"/>
          </w:tcPr>
          <w:p w:rsidR="00E977E0" w:rsidRDefault="0084393D">
            <w:pPr>
              <w:jc w:val="right"/>
            </w:pPr>
            <w:r>
              <w:rPr>
                <w:rFonts w:eastAsiaTheme="minorEastAsia"/>
                <w:color w:val="000000" w:themeColor="text1"/>
                <w:szCs w:val="21"/>
              </w:rPr>
              <w:t>11.13%</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18.23%</w:t>
            </w:r>
          </w:p>
        </w:tc>
        <w:tc>
          <w:tcPr>
            <w:tcW w:w="1291" w:type="dxa"/>
            <w:vAlign w:val="center"/>
          </w:tcPr>
          <w:p w:rsidR="00E977E0" w:rsidRDefault="0084393D">
            <w:pPr>
              <w:jc w:val="right"/>
            </w:pPr>
            <w:r>
              <w:rPr>
                <w:rFonts w:eastAsiaTheme="minorEastAsia"/>
                <w:color w:val="000000" w:themeColor="text1"/>
                <w:szCs w:val="21"/>
              </w:rPr>
              <w:t>0.01%</w:t>
            </w:r>
          </w:p>
        </w:tc>
        <w:tc>
          <w:tcPr>
            <w:tcW w:w="1291" w:type="dxa"/>
            <w:vAlign w:val="center"/>
          </w:tcPr>
          <w:p w:rsidR="00E977E0" w:rsidRDefault="0084393D">
            <w:pPr>
              <w:jc w:val="right"/>
            </w:pPr>
            <w:r>
              <w:rPr>
                <w:rFonts w:eastAsiaTheme="minorEastAsia"/>
                <w:color w:val="000000" w:themeColor="text1"/>
                <w:szCs w:val="21"/>
              </w:rPr>
              <w:t>-7.10%</w:t>
            </w:r>
          </w:p>
        </w:tc>
        <w:tc>
          <w:tcPr>
            <w:tcW w:w="1291" w:type="dxa"/>
            <w:vAlign w:val="center"/>
          </w:tcPr>
          <w:p w:rsidR="00E977E0" w:rsidRDefault="0084393D">
            <w:pPr>
              <w:jc w:val="right"/>
            </w:pPr>
            <w:r>
              <w:rPr>
                <w:rFonts w:eastAsiaTheme="minorEastAsia"/>
                <w:color w:val="000000" w:themeColor="text1"/>
                <w:szCs w:val="21"/>
              </w:rPr>
              <w:t>0.00%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977E0" w:rsidRDefault="0084393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977E0">
        <w:tc>
          <w:tcPr>
            <w:tcW w:w="952" w:type="dxa"/>
            <w:vAlign w:val="center"/>
          </w:tcPr>
          <w:p w:rsidR="00E977E0" w:rsidRDefault="0084393D">
            <w:pPr>
              <w:jc w:val="center"/>
            </w:pPr>
            <w:r>
              <w:rPr>
                <w:rFonts w:eastAsiaTheme="minorEastAsia"/>
                <w:color w:val="000000" w:themeColor="text1"/>
                <w:szCs w:val="21"/>
              </w:rPr>
              <w:t>任翔</w:t>
            </w:r>
          </w:p>
        </w:tc>
        <w:tc>
          <w:tcPr>
            <w:tcW w:w="930" w:type="dxa"/>
            <w:vAlign w:val="center"/>
          </w:tcPr>
          <w:p w:rsidR="00E977E0" w:rsidRDefault="0084393D">
            <w:pPr>
              <w:jc w:val="center"/>
            </w:pPr>
            <w:r>
              <w:rPr>
                <w:rFonts w:eastAsiaTheme="minorEastAsia"/>
                <w:color w:val="000000" w:themeColor="text1"/>
                <w:szCs w:val="21"/>
              </w:rPr>
              <w:t>本基金基金经理</w:t>
            </w:r>
          </w:p>
        </w:tc>
        <w:tc>
          <w:tcPr>
            <w:tcW w:w="1210" w:type="dxa"/>
            <w:vAlign w:val="center"/>
          </w:tcPr>
          <w:p w:rsidR="00E977E0" w:rsidRDefault="0084393D">
            <w:pPr>
              <w:jc w:val="center"/>
            </w:pPr>
            <w:r>
              <w:rPr>
                <w:rFonts w:eastAsiaTheme="minorEastAsia"/>
                <w:color w:val="000000" w:themeColor="text1"/>
                <w:szCs w:val="21"/>
              </w:rPr>
              <w:t>2020-03-18</w:t>
            </w:r>
          </w:p>
        </w:tc>
        <w:tc>
          <w:tcPr>
            <w:tcW w:w="1309" w:type="dxa"/>
            <w:vAlign w:val="center"/>
          </w:tcPr>
          <w:p w:rsidR="00E977E0" w:rsidRDefault="0084393D">
            <w:pPr>
              <w:jc w:val="center"/>
            </w:pPr>
            <w:r>
              <w:rPr>
                <w:rFonts w:eastAsiaTheme="minorEastAsia"/>
                <w:color w:val="000000" w:themeColor="text1"/>
                <w:szCs w:val="21"/>
              </w:rPr>
              <w:t>-</w:t>
            </w:r>
          </w:p>
        </w:tc>
        <w:tc>
          <w:tcPr>
            <w:tcW w:w="1254" w:type="dxa"/>
            <w:vAlign w:val="center"/>
          </w:tcPr>
          <w:p w:rsidR="00E977E0" w:rsidRDefault="0084393D">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E977E0" w:rsidRDefault="0084393D">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bl>
    <w:p w:rsidR="00E977E0" w:rsidRDefault="0084393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E977E0" w:rsidRDefault="0084393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任翔先生为本基金首任基金经理，其任职日期为本基金基金合同生效之日。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E977E0" w:rsidRDefault="0084393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w:t>
      </w:r>
      <w:r>
        <w:rPr>
          <w:rFonts w:eastAsiaTheme="minorEastAsia"/>
          <w:color w:val="000000" w:themeColor="text1"/>
          <w:szCs w:val="21"/>
        </w:rPr>
        <w:t>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977E0" w:rsidRDefault="0084393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w:t>
      </w:r>
      <w:r>
        <w:rPr>
          <w:rFonts w:eastAsiaTheme="minorEastAsia"/>
          <w:color w:val="000000" w:themeColor="text1"/>
          <w:szCs w:val="21"/>
        </w:rPr>
        <w:t>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E977E0" w:rsidRDefault="0084393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E977E0" w:rsidRDefault="0084393D">
      <w:pPr>
        <w:spacing w:line="360" w:lineRule="auto"/>
        <w:ind w:firstLineChars="200" w:firstLine="420"/>
        <w:rPr>
          <w:rFonts w:eastAsiaTheme="minorEastAsia"/>
          <w:color w:val="000000" w:themeColor="text1"/>
          <w:szCs w:val="21"/>
        </w:rPr>
      </w:pPr>
      <w:r>
        <w:rPr>
          <w:rFonts w:eastAsiaTheme="minorEastAsia"/>
          <w:color w:val="000000" w:themeColor="text1"/>
          <w:szCs w:val="21"/>
        </w:rPr>
        <w:t>受到政策面、基本面等因素的支持，四季度债券市场整体表现强势。</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日，财政部预告将举行发布会介绍</w:t>
      </w:r>
      <w:r>
        <w:rPr>
          <w:rFonts w:eastAsiaTheme="minorEastAsia"/>
          <w:color w:val="000000" w:themeColor="text1"/>
          <w:szCs w:val="21"/>
        </w:rPr>
        <w:t>“</w:t>
      </w:r>
      <w:r>
        <w:rPr>
          <w:rFonts w:eastAsiaTheme="minorEastAsia"/>
          <w:color w:val="000000" w:themeColor="text1"/>
          <w:szCs w:val="21"/>
        </w:rPr>
        <w:t>加大财政政策逆周期调节力度、推动经济高质量发展</w:t>
      </w:r>
      <w:r>
        <w:rPr>
          <w:rFonts w:eastAsiaTheme="minorEastAsia"/>
          <w:color w:val="000000" w:themeColor="text1"/>
          <w:szCs w:val="21"/>
        </w:rPr>
        <w:t>”</w:t>
      </w:r>
      <w:r>
        <w:rPr>
          <w:rFonts w:eastAsiaTheme="minorEastAsia"/>
          <w:color w:val="000000" w:themeColor="text1"/>
          <w:szCs w:val="21"/>
        </w:rPr>
        <w:t>有关情况，市场情绪谨慎。但随后几个交易日，权益资产表现偏弱，市场对财政政策预期下降，收益率转为下行。</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财政部在发布会上介绍了财政政策的发力方向，整体未有超出市场预期，收益率震荡向下。后续关于地产政策的发布会后，市场对于政策刺激的担忧解除，收益率再下一城。随后关于新增地方债额度的担忧影响市场，收益率回吐部分涨幅并震荡盘整</w:t>
      </w:r>
      <w:r>
        <w:rPr>
          <w:rFonts w:eastAsiaTheme="minorEastAsia"/>
          <w:color w:val="000000" w:themeColor="text1"/>
          <w:szCs w:val="21"/>
        </w:rPr>
        <w:t>。</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日，全国人大常委会办公厅举行新闻发布会，宣布三年</w:t>
      </w:r>
      <w:r>
        <w:rPr>
          <w:rFonts w:eastAsiaTheme="minorEastAsia"/>
          <w:color w:val="000000" w:themeColor="text1"/>
          <w:szCs w:val="21"/>
        </w:rPr>
        <w:t>6</w:t>
      </w:r>
      <w:r>
        <w:rPr>
          <w:rFonts w:eastAsiaTheme="minorEastAsia"/>
          <w:color w:val="000000" w:themeColor="text1"/>
          <w:szCs w:val="21"/>
        </w:rPr>
        <w:t>万亿元的化债政策，靴子落地，市场走出利空出尽的行情。</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w:t>
      </w:r>
      <w:r>
        <w:rPr>
          <w:rFonts w:eastAsiaTheme="minorEastAsia"/>
          <w:color w:val="000000" w:themeColor="text1"/>
          <w:szCs w:val="21"/>
        </w:rPr>
        <w:t>30</w:t>
      </w:r>
      <w:r>
        <w:rPr>
          <w:rFonts w:eastAsiaTheme="minorEastAsia"/>
          <w:color w:val="000000" w:themeColor="text1"/>
          <w:szCs w:val="21"/>
        </w:rPr>
        <w:t>年特别国债续发收益率高于二级市场收益率，带动收益率向上。此后关于地方债发行节奏和期限的讨论持续影响市场，收益率先上后下。此后在调降同业活期存款利率的传闻及工业企业利润数据等利好的支撑下，收益率继续走低。</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日，中共中央政治局召开会议，货币政策定调改为</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，债市多头情绪被彻底点燃，收益率连续创出新低。年末</w:t>
      </w:r>
      <w:r>
        <w:rPr>
          <w:rFonts w:eastAsiaTheme="minorEastAsia"/>
          <w:color w:val="000000" w:themeColor="text1"/>
          <w:szCs w:val="21"/>
        </w:rPr>
        <w:t>10</w:t>
      </w:r>
      <w:r>
        <w:rPr>
          <w:rFonts w:eastAsiaTheme="minorEastAsia"/>
          <w:color w:val="000000" w:themeColor="text1"/>
          <w:szCs w:val="21"/>
        </w:rPr>
        <w:t>年期国债收益率收于</w:t>
      </w:r>
      <w:r>
        <w:rPr>
          <w:rFonts w:eastAsiaTheme="minorEastAsia"/>
          <w:color w:val="000000" w:themeColor="text1"/>
          <w:szCs w:val="21"/>
        </w:rPr>
        <w:t>1.68%</w:t>
      </w:r>
      <w:r>
        <w:rPr>
          <w:rFonts w:eastAsiaTheme="minorEastAsia"/>
          <w:color w:val="000000" w:themeColor="text1"/>
          <w:szCs w:val="21"/>
        </w:rPr>
        <w:t>。</w:t>
      </w:r>
    </w:p>
    <w:p w:rsidR="00E977E0" w:rsidRDefault="0084393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本基金在四季度保持了既有配置，</w:t>
      </w:r>
      <w:r>
        <w:rPr>
          <w:rFonts w:eastAsiaTheme="minorEastAsia"/>
          <w:color w:val="000000" w:themeColor="text1"/>
          <w:szCs w:val="21"/>
        </w:rPr>
        <w:t>维持基金杠杆率。</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展望后市，在</w:t>
      </w:r>
      <w:r w:rsidRPr="00B27A29">
        <w:rPr>
          <w:rFonts w:eastAsiaTheme="minorEastAsia"/>
          <w:color w:val="000000" w:themeColor="text1"/>
          <w:szCs w:val="21"/>
        </w:rPr>
        <w:t>“</w:t>
      </w:r>
      <w:r w:rsidRPr="00B27A29">
        <w:rPr>
          <w:rFonts w:eastAsiaTheme="minorEastAsia"/>
          <w:color w:val="000000" w:themeColor="text1"/>
          <w:szCs w:val="21"/>
        </w:rPr>
        <w:t>适度宽松</w:t>
      </w:r>
      <w:r w:rsidRPr="00B27A29">
        <w:rPr>
          <w:rFonts w:eastAsiaTheme="minorEastAsia"/>
          <w:color w:val="000000" w:themeColor="text1"/>
          <w:szCs w:val="21"/>
        </w:rPr>
        <w:t>”</w:t>
      </w:r>
      <w:r w:rsidRPr="00B27A29">
        <w:rPr>
          <w:rFonts w:eastAsiaTheme="minorEastAsia"/>
          <w:color w:val="000000" w:themeColor="text1"/>
          <w:szCs w:val="21"/>
        </w:rPr>
        <w:t>的货币政策基调下，收益率易下难上。基本面数据对债市情绪影响有限，在见到数据的全面、连续改善前，基本面大概率不对债券构成威胁。当前债市面临的主要风险在于前期对于宽松预期有一定程度透支，收益率低位下止盈盘累积，后续市场可能呈现波动加大的状态。我们将密切跟踪市场情绪，寻找市场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E977E0" w:rsidRDefault="0084393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本报告期摩根瑞泰</w:t>
      </w:r>
      <w:r>
        <w:rPr>
          <w:rFonts w:eastAsiaTheme="minorEastAsia"/>
          <w:color w:val="000000" w:themeColor="text1"/>
          <w:szCs w:val="21"/>
        </w:rPr>
        <w:t>38</w:t>
      </w:r>
      <w:r>
        <w:rPr>
          <w:rFonts w:eastAsiaTheme="minorEastAsia"/>
          <w:color w:val="000000" w:themeColor="text1"/>
          <w:szCs w:val="21"/>
        </w:rPr>
        <w:t>个月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:0.61%</w:t>
      </w:r>
      <w:r>
        <w:rPr>
          <w:rFonts w:eastAsiaTheme="minorEastAsia"/>
          <w:color w:val="000000" w:themeColor="text1"/>
          <w:szCs w:val="21"/>
        </w:rPr>
        <w:t>，同期业绩比较基准收益率为</w:t>
      </w:r>
      <w:r>
        <w:rPr>
          <w:rFonts w:eastAsiaTheme="minorEastAsia"/>
          <w:color w:val="000000" w:themeColor="text1"/>
          <w:szCs w:val="21"/>
        </w:rPr>
        <w:t>:0.96%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:0.55%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13,240,227,668.57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99.99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13,240,227,668.57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99.99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1,653,738.48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13,241,881,407.05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13,240,227,668.57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164.00</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8,535,872,755.90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105.73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13,240,227,668.57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E977E0">
        <w:tc>
          <w:tcPr>
            <w:tcW w:w="1504" w:type="dxa"/>
            <w:vAlign w:val="center"/>
          </w:tcPr>
          <w:p w:rsidR="00E977E0" w:rsidRDefault="0084393D">
            <w:pPr>
              <w:jc w:val="center"/>
            </w:pPr>
            <w:r>
              <w:rPr>
                <w:rFonts w:eastAsiaTheme="minorEastAsia"/>
                <w:color w:val="000000" w:themeColor="text1"/>
                <w:szCs w:val="21"/>
              </w:rPr>
              <w:t>1</w:t>
            </w:r>
          </w:p>
        </w:tc>
        <w:tc>
          <w:tcPr>
            <w:tcW w:w="1504" w:type="dxa"/>
            <w:vAlign w:val="center"/>
          </w:tcPr>
          <w:p w:rsidR="00E977E0" w:rsidRDefault="0084393D">
            <w:pPr>
              <w:jc w:val="center"/>
            </w:pPr>
            <w:r>
              <w:rPr>
                <w:rFonts w:eastAsiaTheme="minorEastAsia"/>
                <w:color w:val="000000" w:themeColor="text1"/>
                <w:szCs w:val="21"/>
              </w:rPr>
              <w:t>160210</w:t>
            </w:r>
          </w:p>
        </w:tc>
        <w:tc>
          <w:tcPr>
            <w:tcW w:w="1504" w:type="dxa"/>
            <w:vAlign w:val="center"/>
          </w:tcPr>
          <w:p w:rsidR="00E977E0" w:rsidRDefault="0084393D">
            <w:pPr>
              <w:jc w:val="center"/>
            </w:pPr>
            <w:r>
              <w:rPr>
                <w:rFonts w:eastAsiaTheme="minorEastAsia"/>
                <w:color w:val="000000" w:themeColor="text1"/>
                <w:szCs w:val="21"/>
              </w:rPr>
              <w:t>16</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rsidR="00E977E0" w:rsidRDefault="0084393D">
            <w:pPr>
              <w:jc w:val="right"/>
            </w:pPr>
            <w:r>
              <w:rPr>
                <w:rFonts w:eastAsiaTheme="minorEastAsia"/>
                <w:color w:val="000000" w:themeColor="text1"/>
                <w:szCs w:val="21"/>
              </w:rPr>
              <w:t>31,200,000</w:t>
            </w:r>
          </w:p>
        </w:tc>
        <w:tc>
          <w:tcPr>
            <w:tcW w:w="1503" w:type="dxa"/>
            <w:vAlign w:val="center"/>
          </w:tcPr>
          <w:p w:rsidR="00E977E0" w:rsidRDefault="0084393D">
            <w:pPr>
              <w:jc w:val="right"/>
            </w:pPr>
            <w:r>
              <w:rPr>
                <w:rFonts w:eastAsiaTheme="minorEastAsia"/>
                <w:color w:val="000000" w:themeColor="text1"/>
                <w:szCs w:val="21"/>
              </w:rPr>
              <w:t>3,221,325,373.28</w:t>
            </w:r>
          </w:p>
        </w:tc>
        <w:tc>
          <w:tcPr>
            <w:tcW w:w="1503" w:type="dxa"/>
            <w:vAlign w:val="center"/>
          </w:tcPr>
          <w:p w:rsidR="00E977E0" w:rsidRDefault="0084393D">
            <w:pPr>
              <w:jc w:val="right"/>
            </w:pPr>
            <w:r>
              <w:rPr>
                <w:rFonts w:eastAsiaTheme="minorEastAsia"/>
                <w:color w:val="000000" w:themeColor="text1"/>
                <w:szCs w:val="21"/>
              </w:rPr>
              <w:t>39.90</w:t>
            </w:r>
          </w:p>
        </w:tc>
      </w:tr>
      <w:tr w:rsidR="00E977E0">
        <w:tc>
          <w:tcPr>
            <w:tcW w:w="1504" w:type="dxa"/>
            <w:vAlign w:val="center"/>
          </w:tcPr>
          <w:p w:rsidR="00E977E0" w:rsidRDefault="0084393D">
            <w:pPr>
              <w:jc w:val="center"/>
            </w:pPr>
            <w:r>
              <w:rPr>
                <w:rFonts w:eastAsiaTheme="minorEastAsia"/>
                <w:color w:val="000000" w:themeColor="text1"/>
                <w:szCs w:val="21"/>
              </w:rPr>
              <w:t>2</w:t>
            </w:r>
          </w:p>
        </w:tc>
        <w:tc>
          <w:tcPr>
            <w:tcW w:w="1504" w:type="dxa"/>
            <w:vAlign w:val="center"/>
          </w:tcPr>
          <w:p w:rsidR="00E977E0" w:rsidRDefault="0084393D">
            <w:pPr>
              <w:jc w:val="center"/>
            </w:pPr>
            <w:r>
              <w:rPr>
                <w:rFonts w:eastAsiaTheme="minorEastAsia"/>
                <w:color w:val="000000" w:themeColor="text1"/>
                <w:szCs w:val="21"/>
              </w:rPr>
              <w:t>190408</w:t>
            </w:r>
          </w:p>
        </w:tc>
        <w:tc>
          <w:tcPr>
            <w:tcW w:w="1504" w:type="dxa"/>
            <w:vAlign w:val="center"/>
          </w:tcPr>
          <w:p w:rsidR="00E977E0" w:rsidRDefault="0084393D">
            <w:pPr>
              <w:jc w:val="center"/>
            </w:pPr>
            <w:r>
              <w:rPr>
                <w:rFonts w:eastAsiaTheme="minorEastAsia"/>
                <w:color w:val="000000" w:themeColor="text1"/>
                <w:szCs w:val="21"/>
              </w:rPr>
              <w:t>19</w:t>
            </w:r>
            <w:r>
              <w:rPr>
                <w:rFonts w:eastAsiaTheme="minorEastAsia"/>
                <w:color w:val="000000" w:themeColor="text1"/>
                <w:szCs w:val="21"/>
              </w:rPr>
              <w:t>农发</w:t>
            </w:r>
            <w:r>
              <w:rPr>
                <w:rFonts w:eastAsiaTheme="minorEastAsia"/>
                <w:color w:val="000000" w:themeColor="text1"/>
                <w:szCs w:val="21"/>
              </w:rPr>
              <w:t>08</w:t>
            </w:r>
          </w:p>
        </w:tc>
        <w:tc>
          <w:tcPr>
            <w:tcW w:w="1503" w:type="dxa"/>
            <w:vAlign w:val="center"/>
          </w:tcPr>
          <w:p w:rsidR="00E977E0" w:rsidRDefault="0084393D">
            <w:pPr>
              <w:jc w:val="right"/>
            </w:pPr>
            <w:r>
              <w:rPr>
                <w:rFonts w:eastAsiaTheme="minorEastAsia"/>
                <w:color w:val="000000" w:themeColor="text1"/>
                <w:szCs w:val="21"/>
              </w:rPr>
              <w:t>25,400,000</w:t>
            </w:r>
          </w:p>
        </w:tc>
        <w:tc>
          <w:tcPr>
            <w:tcW w:w="1503" w:type="dxa"/>
            <w:vAlign w:val="center"/>
          </w:tcPr>
          <w:p w:rsidR="00E977E0" w:rsidRDefault="0084393D">
            <w:pPr>
              <w:jc w:val="right"/>
            </w:pPr>
            <w:r>
              <w:rPr>
                <w:rFonts w:eastAsiaTheme="minorEastAsia"/>
                <w:color w:val="000000" w:themeColor="text1"/>
                <w:szCs w:val="21"/>
              </w:rPr>
              <w:t>2,626,603,829.98</w:t>
            </w:r>
          </w:p>
        </w:tc>
        <w:tc>
          <w:tcPr>
            <w:tcW w:w="1503" w:type="dxa"/>
            <w:vAlign w:val="center"/>
          </w:tcPr>
          <w:p w:rsidR="00E977E0" w:rsidRDefault="0084393D">
            <w:pPr>
              <w:jc w:val="right"/>
            </w:pPr>
            <w:r>
              <w:rPr>
                <w:rFonts w:eastAsiaTheme="minorEastAsia"/>
                <w:color w:val="000000" w:themeColor="text1"/>
                <w:szCs w:val="21"/>
              </w:rPr>
              <w:t>32.53</w:t>
            </w:r>
          </w:p>
        </w:tc>
      </w:tr>
      <w:tr w:rsidR="00E977E0">
        <w:tc>
          <w:tcPr>
            <w:tcW w:w="1504" w:type="dxa"/>
            <w:vAlign w:val="center"/>
          </w:tcPr>
          <w:p w:rsidR="00E977E0" w:rsidRDefault="0084393D">
            <w:pPr>
              <w:jc w:val="center"/>
            </w:pPr>
            <w:r>
              <w:rPr>
                <w:rFonts w:eastAsiaTheme="minorEastAsia"/>
                <w:color w:val="000000" w:themeColor="text1"/>
                <w:szCs w:val="21"/>
              </w:rPr>
              <w:t>3</w:t>
            </w:r>
          </w:p>
        </w:tc>
        <w:tc>
          <w:tcPr>
            <w:tcW w:w="1504" w:type="dxa"/>
            <w:vAlign w:val="center"/>
          </w:tcPr>
          <w:p w:rsidR="00E977E0" w:rsidRDefault="0084393D">
            <w:pPr>
              <w:jc w:val="center"/>
            </w:pPr>
            <w:r>
              <w:rPr>
                <w:rFonts w:eastAsiaTheme="minorEastAsia"/>
                <w:color w:val="000000" w:themeColor="text1"/>
                <w:szCs w:val="21"/>
              </w:rPr>
              <w:t>230405</w:t>
            </w:r>
          </w:p>
        </w:tc>
        <w:tc>
          <w:tcPr>
            <w:tcW w:w="1504" w:type="dxa"/>
            <w:vAlign w:val="center"/>
          </w:tcPr>
          <w:p w:rsidR="00E977E0" w:rsidRDefault="0084393D">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05</w:t>
            </w:r>
          </w:p>
        </w:tc>
        <w:tc>
          <w:tcPr>
            <w:tcW w:w="1503" w:type="dxa"/>
            <w:vAlign w:val="center"/>
          </w:tcPr>
          <w:p w:rsidR="00E977E0" w:rsidRDefault="0084393D">
            <w:pPr>
              <w:jc w:val="right"/>
            </w:pPr>
            <w:r>
              <w:rPr>
                <w:rFonts w:eastAsiaTheme="minorEastAsia"/>
                <w:color w:val="000000" w:themeColor="text1"/>
                <w:szCs w:val="21"/>
              </w:rPr>
              <w:t>14,300,000</w:t>
            </w:r>
          </w:p>
        </w:tc>
        <w:tc>
          <w:tcPr>
            <w:tcW w:w="1503" w:type="dxa"/>
            <w:vAlign w:val="center"/>
          </w:tcPr>
          <w:p w:rsidR="00E977E0" w:rsidRDefault="0084393D">
            <w:pPr>
              <w:jc w:val="right"/>
            </w:pPr>
            <w:r>
              <w:rPr>
                <w:rFonts w:eastAsiaTheme="minorEastAsia"/>
                <w:color w:val="000000" w:themeColor="text1"/>
                <w:szCs w:val="21"/>
              </w:rPr>
              <w:t>1,456,779,122.35</w:t>
            </w:r>
          </w:p>
        </w:tc>
        <w:tc>
          <w:tcPr>
            <w:tcW w:w="1503" w:type="dxa"/>
            <w:vAlign w:val="center"/>
          </w:tcPr>
          <w:p w:rsidR="00E977E0" w:rsidRDefault="0084393D">
            <w:pPr>
              <w:jc w:val="right"/>
            </w:pPr>
            <w:r>
              <w:rPr>
                <w:rFonts w:eastAsiaTheme="minorEastAsia"/>
                <w:color w:val="000000" w:themeColor="text1"/>
                <w:szCs w:val="21"/>
              </w:rPr>
              <w:t>18.04</w:t>
            </w:r>
          </w:p>
        </w:tc>
      </w:tr>
      <w:tr w:rsidR="00E977E0">
        <w:tc>
          <w:tcPr>
            <w:tcW w:w="1504" w:type="dxa"/>
            <w:vAlign w:val="center"/>
          </w:tcPr>
          <w:p w:rsidR="00E977E0" w:rsidRDefault="0084393D">
            <w:pPr>
              <w:jc w:val="center"/>
            </w:pPr>
            <w:r>
              <w:rPr>
                <w:rFonts w:eastAsiaTheme="minorEastAsia"/>
                <w:color w:val="000000" w:themeColor="text1"/>
                <w:szCs w:val="21"/>
              </w:rPr>
              <w:t>4</w:t>
            </w:r>
          </w:p>
        </w:tc>
        <w:tc>
          <w:tcPr>
            <w:tcW w:w="1504" w:type="dxa"/>
            <w:vAlign w:val="center"/>
          </w:tcPr>
          <w:p w:rsidR="00E977E0" w:rsidRDefault="0084393D">
            <w:pPr>
              <w:jc w:val="center"/>
            </w:pPr>
            <w:r>
              <w:rPr>
                <w:rFonts w:eastAsiaTheme="minorEastAsia"/>
                <w:color w:val="000000" w:themeColor="text1"/>
                <w:szCs w:val="21"/>
              </w:rPr>
              <w:t>212300002</w:t>
            </w:r>
          </w:p>
        </w:tc>
        <w:tc>
          <w:tcPr>
            <w:tcW w:w="1504" w:type="dxa"/>
            <w:vAlign w:val="center"/>
          </w:tcPr>
          <w:p w:rsidR="00E977E0" w:rsidRDefault="0084393D">
            <w:pPr>
              <w:jc w:val="center"/>
            </w:pPr>
            <w:r>
              <w:rPr>
                <w:rFonts w:eastAsiaTheme="minorEastAsia"/>
                <w:color w:val="000000" w:themeColor="text1"/>
                <w:szCs w:val="21"/>
              </w:rPr>
              <w:t>23</w:t>
            </w:r>
            <w:r>
              <w:rPr>
                <w:rFonts w:eastAsiaTheme="minorEastAsia"/>
                <w:color w:val="000000" w:themeColor="text1"/>
                <w:szCs w:val="21"/>
              </w:rPr>
              <w:t>江苏银行债</w:t>
            </w:r>
            <w:r>
              <w:rPr>
                <w:rFonts w:eastAsiaTheme="minorEastAsia"/>
                <w:color w:val="000000" w:themeColor="text1"/>
                <w:szCs w:val="21"/>
              </w:rPr>
              <w:t>01</w:t>
            </w:r>
          </w:p>
        </w:tc>
        <w:tc>
          <w:tcPr>
            <w:tcW w:w="1503" w:type="dxa"/>
            <w:vAlign w:val="center"/>
          </w:tcPr>
          <w:p w:rsidR="00E977E0" w:rsidRDefault="0084393D">
            <w:pPr>
              <w:jc w:val="right"/>
            </w:pPr>
            <w:r>
              <w:rPr>
                <w:rFonts w:eastAsiaTheme="minorEastAsia"/>
                <w:color w:val="000000" w:themeColor="text1"/>
                <w:szCs w:val="21"/>
              </w:rPr>
              <w:t>5,500,000</w:t>
            </w:r>
          </w:p>
        </w:tc>
        <w:tc>
          <w:tcPr>
            <w:tcW w:w="1503" w:type="dxa"/>
            <w:vAlign w:val="center"/>
          </w:tcPr>
          <w:p w:rsidR="00E977E0" w:rsidRDefault="0084393D">
            <w:pPr>
              <w:jc w:val="right"/>
            </w:pPr>
            <w:r>
              <w:rPr>
                <w:rFonts w:eastAsiaTheme="minorEastAsia"/>
                <w:color w:val="000000" w:themeColor="text1"/>
                <w:szCs w:val="21"/>
              </w:rPr>
              <w:t>556,846,945.72</w:t>
            </w:r>
          </w:p>
        </w:tc>
        <w:tc>
          <w:tcPr>
            <w:tcW w:w="1503" w:type="dxa"/>
            <w:vAlign w:val="center"/>
          </w:tcPr>
          <w:p w:rsidR="00E977E0" w:rsidRDefault="0084393D">
            <w:pPr>
              <w:jc w:val="right"/>
            </w:pPr>
            <w:r>
              <w:rPr>
                <w:rFonts w:eastAsiaTheme="minorEastAsia"/>
                <w:color w:val="000000" w:themeColor="text1"/>
                <w:szCs w:val="21"/>
              </w:rPr>
              <w:t>6.90</w:t>
            </w:r>
          </w:p>
        </w:tc>
      </w:tr>
      <w:tr w:rsidR="00E977E0">
        <w:tc>
          <w:tcPr>
            <w:tcW w:w="1504" w:type="dxa"/>
            <w:vAlign w:val="center"/>
          </w:tcPr>
          <w:p w:rsidR="00E977E0" w:rsidRDefault="0084393D">
            <w:pPr>
              <w:jc w:val="center"/>
            </w:pPr>
            <w:r>
              <w:rPr>
                <w:rFonts w:eastAsiaTheme="minorEastAsia"/>
                <w:color w:val="000000" w:themeColor="text1"/>
                <w:szCs w:val="21"/>
              </w:rPr>
              <w:t>5</w:t>
            </w:r>
          </w:p>
        </w:tc>
        <w:tc>
          <w:tcPr>
            <w:tcW w:w="1504" w:type="dxa"/>
            <w:vAlign w:val="center"/>
          </w:tcPr>
          <w:p w:rsidR="00E977E0" w:rsidRDefault="0084393D">
            <w:pPr>
              <w:jc w:val="center"/>
            </w:pPr>
            <w:r>
              <w:rPr>
                <w:rFonts w:eastAsiaTheme="minorEastAsia"/>
                <w:color w:val="000000" w:themeColor="text1"/>
                <w:szCs w:val="21"/>
              </w:rPr>
              <w:t>2328018</w:t>
            </w:r>
          </w:p>
        </w:tc>
        <w:tc>
          <w:tcPr>
            <w:tcW w:w="1504" w:type="dxa"/>
            <w:vAlign w:val="center"/>
          </w:tcPr>
          <w:p w:rsidR="00E977E0" w:rsidRDefault="0084393D">
            <w:pPr>
              <w:jc w:val="center"/>
            </w:pPr>
            <w:r>
              <w:rPr>
                <w:rFonts w:eastAsiaTheme="minorEastAsia"/>
                <w:color w:val="000000" w:themeColor="text1"/>
                <w:szCs w:val="21"/>
              </w:rPr>
              <w:t>23</w:t>
            </w:r>
            <w:r>
              <w:rPr>
                <w:rFonts w:eastAsiaTheme="minorEastAsia"/>
                <w:color w:val="000000" w:themeColor="text1"/>
                <w:szCs w:val="21"/>
              </w:rPr>
              <w:t>兴业银行绿色金融债</w:t>
            </w:r>
            <w:r>
              <w:rPr>
                <w:rFonts w:eastAsiaTheme="minorEastAsia"/>
                <w:color w:val="000000" w:themeColor="text1"/>
                <w:szCs w:val="21"/>
              </w:rPr>
              <w:t>02</w:t>
            </w:r>
          </w:p>
        </w:tc>
        <w:tc>
          <w:tcPr>
            <w:tcW w:w="1503" w:type="dxa"/>
            <w:vAlign w:val="center"/>
          </w:tcPr>
          <w:p w:rsidR="00E977E0" w:rsidRDefault="0084393D">
            <w:pPr>
              <w:jc w:val="right"/>
            </w:pPr>
            <w:r>
              <w:rPr>
                <w:rFonts w:eastAsiaTheme="minorEastAsia"/>
                <w:color w:val="000000" w:themeColor="text1"/>
                <w:szCs w:val="21"/>
              </w:rPr>
              <w:t>5,200,000</w:t>
            </w:r>
          </w:p>
        </w:tc>
        <w:tc>
          <w:tcPr>
            <w:tcW w:w="1503" w:type="dxa"/>
            <w:vAlign w:val="center"/>
          </w:tcPr>
          <w:p w:rsidR="00E977E0" w:rsidRDefault="0084393D">
            <w:pPr>
              <w:jc w:val="right"/>
            </w:pPr>
            <w:r>
              <w:rPr>
                <w:rFonts w:eastAsiaTheme="minorEastAsia"/>
                <w:color w:val="000000" w:themeColor="text1"/>
                <w:szCs w:val="21"/>
              </w:rPr>
              <w:t>526,363,163.53</w:t>
            </w:r>
          </w:p>
        </w:tc>
        <w:tc>
          <w:tcPr>
            <w:tcW w:w="1503" w:type="dxa"/>
            <w:vAlign w:val="center"/>
          </w:tcPr>
          <w:p w:rsidR="00E977E0" w:rsidRDefault="0084393D">
            <w:pPr>
              <w:jc w:val="right"/>
            </w:pPr>
            <w:r>
              <w:rPr>
                <w:rFonts w:eastAsiaTheme="minorEastAsia"/>
                <w:color w:val="000000" w:themeColor="text1"/>
                <w:szCs w:val="21"/>
              </w:rPr>
              <w:t>6.52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平安银行股份有限公司报告编制日前一年内曾受到国家金融监督管理总局的处罚，宁波银行股份有限公司报告编制日前一年内曾受到国家金融监督管理总局宁波监管局的处罚，杭州银行股份有限公司报告编制日前一年内曾受到国家外汇管理局浙江省分局、国家金融监督管理总局浙江监管局的处罚，兴业银行股份有限公司报告编制日前一年内曾受到国家金融监督管理总局福建监管局的处罚，国家开发银行报告编制日前一年内曾受到国家金融监督管理总局北京监管局的处罚。</w:t>
      </w:r>
    </w:p>
    <w:p w:rsidR="00E977E0" w:rsidRDefault="0084393D">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本基金本报告期末无其他资产构成。</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7,923,440,765.03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14,967.52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7,923,440,765.03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14,967.52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E977E0">
        <w:tc>
          <w:tcPr>
            <w:tcW w:w="993" w:type="dxa"/>
            <w:vMerge w:val="restart"/>
            <w:vAlign w:val="center"/>
          </w:tcPr>
          <w:p w:rsidR="00E977E0" w:rsidRDefault="0084393D">
            <w:r>
              <w:rPr>
                <w:bCs/>
                <w:color w:val="000000"/>
                <w:kern w:val="0"/>
                <w:szCs w:val="21"/>
              </w:rPr>
              <w:t>机构</w:t>
            </w:r>
          </w:p>
        </w:tc>
        <w:tc>
          <w:tcPr>
            <w:tcW w:w="992" w:type="dxa"/>
            <w:vAlign w:val="center"/>
          </w:tcPr>
          <w:p w:rsidR="00E977E0" w:rsidRDefault="0084393D">
            <w:pPr>
              <w:jc w:val="center"/>
            </w:pPr>
            <w:r>
              <w:rPr>
                <w:color w:val="000000"/>
                <w:kern w:val="0"/>
                <w:szCs w:val="21"/>
              </w:rPr>
              <w:t>1</w:t>
            </w:r>
          </w:p>
        </w:tc>
        <w:tc>
          <w:tcPr>
            <w:tcW w:w="1843" w:type="dxa"/>
            <w:vAlign w:val="center"/>
          </w:tcPr>
          <w:p w:rsidR="00E977E0" w:rsidRDefault="0084393D">
            <w:pPr>
              <w:jc w:val="center"/>
            </w:pPr>
            <w:r>
              <w:rPr>
                <w:color w:val="000000"/>
                <w:kern w:val="0"/>
                <w:szCs w:val="21"/>
              </w:rPr>
              <w:t>20241001-20241231</w:t>
            </w:r>
          </w:p>
        </w:tc>
        <w:tc>
          <w:tcPr>
            <w:tcW w:w="851" w:type="dxa"/>
            <w:vAlign w:val="center"/>
          </w:tcPr>
          <w:p w:rsidR="00E977E0" w:rsidRDefault="0084393D">
            <w:pPr>
              <w:jc w:val="center"/>
            </w:pPr>
            <w:r>
              <w:rPr>
                <w:color w:val="000000"/>
                <w:kern w:val="0"/>
                <w:szCs w:val="21"/>
              </w:rPr>
              <w:t>2,036,922,000.69</w:t>
            </w:r>
          </w:p>
        </w:tc>
        <w:tc>
          <w:tcPr>
            <w:tcW w:w="850" w:type="dxa"/>
            <w:vAlign w:val="center"/>
          </w:tcPr>
          <w:p w:rsidR="00E977E0" w:rsidRDefault="0084393D">
            <w:pPr>
              <w:jc w:val="center"/>
            </w:pPr>
            <w:r>
              <w:rPr>
                <w:color w:val="000000"/>
                <w:kern w:val="0"/>
                <w:szCs w:val="21"/>
              </w:rPr>
              <w:t>0.00</w:t>
            </w:r>
          </w:p>
        </w:tc>
        <w:tc>
          <w:tcPr>
            <w:tcW w:w="1134" w:type="dxa"/>
            <w:vAlign w:val="center"/>
          </w:tcPr>
          <w:p w:rsidR="00E977E0" w:rsidRDefault="0084393D">
            <w:pPr>
              <w:jc w:val="center"/>
            </w:pPr>
            <w:r>
              <w:rPr>
                <w:color w:val="000000"/>
                <w:kern w:val="0"/>
                <w:szCs w:val="21"/>
              </w:rPr>
              <w:t>0.00</w:t>
            </w:r>
          </w:p>
        </w:tc>
        <w:tc>
          <w:tcPr>
            <w:tcW w:w="1419" w:type="dxa"/>
            <w:vAlign w:val="center"/>
          </w:tcPr>
          <w:p w:rsidR="00E977E0" w:rsidRDefault="0084393D">
            <w:pPr>
              <w:jc w:val="center"/>
            </w:pPr>
            <w:r>
              <w:rPr>
                <w:color w:val="000000"/>
                <w:kern w:val="0"/>
                <w:szCs w:val="21"/>
              </w:rPr>
              <w:t>2,036,922,000.69</w:t>
            </w:r>
          </w:p>
        </w:tc>
        <w:tc>
          <w:tcPr>
            <w:tcW w:w="1130" w:type="dxa"/>
            <w:vAlign w:val="center"/>
          </w:tcPr>
          <w:p w:rsidR="00E977E0" w:rsidRDefault="0084393D">
            <w:pPr>
              <w:jc w:val="center"/>
            </w:pPr>
            <w:r>
              <w:rPr>
                <w:color w:val="000000"/>
                <w:kern w:val="0"/>
                <w:szCs w:val="21"/>
              </w:rPr>
              <w:t>25.71%</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E977E0" w:rsidRDefault="0084393D">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E977E0" w:rsidRDefault="0084393D">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、摩根瑞泰</w:t>
      </w:r>
      <w:r>
        <w:rPr>
          <w:rFonts w:eastAsiaTheme="minorEastAsia"/>
          <w:color w:val="000000" w:themeColor="text1"/>
          <w:szCs w:val="21"/>
        </w:rPr>
        <w:t>38</w:t>
      </w:r>
      <w:r>
        <w:rPr>
          <w:rFonts w:eastAsiaTheme="minorEastAsia"/>
          <w:color w:val="000000" w:themeColor="text1"/>
          <w:szCs w:val="21"/>
        </w:rPr>
        <w:t>个月定期开放债券型证券投资基金基金合同</w:t>
      </w:r>
    </w:p>
    <w:p w:rsidR="00E977E0" w:rsidRDefault="0084393D">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、摩根瑞泰</w:t>
      </w:r>
      <w:r>
        <w:rPr>
          <w:rFonts w:eastAsiaTheme="minorEastAsia"/>
          <w:color w:val="000000" w:themeColor="text1"/>
          <w:szCs w:val="21"/>
        </w:rPr>
        <w:t>38</w:t>
      </w:r>
      <w:r>
        <w:rPr>
          <w:rFonts w:eastAsiaTheme="minorEastAsia"/>
          <w:color w:val="000000" w:themeColor="text1"/>
          <w:szCs w:val="21"/>
        </w:rPr>
        <w:t>个月定期开放债券型证券投资基金托管协议</w:t>
      </w:r>
    </w:p>
    <w:p w:rsidR="00E977E0" w:rsidRDefault="0084393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、基金管理人业务资格批件、营业执照</w:t>
      </w:r>
    </w:p>
    <w:p w:rsidR="00E977E0" w:rsidRDefault="0084393D">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、摩根基金管理（中国）有限公司开放式基金业务规则</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4393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4393D">
      <w:rPr>
        <w:noProof/>
        <w:kern w:val="0"/>
        <w:szCs w:val="21"/>
      </w:rPr>
      <w:t>12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4393D">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摩根瑞泰</w:t>
    </w:r>
    <w:r>
      <w:t>38</w:t>
    </w:r>
    <w:r>
      <w:t>个月定期开放债券型证券投资基金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393D"/>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977E0"/>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519449-26D4-4CF0-ADAA-B21CB357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12</Pages>
  <Words>1059</Words>
  <Characters>6037</Characters>
  <Application>Microsoft Office Word</Application>
  <DocSecurity>0</DocSecurity>
  <Lines>50</Lines>
  <Paragraphs>14</Paragraphs>
  <ScaleCrop>false</ScaleCrop>
  <Company>TRT. Ltd. Co.</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2025-01-21T06:16:00Z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