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摩根中债</w:t>
      </w:r>
      <w:r w:rsidRPr="00EE3DBC">
        <w:rPr>
          <w:rFonts w:eastAsiaTheme="minorEastAsia"/>
          <w:b/>
          <w:color w:val="000000" w:themeColor="text1"/>
          <w:sz w:val="36"/>
          <w:szCs w:val="36"/>
        </w:rPr>
        <w:t>1-3</w:t>
      </w:r>
      <w:r w:rsidRPr="00EE3DBC">
        <w:rPr>
          <w:rFonts w:eastAsiaTheme="minorEastAsia"/>
          <w:b/>
          <w:color w:val="000000" w:themeColor="text1"/>
          <w:sz w:val="36"/>
          <w:szCs w:val="36"/>
        </w:rPr>
        <w:t>年国开行债券指数证券投资基金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年第</w:t>
      </w:r>
      <w:r w:rsidRPr="00EE3DBC">
        <w:rPr>
          <w:rFonts w:eastAsiaTheme="minorEastAsia"/>
          <w:b/>
          <w:color w:val="000000" w:themeColor="text1"/>
          <w:sz w:val="36"/>
          <w:szCs w:val="36"/>
        </w:rPr>
        <w:t>3</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w:t>
      </w:r>
      <w:r w:rsidRPr="00EE3DBC">
        <w:rPr>
          <w:rFonts w:eastAsiaTheme="minorEastAsia"/>
          <w:b/>
          <w:color w:val="000000" w:themeColor="text1"/>
          <w:sz w:val="36"/>
          <w:szCs w:val="36"/>
        </w:rPr>
        <w:t>9</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基金托管人：中国建设银行股份有限公司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报告送出日期：二〇二三年十月二十五日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基金托管人中国建设银行股份有限公司根据本基金合同规定，于</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2023</w:t>
      </w:r>
      <w:r w:rsidRPr="00EE3DBC">
        <w:rPr>
          <w:rFonts w:eastAsiaTheme="minorEastAsia"/>
          <w:color w:val="000000" w:themeColor="text1"/>
          <w:sz w:val="24"/>
        </w:rPr>
        <w:t>年</w:t>
      </w:r>
      <w:r w:rsidRPr="00EE3DBC">
        <w:rPr>
          <w:rFonts w:eastAsiaTheme="minorEastAsia"/>
          <w:color w:val="000000" w:themeColor="text1"/>
          <w:sz w:val="24"/>
        </w:rPr>
        <w:t>7</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9</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2021</w:t>
            </w:r>
            <w:r w:rsidRPr="00EE3DBC">
              <w:rPr>
                <w:rFonts w:eastAsiaTheme="minorEastAsia"/>
                <w:color w:val="000000" w:themeColor="text1"/>
                <w:kern w:val="0"/>
                <w:sz w:val="24"/>
              </w:rPr>
              <w:t>年</w:t>
            </w:r>
            <w:r w:rsidRPr="00EE3DBC">
              <w:rPr>
                <w:rFonts w:eastAsiaTheme="minorEastAsia"/>
                <w:color w:val="000000" w:themeColor="text1"/>
                <w:kern w:val="0"/>
                <w:sz w:val="24"/>
              </w:rPr>
              <w:t>8</w:t>
            </w:r>
            <w:r w:rsidRPr="00EE3DBC">
              <w:rPr>
                <w:rFonts w:eastAsiaTheme="minorEastAsia"/>
                <w:color w:val="000000" w:themeColor="text1"/>
                <w:kern w:val="0"/>
                <w:sz w:val="24"/>
              </w:rPr>
              <w:t>月</w:t>
            </w:r>
            <w:r w:rsidRPr="00EE3DBC">
              <w:rPr>
                <w:rFonts w:eastAsiaTheme="minorEastAsia"/>
                <w:color w:val="000000" w:themeColor="text1"/>
                <w:kern w:val="0"/>
                <w:sz w:val="24"/>
              </w:rPr>
              <w:t>9</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413,212,251.00</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本基金通过指数化投资，争取在扣除各项费用之前获得与标的指数相似的总回报，追求跟踪偏离度及跟踪误差的最小化。</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CF66BE" w:rsidRDefault="0054462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CF66BE" w:rsidRDefault="0054462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本基金将在降低跟踪误差和控制流动性风险的前提下构建指数化的投资组合。本基金投资于待偿期</w:t>
            </w:r>
            <w:r>
              <w:rPr>
                <w:rFonts w:eastAsiaTheme="minorEastAsia"/>
                <w:color w:val="000000" w:themeColor="text1"/>
                <w:kern w:val="0"/>
                <w:sz w:val="24"/>
              </w:rPr>
              <w:t>1</w:t>
            </w:r>
            <w:r>
              <w:rPr>
                <w:rFonts w:eastAsiaTheme="minorEastAsia"/>
                <w:color w:val="000000" w:themeColor="text1"/>
                <w:kern w:val="0"/>
                <w:sz w:val="24"/>
              </w:rPr>
              <w:t>年到</w:t>
            </w:r>
            <w:r>
              <w:rPr>
                <w:rFonts w:eastAsiaTheme="minorEastAsia"/>
                <w:color w:val="000000" w:themeColor="text1"/>
                <w:kern w:val="0"/>
                <w:sz w:val="24"/>
              </w:rPr>
              <w:t>3</w:t>
            </w:r>
            <w:r>
              <w:rPr>
                <w:rFonts w:eastAsiaTheme="minorEastAsia"/>
                <w:color w:val="000000" w:themeColor="text1"/>
                <w:kern w:val="0"/>
                <w:sz w:val="24"/>
              </w:rPr>
              <w:t>年的标的指数成份券和备选成份券的比例</w:t>
            </w:r>
            <w:r>
              <w:rPr>
                <w:rFonts w:eastAsiaTheme="minorEastAsia"/>
                <w:color w:val="000000" w:themeColor="text1"/>
                <w:kern w:val="0"/>
                <w:sz w:val="24"/>
              </w:rPr>
              <w:lastRenderedPageBreak/>
              <w:t>不低于本基金非现金基金资产的</w:t>
            </w:r>
            <w:r>
              <w:rPr>
                <w:rFonts w:eastAsiaTheme="minorEastAsia"/>
                <w:color w:val="000000" w:themeColor="text1"/>
                <w:kern w:val="0"/>
                <w:sz w:val="24"/>
              </w:rPr>
              <w:t>80%</w:t>
            </w:r>
            <w:r>
              <w:rPr>
                <w:rFonts w:eastAsiaTheme="minorEastAsia"/>
                <w:color w:val="000000" w:themeColor="text1"/>
                <w:kern w:val="0"/>
                <w:sz w:val="24"/>
              </w:rPr>
              <w:t>。</w:t>
            </w:r>
          </w:p>
          <w:p w:rsidR="00CF66BE" w:rsidRDefault="0054462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、债券投资策略</w:t>
            </w:r>
          </w:p>
          <w:p w:rsidR="00CF66BE" w:rsidRDefault="0054462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）抽样复制策略</w:t>
            </w:r>
          </w:p>
          <w:p w:rsidR="00CF66BE" w:rsidRDefault="0054462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本基金通过抽样复制方法跟踪标的指数的业绩表现。本基金将综合考虑债券流动性、收益性、久期等因素，选择流动性较好的成份债券构建投资组合。本基金可采取适当方法，如</w:t>
            </w:r>
            <w:r>
              <w:rPr>
                <w:rFonts w:eastAsiaTheme="minorEastAsia"/>
                <w:color w:val="000000" w:themeColor="text1"/>
                <w:kern w:val="0"/>
                <w:sz w:val="24"/>
              </w:rPr>
              <w:t>“</w:t>
            </w:r>
            <w:r>
              <w:rPr>
                <w:rFonts w:eastAsiaTheme="minorEastAsia"/>
                <w:color w:val="000000" w:themeColor="text1"/>
                <w:kern w:val="0"/>
                <w:sz w:val="24"/>
              </w:rPr>
              <w:t>久期盯住</w:t>
            </w:r>
            <w:r>
              <w:rPr>
                <w:rFonts w:eastAsiaTheme="minorEastAsia"/>
                <w:color w:val="000000" w:themeColor="text1"/>
                <w:kern w:val="0"/>
                <w:sz w:val="24"/>
              </w:rPr>
              <w:t>”</w:t>
            </w:r>
            <w:r>
              <w:rPr>
                <w:rFonts w:eastAsiaTheme="minorEastAsia"/>
                <w:color w:val="000000" w:themeColor="text1"/>
                <w:kern w:val="0"/>
                <w:sz w:val="24"/>
              </w:rPr>
              <w:t>等优化策略对基金资产进行调整，降低交易成本，以期尽量缩小跟踪误差。</w:t>
            </w:r>
          </w:p>
          <w:p w:rsidR="00CF66BE" w:rsidRDefault="0054462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）替代性策略</w:t>
            </w:r>
          </w:p>
          <w:p w:rsidR="00CF66BE" w:rsidRDefault="0054462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rsidR="00CF66BE" w:rsidRDefault="00544626">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、其他投资策略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本基金为债券型基金，其预期风险与预期收益高于货币市场基金，低于混合型基金和股票型基金。</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中国建设银行股份有限公司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008844</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374,069,477.19</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39,142,773.81</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7</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9</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2,671,198.01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336,185.81</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1,706,598.81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155,348.95</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0.0046</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0.0033</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377,272,402.08</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39,580,451.79</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1.0086</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1.0112</w:t>
            </w:r>
          </w:p>
        </w:tc>
      </w:tr>
    </w:tbl>
    <w:p w:rsidR="00CF66BE" w:rsidRDefault="005446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w:t>
            </w:r>
            <w:r w:rsidRPr="00EE3DBC">
              <w:rPr>
                <w:rFonts w:eastAsiaTheme="minorEastAsia"/>
                <w:color w:val="000000" w:themeColor="text1"/>
                <w:szCs w:val="21"/>
              </w:rPr>
              <w:lastRenderedPageBreak/>
              <w:t>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lastRenderedPageBreak/>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CF66BE">
        <w:tc>
          <w:tcPr>
            <w:tcW w:w="1290" w:type="dxa"/>
            <w:vAlign w:val="center"/>
          </w:tcPr>
          <w:p w:rsidR="00CF66BE" w:rsidRDefault="00544626">
            <w:pPr>
              <w:jc w:val="left"/>
            </w:pPr>
            <w:r>
              <w:rPr>
                <w:rFonts w:eastAsiaTheme="minorEastAsia"/>
                <w:color w:val="000000" w:themeColor="text1"/>
                <w:szCs w:val="21"/>
              </w:rPr>
              <w:t>过去三个月</w:t>
            </w:r>
          </w:p>
        </w:tc>
        <w:tc>
          <w:tcPr>
            <w:tcW w:w="1291" w:type="dxa"/>
            <w:vAlign w:val="center"/>
          </w:tcPr>
          <w:p w:rsidR="00CF66BE" w:rsidRDefault="00544626">
            <w:pPr>
              <w:jc w:val="right"/>
            </w:pPr>
            <w:r>
              <w:rPr>
                <w:rFonts w:eastAsiaTheme="minorEastAsia"/>
                <w:color w:val="000000" w:themeColor="text1"/>
                <w:szCs w:val="21"/>
              </w:rPr>
              <w:t>0.46%</w:t>
            </w:r>
          </w:p>
        </w:tc>
        <w:tc>
          <w:tcPr>
            <w:tcW w:w="1291" w:type="dxa"/>
            <w:vAlign w:val="center"/>
          </w:tcPr>
          <w:p w:rsidR="00CF66BE" w:rsidRDefault="00544626">
            <w:pPr>
              <w:jc w:val="right"/>
            </w:pPr>
            <w:r>
              <w:rPr>
                <w:rFonts w:eastAsiaTheme="minorEastAsia"/>
                <w:color w:val="000000" w:themeColor="text1"/>
                <w:szCs w:val="21"/>
              </w:rPr>
              <w:t>0.05%</w:t>
            </w:r>
          </w:p>
        </w:tc>
        <w:tc>
          <w:tcPr>
            <w:tcW w:w="1291" w:type="dxa"/>
            <w:vAlign w:val="center"/>
          </w:tcPr>
          <w:p w:rsidR="00CF66BE" w:rsidRDefault="00544626">
            <w:pPr>
              <w:jc w:val="right"/>
            </w:pPr>
            <w:r>
              <w:rPr>
                <w:rFonts w:eastAsiaTheme="minorEastAsia"/>
                <w:color w:val="000000" w:themeColor="text1"/>
                <w:szCs w:val="21"/>
              </w:rPr>
              <w:t>-0.71%</w:t>
            </w:r>
          </w:p>
        </w:tc>
        <w:tc>
          <w:tcPr>
            <w:tcW w:w="1291" w:type="dxa"/>
            <w:vAlign w:val="center"/>
          </w:tcPr>
          <w:p w:rsidR="00CF66BE" w:rsidRDefault="00544626">
            <w:pPr>
              <w:jc w:val="right"/>
            </w:pPr>
            <w:r>
              <w:rPr>
                <w:rFonts w:eastAsiaTheme="minorEastAsia"/>
                <w:color w:val="000000" w:themeColor="text1"/>
                <w:szCs w:val="21"/>
              </w:rPr>
              <w:t>0.07%</w:t>
            </w:r>
          </w:p>
        </w:tc>
        <w:tc>
          <w:tcPr>
            <w:tcW w:w="1291" w:type="dxa"/>
            <w:vAlign w:val="center"/>
          </w:tcPr>
          <w:p w:rsidR="00CF66BE" w:rsidRDefault="00544626">
            <w:pPr>
              <w:jc w:val="right"/>
            </w:pPr>
            <w:r>
              <w:rPr>
                <w:rFonts w:eastAsiaTheme="minorEastAsia"/>
                <w:color w:val="000000" w:themeColor="text1"/>
                <w:szCs w:val="21"/>
              </w:rPr>
              <w:t>1.17%</w:t>
            </w:r>
          </w:p>
        </w:tc>
        <w:tc>
          <w:tcPr>
            <w:tcW w:w="1291" w:type="dxa"/>
            <w:vAlign w:val="center"/>
          </w:tcPr>
          <w:p w:rsidR="00CF66BE" w:rsidRDefault="00544626">
            <w:pPr>
              <w:jc w:val="right"/>
            </w:pPr>
            <w:r>
              <w:rPr>
                <w:rFonts w:eastAsiaTheme="minorEastAsia"/>
                <w:color w:val="000000" w:themeColor="text1"/>
                <w:szCs w:val="21"/>
              </w:rPr>
              <w:t>-0.02%</w:t>
            </w:r>
          </w:p>
        </w:tc>
      </w:tr>
      <w:tr w:rsidR="00CF66BE">
        <w:tc>
          <w:tcPr>
            <w:tcW w:w="1290" w:type="dxa"/>
            <w:vAlign w:val="center"/>
          </w:tcPr>
          <w:p w:rsidR="00CF66BE" w:rsidRDefault="00544626">
            <w:pPr>
              <w:jc w:val="left"/>
            </w:pPr>
            <w:r>
              <w:rPr>
                <w:rFonts w:eastAsiaTheme="minorEastAsia"/>
                <w:color w:val="000000" w:themeColor="text1"/>
                <w:szCs w:val="21"/>
              </w:rPr>
              <w:t>过去六个月</w:t>
            </w:r>
          </w:p>
        </w:tc>
        <w:tc>
          <w:tcPr>
            <w:tcW w:w="1291" w:type="dxa"/>
            <w:vAlign w:val="center"/>
          </w:tcPr>
          <w:p w:rsidR="00CF66BE" w:rsidRDefault="00544626">
            <w:pPr>
              <w:jc w:val="right"/>
            </w:pPr>
            <w:r>
              <w:rPr>
                <w:rFonts w:eastAsiaTheme="minorEastAsia"/>
                <w:color w:val="000000" w:themeColor="text1"/>
                <w:szCs w:val="21"/>
              </w:rPr>
              <w:t>1.59%</w:t>
            </w:r>
          </w:p>
        </w:tc>
        <w:tc>
          <w:tcPr>
            <w:tcW w:w="1291" w:type="dxa"/>
            <w:vAlign w:val="center"/>
          </w:tcPr>
          <w:p w:rsidR="00CF66BE" w:rsidRDefault="00544626">
            <w:pPr>
              <w:jc w:val="right"/>
            </w:pPr>
            <w:r>
              <w:rPr>
                <w:rFonts w:eastAsiaTheme="minorEastAsia"/>
                <w:color w:val="000000" w:themeColor="text1"/>
                <w:szCs w:val="21"/>
              </w:rPr>
              <w:t>0.05%</w:t>
            </w:r>
          </w:p>
        </w:tc>
        <w:tc>
          <w:tcPr>
            <w:tcW w:w="1291" w:type="dxa"/>
            <w:vAlign w:val="center"/>
          </w:tcPr>
          <w:p w:rsidR="00CF66BE" w:rsidRDefault="00544626">
            <w:pPr>
              <w:jc w:val="right"/>
            </w:pPr>
            <w:r>
              <w:rPr>
                <w:rFonts w:eastAsiaTheme="minorEastAsia"/>
                <w:color w:val="000000" w:themeColor="text1"/>
                <w:szCs w:val="21"/>
              </w:rPr>
              <w:t>-0.49%</w:t>
            </w:r>
          </w:p>
        </w:tc>
        <w:tc>
          <w:tcPr>
            <w:tcW w:w="1291" w:type="dxa"/>
            <w:vAlign w:val="center"/>
          </w:tcPr>
          <w:p w:rsidR="00CF66BE" w:rsidRDefault="00544626">
            <w:pPr>
              <w:jc w:val="right"/>
            </w:pPr>
            <w:r>
              <w:rPr>
                <w:rFonts w:eastAsiaTheme="minorEastAsia"/>
                <w:color w:val="000000" w:themeColor="text1"/>
                <w:szCs w:val="21"/>
              </w:rPr>
              <w:t>0.06%</w:t>
            </w:r>
          </w:p>
        </w:tc>
        <w:tc>
          <w:tcPr>
            <w:tcW w:w="1291" w:type="dxa"/>
            <w:vAlign w:val="center"/>
          </w:tcPr>
          <w:p w:rsidR="00CF66BE" w:rsidRDefault="00544626">
            <w:pPr>
              <w:jc w:val="right"/>
            </w:pPr>
            <w:r>
              <w:rPr>
                <w:rFonts w:eastAsiaTheme="minorEastAsia"/>
                <w:color w:val="000000" w:themeColor="text1"/>
                <w:szCs w:val="21"/>
              </w:rPr>
              <w:t>2.08%</w:t>
            </w:r>
          </w:p>
        </w:tc>
        <w:tc>
          <w:tcPr>
            <w:tcW w:w="1291" w:type="dxa"/>
            <w:vAlign w:val="center"/>
          </w:tcPr>
          <w:p w:rsidR="00CF66BE" w:rsidRDefault="00544626">
            <w:pPr>
              <w:jc w:val="right"/>
            </w:pPr>
            <w:r>
              <w:rPr>
                <w:rFonts w:eastAsiaTheme="minorEastAsia"/>
                <w:color w:val="000000" w:themeColor="text1"/>
                <w:szCs w:val="21"/>
              </w:rPr>
              <w:t>-0.01%</w:t>
            </w:r>
          </w:p>
        </w:tc>
      </w:tr>
      <w:tr w:rsidR="00CF66BE">
        <w:tc>
          <w:tcPr>
            <w:tcW w:w="1290" w:type="dxa"/>
            <w:vAlign w:val="center"/>
          </w:tcPr>
          <w:p w:rsidR="00CF66BE" w:rsidRDefault="00544626">
            <w:pPr>
              <w:jc w:val="left"/>
            </w:pPr>
            <w:r>
              <w:rPr>
                <w:rFonts w:eastAsiaTheme="minorEastAsia"/>
                <w:color w:val="000000" w:themeColor="text1"/>
                <w:szCs w:val="21"/>
              </w:rPr>
              <w:t>过去一年</w:t>
            </w:r>
          </w:p>
        </w:tc>
        <w:tc>
          <w:tcPr>
            <w:tcW w:w="1291" w:type="dxa"/>
            <w:vAlign w:val="center"/>
          </w:tcPr>
          <w:p w:rsidR="00CF66BE" w:rsidRDefault="00544626">
            <w:pPr>
              <w:jc w:val="right"/>
            </w:pPr>
            <w:r>
              <w:rPr>
                <w:rFonts w:eastAsiaTheme="minorEastAsia"/>
                <w:color w:val="000000" w:themeColor="text1"/>
                <w:szCs w:val="21"/>
              </w:rPr>
              <w:t>2.20%</w:t>
            </w:r>
          </w:p>
        </w:tc>
        <w:tc>
          <w:tcPr>
            <w:tcW w:w="1291" w:type="dxa"/>
            <w:vAlign w:val="center"/>
          </w:tcPr>
          <w:p w:rsidR="00CF66BE" w:rsidRDefault="00544626">
            <w:pPr>
              <w:jc w:val="right"/>
            </w:pPr>
            <w:r>
              <w:rPr>
                <w:rFonts w:eastAsiaTheme="minorEastAsia"/>
                <w:color w:val="000000" w:themeColor="text1"/>
                <w:szCs w:val="21"/>
              </w:rPr>
              <w:t>0.05%</w:t>
            </w:r>
          </w:p>
        </w:tc>
        <w:tc>
          <w:tcPr>
            <w:tcW w:w="1291" w:type="dxa"/>
            <w:vAlign w:val="center"/>
          </w:tcPr>
          <w:p w:rsidR="00CF66BE" w:rsidRDefault="00544626">
            <w:pPr>
              <w:jc w:val="right"/>
            </w:pPr>
            <w:r>
              <w:rPr>
                <w:rFonts w:eastAsiaTheme="minorEastAsia"/>
                <w:color w:val="000000" w:themeColor="text1"/>
                <w:szCs w:val="21"/>
              </w:rPr>
              <w:t>-1.28%</w:t>
            </w:r>
          </w:p>
        </w:tc>
        <w:tc>
          <w:tcPr>
            <w:tcW w:w="1291" w:type="dxa"/>
            <w:vAlign w:val="center"/>
          </w:tcPr>
          <w:p w:rsidR="00CF66BE" w:rsidRDefault="00544626">
            <w:pPr>
              <w:jc w:val="right"/>
            </w:pPr>
            <w:r>
              <w:rPr>
                <w:rFonts w:eastAsiaTheme="minorEastAsia"/>
                <w:color w:val="000000" w:themeColor="text1"/>
                <w:szCs w:val="21"/>
              </w:rPr>
              <w:t>0.07%</w:t>
            </w:r>
          </w:p>
        </w:tc>
        <w:tc>
          <w:tcPr>
            <w:tcW w:w="1291" w:type="dxa"/>
            <w:vAlign w:val="center"/>
          </w:tcPr>
          <w:p w:rsidR="00CF66BE" w:rsidRDefault="00544626">
            <w:pPr>
              <w:jc w:val="right"/>
            </w:pPr>
            <w:r>
              <w:rPr>
                <w:rFonts w:eastAsiaTheme="minorEastAsia"/>
                <w:color w:val="000000" w:themeColor="text1"/>
                <w:szCs w:val="21"/>
              </w:rPr>
              <w:t>3.48%</w:t>
            </w:r>
          </w:p>
        </w:tc>
        <w:tc>
          <w:tcPr>
            <w:tcW w:w="1291" w:type="dxa"/>
            <w:vAlign w:val="center"/>
          </w:tcPr>
          <w:p w:rsidR="00CF66BE" w:rsidRDefault="00544626">
            <w:pPr>
              <w:jc w:val="right"/>
            </w:pPr>
            <w:r>
              <w:rPr>
                <w:rFonts w:eastAsiaTheme="minorEastAsia"/>
                <w:color w:val="000000" w:themeColor="text1"/>
                <w:szCs w:val="21"/>
              </w:rPr>
              <w:t>-0.02%</w:t>
            </w:r>
          </w:p>
        </w:tc>
      </w:tr>
      <w:tr w:rsidR="00CF66BE">
        <w:tc>
          <w:tcPr>
            <w:tcW w:w="1290" w:type="dxa"/>
            <w:vAlign w:val="center"/>
          </w:tcPr>
          <w:p w:rsidR="00CF66BE" w:rsidRDefault="00544626">
            <w:pPr>
              <w:jc w:val="left"/>
            </w:pPr>
            <w:r>
              <w:rPr>
                <w:rFonts w:eastAsiaTheme="minorEastAsia"/>
                <w:color w:val="000000" w:themeColor="text1"/>
                <w:szCs w:val="21"/>
              </w:rPr>
              <w:t>过去三年</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r>
      <w:tr w:rsidR="00CF66BE">
        <w:tc>
          <w:tcPr>
            <w:tcW w:w="1290" w:type="dxa"/>
            <w:vAlign w:val="center"/>
          </w:tcPr>
          <w:p w:rsidR="00CF66BE" w:rsidRDefault="00544626">
            <w:pPr>
              <w:jc w:val="left"/>
            </w:pPr>
            <w:r>
              <w:rPr>
                <w:rFonts w:eastAsiaTheme="minorEastAsia"/>
                <w:color w:val="000000" w:themeColor="text1"/>
                <w:szCs w:val="21"/>
              </w:rPr>
              <w:t>过去五年</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r>
      <w:tr w:rsidR="00CF66BE">
        <w:tc>
          <w:tcPr>
            <w:tcW w:w="1290" w:type="dxa"/>
            <w:vAlign w:val="center"/>
          </w:tcPr>
          <w:p w:rsidR="00CF66BE" w:rsidRDefault="00544626">
            <w:pPr>
              <w:jc w:val="left"/>
            </w:pPr>
            <w:r>
              <w:rPr>
                <w:rFonts w:eastAsiaTheme="minorEastAsia"/>
                <w:color w:val="000000" w:themeColor="text1"/>
                <w:szCs w:val="21"/>
              </w:rPr>
              <w:t>自基金合同生效起至今</w:t>
            </w:r>
          </w:p>
        </w:tc>
        <w:tc>
          <w:tcPr>
            <w:tcW w:w="1291" w:type="dxa"/>
            <w:vAlign w:val="center"/>
          </w:tcPr>
          <w:p w:rsidR="00CF66BE" w:rsidRDefault="00544626">
            <w:pPr>
              <w:jc w:val="right"/>
            </w:pPr>
            <w:r>
              <w:rPr>
                <w:rFonts w:eastAsiaTheme="minorEastAsia"/>
                <w:color w:val="000000" w:themeColor="text1"/>
                <w:szCs w:val="21"/>
              </w:rPr>
              <w:t>5.82%</w:t>
            </w:r>
          </w:p>
        </w:tc>
        <w:tc>
          <w:tcPr>
            <w:tcW w:w="1291" w:type="dxa"/>
            <w:vAlign w:val="center"/>
          </w:tcPr>
          <w:p w:rsidR="00CF66BE" w:rsidRDefault="00544626">
            <w:pPr>
              <w:jc w:val="right"/>
            </w:pPr>
            <w:r>
              <w:rPr>
                <w:rFonts w:eastAsiaTheme="minorEastAsia"/>
                <w:color w:val="000000" w:themeColor="text1"/>
                <w:szCs w:val="21"/>
              </w:rPr>
              <w:t>0.04%</w:t>
            </w:r>
          </w:p>
        </w:tc>
        <w:tc>
          <w:tcPr>
            <w:tcW w:w="1291" w:type="dxa"/>
            <w:vAlign w:val="center"/>
          </w:tcPr>
          <w:p w:rsidR="00CF66BE" w:rsidRDefault="00544626">
            <w:pPr>
              <w:jc w:val="right"/>
            </w:pPr>
            <w:r>
              <w:rPr>
                <w:rFonts w:eastAsiaTheme="minorEastAsia"/>
                <w:color w:val="000000" w:themeColor="text1"/>
                <w:szCs w:val="21"/>
              </w:rPr>
              <w:t>-2.27%</w:t>
            </w:r>
          </w:p>
        </w:tc>
        <w:tc>
          <w:tcPr>
            <w:tcW w:w="1291" w:type="dxa"/>
            <w:vAlign w:val="center"/>
          </w:tcPr>
          <w:p w:rsidR="00CF66BE" w:rsidRDefault="00544626">
            <w:pPr>
              <w:jc w:val="right"/>
            </w:pPr>
            <w:r>
              <w:rPr>
                <w:rFonts w:eastAsiaTheme="minorEastAsia"/>
                <w:color w:val="000000" w:themeColor="text1"/>
                <w:szCs w:val="21"/>
              </w:rPr>
              <w:t>0.06%</w:t>
            </w:r>
          </w:p>
        </w:tc>
        <w:tc>
          <w:tcPr>
            <w:tcW w:w="1291" w:type="dxa"/>
            <w:vAlign w:val="center"/>
          </w:tcPr>
          <w:p w:rsidR="00CF66BE" w:rsidRDefault="00544626">
            <w:pPr>
              <w:jc w:val="right"/>
            </w:pPr>
            <w:r>
              <w:rPr>
                <w:rFonts w:eastAsiaTheme="minorEastAsia"/>
                <w:color w:val="000000" w:themeColor="text1"/>
                <w:szCs w:val="21"/>
              </w:rPr>
              <w:t>8.09%</w:t>
            </w:r>
          </w:p>
        </w:tc>
        <w:tc>
          <w:tcPr>
            <w:tcW w:w="1291" w:type="dxa"/>
            <w:vAlign w:val="center"/>
          </w:tcPr>
          <w:p w:rsidR="00CF66BE" w:rsidRDefault="00544626">
            <w:pPr>
              <w:jc w:val="right"/>
            </w:pPr>
            <w:r>
              <w:rPr>
                <w:rFonts w:eastAsiaTheme="minorEastAsia"/>
                <w:color w:val="000000" w:themeColor="text1"/>
                <w:szCs w:val="21"/>
              </w:rPr>
              <w:t>-0.02%</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CF66BE">
        <w:tc>
          <w:tcPr>
            <w:tcW w:w="1290" w:type="dxa"/>
            <w:vAlign w:val="center"/>
          </w:tcPr>
          <w:p w:rsidR="00CF66BE" w:rsidRDefault="00544626">
            <w:pPr>
              <w:jc w:val="left"/>
            </w:pPr>
            <w:r>
              <w:rPr>
                <w:rFonts w:eastAsiaTheme="minorEastAsia"/>
                <w:color w:val="000000" w:themeColor="text1"/>
                <w:szCs w:val="21"/>
              </w:rPr>
              <w:t>过去三个月</w:t>
            </w:r>
          </w:p>
        </w:tc>
        <w:tc>
          <w:tcPr>
            <w:tcW w:w="1291" w:type="dxa"/>
            <w:vAlign w:val="center"/>
          </w:tcPr>
          <w:p w:rsidR="00CF66BE" w:rsidRDefault="00544626">
            <w:pPr>
              <w:jc w:val="right"/>
            </w:pPr>
            <w:r>
              <w:rPr>
                <w:rFonts w:eastAsiaTheme="minorEastAsia"/>
                <w:color w:val="000000" w:themeColor="text1"/>
                <w:szCs w:val="21"/>
              </w:rPr>
              <w:t>0.44%</w:t>
            </w:r>
          </w:p>
        </w:tc>
        <w:tc>
          <w:tcPr>
            <w:tcW w:w="1291" w:type="dxa"/>
            <w:vAlign w:val="center"/>
          </w:tcPr>
          <w:p w:rsidR="00CF66BE" w:rsidRDefault="00544626">
            <w:pPr>
              <w:jc w:val="right"/>
            </w:pPr>
            <w:r>
              <w:rPr>
                <w:rFonts w:eastAsiaTheme="minorEastAsia"/>
                <w:color w:val="000000" w:themeColor="text1"/>
                <w:szCs w:val="21"/>
              </w:rPr>
              <w:t>0.05%</w:t>
            </w:r>
          </w:p>
        </w:tc>
        <w:tc>
          <w:tcPr>
            <w:tcW w:w="1291" w:type="dxa"/>
            <w:vAlign w:val="center"/>
          </w:tcPr>
          <w:p w:rsidR="00CF66BE" w:rsidRDefault="00544626">
            <w:pPr>
              <w:jc w:val="right"/>
            </w:pPr>
            <w:r>
              <w:rPr>
                <w:rFonts w:eastAsiaTheme="minorEastAsia"/>
                <w:color w:val="000000" w:themeColor="text1"/>
                <w:szCs w:val="21"/>
              </w:rPr>
              <w:t>-0.71%</w:t>
            </w:r>
          </w:p>
        </w:tc>
        <w:tc>
          <w:tcPr>
            <w:tcW w:w="1291" w:type="dxa"/>
            <w:vAlign w:val="center"/>
          </w:tcPr>
          <w:p w:rsidR="00CF66BE" w:rsidRDefault="00544626">
            <w:pPr>
              <w:jc w:val="right"/>
            </w:pPr>
            <w:r>
              <w:rPr>
                <w:rFonts w:eastAsiaTheme="minorEastAsia"/>
                <w:color w:val="000000" w:themeColor="text1"/>
                <w:szCs w:val="21"/>
              </w:rPr>
              <w:t>0.07%</w:t>
            </w:r>
          </w:p>
        </w:tc>
        <w:tc>
          <w:tcPr>
            <w:tcW w:w="1291" w:type="dxa"/>
            <w:vAlign w:val="center"/>
          </w:tcPr>
          <w:p w:rsidR="00CF66BE" w:rsidRDefault="00544626">
            <w:pPr>
              <w:jc w:val="right"/>
            </w:pPr>
            <w:r>
              <w:rPr>
                <w:rFonts w:eastAsiaTheme="minorEastAsia"/>
                <w:color w:val="000000" w:themeColor="text1"/>
                <w:szCs w:val="21"/>
              </w:rPr>
              <w:t>1.15%</w:t>
            </w:r>
          </w:p>
        </w:tc>
        <w:tc>
          <w:tcPr>
            <w:tcW w:w="1291" w:type="dxa"/>
            <w:vAlign w:val="center"/>
          </w:tcPr>
          <w:p w:rsidR="00CF66BE" w:rsidRDefault="00544626">
            <w:pPr>
              <w:jc w:val="right"/>
            </w:pPr>
            <w:r>
              <w:rPr>
                <w:rFonts w:eastAsiaTheme="minorEastAsia"/>
                <w:color w:val="000000" w:themeColor="text1"/>
                <w:szCs w:val="21"/>
              </w:rPr>
              <w:t>-0.02%</w:t>
            </w:r>
          </w:p>
        </w:tc>
      </w:tr>
      <w:tr w:rsidR="00CF66BE">
        <w:tc>
          <w:tcPr>
            <w:tcW w:w="1290" w:type="dxa"/>
            <w:vAlign w:val="center"/>
          </w:tcPr>
          <w:p w:rsidR="00CF66BE" w:rsidRDefault="00544626">
            <w:pPr>
              <w:jc w:val="left"/>
            </w:pPr>
            <w:r>
              <w:rPr>
                <w:rFonts w:eastAsiaTheme="minorEastAsia"/>
                <w:color w:val="000000" w:themeColor="text1"/>
                <w:szCs w:val="21"/>
              </w:rPr>
              <w:t>过去六个月</w:t>
            </w:r>
          </w:p>
        </w:tc>
        <w:tc>
          <w:tcPr>
            <w:tcW w:w="1291" w:type="dxa"/>
            <w:vAlign w:val="center"/>
          </w:tcPr>
          <w:p w:rsidR="00CF66BE" w:rsidRDefault="00544626">
            <w:pPr>
              <w:jc w:val="right"/>
            </w:pPr>
            <w:r>
              <w:rPr>
                <w:rFonts w:eastAsiaTheme="minorEastAsia"/>
                <w:color w:val="000000" w:themeColor="text1"/>
                <w:szCs w:val="21"/>
              </w:rPr>
              <w:t>1.55%</w:t>
            </w:r>
          </w:p>
        </w:tc>
        <w:tc>
          <w:tcPr>
            <w:tcW w:w="1291" w:type="dxa"/>
            <w:vAlign w:val="center"/>
          </w:tcPr>
          <w:p w:rsidR="00CF66BE" w:rsidRDefault="00544626">
            <w:pPr>
              <w:jc w:val="right"/>
            </w:pPr>
            <w:r>
              <w:rPr>
                <w:rFonts w:eastAsiaTheme="minorEastAsia"/>
                <w:color w:val="000000" w:themeColor="text1"/>
                <w:szCs w:val="21"/>
              </w:rPr>
              <w:t>0.05%</w:t>
            </w:r>
          </w:p>
        </w:tc>
        <w:tc>
          <w:tcPr>
            <w:tcW w:w="1291" w:type="dxa"/>
            <w:vAlign w:val="center"/>
          </w:tcPr>
          <w:p w:rsidR="00CF66BE" w:rsidRDefault="00544626">
            <w:pPr>
              <w:jc w:val="right"/>
            </w:pPr>
            <w:r>
              <w:rPr>
                <w:rFonts w:eastAsiaTheme="minorEastAsia"/>
                <w:color w:val="000000" w:themeColor="text1"/>
                <w:szCs w:val="21"/>
              </w:rPr>
              <w:t>-0.49%</w:t>
            </w:r>
          </w:p>
        </w:tc>
        <w:tc>
          <w:tcPr>
            <w:tcW w:w="1291" w:type="dxa"/>
            <w:vAlign w:val="center"/>
          </w:tcPr>
          <w:p w:rsidR="00CF66BE" w:rsidRDefault="00544626">
            <w:pPr>
              <w:jc w:val="right"/>
            </w:pPr>
            <w:r>
              <w:rPr>
                <w:rFonts w:eastAsiaTheme="minorEastAsia"/>
                <w:color w:val="000000" w:themeColor="text1"/>
                <w:szCs w:val="21"/>
              </w:rPr>
              <w:t>0.06%</w:t>
            </w:r>
          </w:p>
        </w:tc>
        <w:tc>
          <w:tcPr>
            <w:tcW w:w="1291" w:type="dxa"/>
            <w:vAlign w:val="center"/>
          </w:tcPr>
          <w:p w:rsidR="00CF66BE" w:rsidRDefault="00544626">
            <w:pPr>
              <w:jc w:val="right"/>
            </w:pPr>
            <w:r>
              <w:rPr>
                <w:rFonts w:eastAsiaTheme="minorEastAsia"/>
                <w:color w:val="000000" w:themeColor="text1"/>
                <w:szCs w:val="21"/>
              </w:rPr>
              <w:t>2.04%</w:t>
            </w:r>
          </w:p>
        </w:tc>
        <w:tc>
          <w:tcPr>
            <w:tcW w:w="1291" w:type="dxa"/>
            <w:vAlign w:val="center"/>
          </w:tcPr>
          <w:p w:rsidR="00CF66BE" w:rsidRDefault="00544626">
            <w:pPr>
              <w:jc w:val="right"/>
            </w:pPr>
            <w:r>
              <w:rPr>
                <w:rFonts w:eastAsiaTheme="minorEastAsia"/>
                <w:color w:val="000000" w:themeColor="text1"/>
                <w:szCs w:val="21"/>
              </w:rPr>
              <w:t>-0.01%</w:t>
            </w:r>
          </w:p>
        </w:tc>
      </w:tr>
      <w:tr w:rsidR="00CF66BE">
        <w:tc>
          <w:tcPr>
            <w:tcW w:w="1290" w:type="dxa"/>
            <w:vAlign w:val="center"/>
          </w:tcPr>
          <w:p w:rsidR="00CF66BE" w:rsidRDefault="00544626">
            <w:pPr>
              <w:jc w:val="left"/>
            </w:pPr>
            <w:r>
              <w:rPr>
                <w:rFonts w:eastAsiaTheme="minorEastAsia"/>
                <w:color w:val="000000" w:themeColor="text1"/>
                <w:szCs w:val="21"/>
              </w:rPr>
              <w:t>过去一年</w:t>
            </w:r>
          </w:p>
        </w:tc>
        <w:tc>
          <w:tcPr>
            <w:tcW w:w="1291" w:type="dxa"/>
            <w:vAlign w:val="center"/>
          </w:tcPr>
          <w:p w:rsidR="00CF66BE" w:rsidRDefault="00544626">
            <w:pPr>
              <w:jc w:val="right"/>
            </w:pPr>
            <w:r>
              <w:rPr>
                <w:rFonts w:eastAsiaTheme="minorEastAsia"/>
                <w:color w:val="000000" w:themeColor="text1"/>
                <w:szCs w:val="21"/>
              </w:rPr>
              <w:t>2.10%</w:t>
            </w:r>
          </w:p>
        </w:tc>
        <w:tc>
          <w:tcPr>
            <w:tcW w:w="1291" w:type="dxa"/>
            <w:vAlign w:val="center"/>
          </w:tcPr>
          <w:p w:rsidR="00CF66BE" w:rsidRDefault="00544626">
            <w:pPr>
              <w:jc w:val="right"/>
            </w:pPr>
            <w:r>
              <w:rPr>
                <w:rFonts w:eastAsiaTheme="minorEastAsia"/>
                <w:color w:val="000000" w:themeColor="text1"/>
                <w:szCs w:val="21"/>
              </w:rPr>
              <w:t>0.05%</w:t>
            </w:r>
          </w:p>
        </w:tc>
        <w:tc>
          <w:tcPr>
            <w:tcW w:w="1291" w:type="dxa"/>
            <w:vAlign w:val="center"/>
          </w:tcPr>
          <w:p w:rsidR="00CF66BE" w:rsidRDefault="00544626">
            <w:pPr>
              <w:jc w:val="right"/>
            </w:pPr>
            <w:r>
              <w:rPr>
                <w:rFonts w:eastAsiaTheme="minorEastAsia"/>
                <w:color w:val="000000" w:themeColor="text1"/>
                <w:szCs w:val="21"/>
              </w:rPr>
              <w:t>-1.28%</w:t>
            </w:r>
          </w:p>
        </w:tc>
        <w:tc>
          <w:tcPr>
            <w:tcW w:w="1291" w:type="dxa"/>
            <w:vAlign w:val="center"/>
          </w:tcPr>
          <w:p w:rsidR="00CF66BE" w:rsidRDefault="00544626">
            <w:pPr>
              <w:jc w:val="right"/>
            </w:pPr>
            <w:r>
              <w:rPr>
                <w:rFonts w:eastAsiaTheme="minorEastAsia"/>
                <w:color w:val="000000" w:themeColor="text1"/>
                <w:szCs w:val="21"/>
              </w:rPr>
              <w:t>0.07%</w:t>
            </w:r>
          </w:p>
        </w:tc>
        <w:tc>
          <w:tcPr>
            <w:tcW w:w="1291" w:type="dxa"/>
            <w:vAlign w:val="center"/>
          </w:tcPr>
          <w:p w:rsidR="00CF66BE" w:rsidRDefault="00544626">
            <w:pPr>
              <w:jc w:val="right"/>
            </w:pPr>
            <w:r>
              <w:rPr>
                <w:rFonts w:eastAsiaTheme="minorEastAsia"/>
                <w:color w:val="000000" w:themeColor="text1"/>
                <w:szCs w:val="21"/>
              </w:rPr>
              <w:t>3.38%</w:t>
            </w:r>
          </w:p>
        </w:tc>
        <w:tc>
          <w:tcPr>
            <w:tcW w:w="1291" w:type="dxa"/>
            <w:vAlign w:val="center"/>
          </w:tcPr>
          <w:p w:rsidR="00CF66BE" w:rsidRDefault="00544626">
            <w:pPr>
              <w:jc w:val="right"/>
            </w:pPr>
            <w:r>
              <w:rPr>
                <w:rFonts w:eastAsiaTheme="minorEastAsia"/>
                <w:color w:val="000000" w:themeColor="text1"/>
                <w:szCs w:val="21"/>
              </w:rPr>
              <w:t>-0.02%</w:t>
            </w:r>
          </w:p>
        </w:tc>
      </w:tr>
      <w:tr w:rsidR="00CF66BE">
        <w:tc>
          <w:tcPr>
            <w:tcW w:w="1290" w:type="dxa"/>
            <w:vAlign w:val="center"/>
          </w:tcPr>
          <w:p w:rsidR="00CF66BE" w:rsidRDefault="00544626">
            <w:pPr>
              <w:jc w:val="left"/>
            </w:pPr>
            <w:r>
              <w:rPr>
                <w:rFonts w:eastAsiaTheme="minorEastAsia"/>
                <w:color w:val="000000" w:themeColor="text1"/>
                <w:szCs w:val="21"/>
              </w:rPr>
              <w:t>过去三年</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r>
      <w:tr w:rsidR="00CF66BE">
        <w:tc>
          <w:tcPr>
            <w:tcW w:w="1290" w:type="dxa"/>
            <w:vAlign w:val="center"/>
          </w:tcPr>
          <w:p w:rsidR="00CF66BE" w:rsidRDefault="00544626">
            <w:pPr>
              <w:jc w:val="left"/>
            </w:pPr>
            <w:r>
              <w:rPr>
                <w:rFonts w:eastAsiaTheme="minorEastAsia"/>
                <w:color w:val="000000" w:themeColor="text1"/>
                <w:szCs w:val="21"/>
              </w:rPr>
              <w:t>过去五年</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c>
          <w:tcPr>
            <w:tcW w:w="1291" w:type="dxa"/>
            <w:vAlign w:val="center"/>
          </w:tcPr>
          <w:p w:rsidR="00CF66BE" w:rsidRDefault="00544626">
            <w:pPr>
              <w:jc w:val="right"/>
            </w:pPr>
            <w:r>
              <w:rPr>
                <w:rFonts w:eastAsiaTheme="minorEastAsia"/>
                <w:color w:val="000000" w:themeColor="text1"/>
                <w:szCs w:val="21"/>
              </w:rPr>
              <w:t>-</w:t>
            </w:r>
          </w:p>
        </w:tc>
      </w:tr>
      <w:tr w:rsidR="00CF66BE">
        <w:tc>
          <w:tcPr>
            <w:tcW w:w="1290" w:type="dxa"/>
            <w:vAlign w:val="center"/>
          </w:tcPr>
          <w:p w:rsidR="00CF66BE" w:rsidRDefault="00544626">
            <w:pPr>
              <w:jc w:val="left"/>
            </w:pPr>
            <w:r>
              <w:rPr>
                <w:rFonts w:eastAsiaTheme="minorEastAsia"/>
                <w:color w:val="000000" w:themeColor="text1"/>
                <w:szCs w:val="21"/>
              </w:rPr>
              <w:t>自基金合同生效起至今</w:t>
            </w:r>
          </w:p>
        </w:tc>
        <w:tc>
          <w:tcPr>
            <w:tcW w:w="1291" w:type="dxa"/>
            <w:vAlign w:val="center"/>
          </w:tcPr>
          <w:p w:rsidR="00CF66BE" w:rsidRDefault="00544626">
            <w:pPr>
              <w:jc w:val="right"/>
            </w:pPr>
            <w:r>
              <w:rPr>
                <w:rFonts w:eastAsiaTheme="minorEastAsia"/>
                <w:color w:val="000000" w:themeColor="text1"/>
                <w:szCs w:val="21"/>
              </w:rPr>
              <w:t>5.45%</w:t>
            </w:r>
          </w:p>
        </w:tc>
        <w:tc>
          <w:tcPr>
            <w:tcW w:w="1291" w:type="dxa"/>
            <w:vAlign w:val="center"/>
          </w:tcPr>
          <w:p w:rsidR="00CF66BE" w:rsidRDefault="00544626">
            <w:pPr>
              <w:jc w:val="right"/>
            </w:pPr>
            <w:r>
              <w:rPr>
                <w:rFonts w:eastAsiaTheme="minorEastAsia"/>
                <w:color w:val="000000" w:themeColor="text1"/>
                <w:szCs w:val="21"/>
              </w:rPr>
              <w:t>0.04%</w:t>
            </w:r>
          </w:p>
        </w:tc>
        <w:tc>
          <w:tcPr>
            <w:tcW w:w="1291" w:type="dxa"/>
            <w:vAlign w:val="center"/>
          </w:tcPr>
          <w:p w:rsidR="00CF66BE" w:rsidRDefault="00544626">
            <w:pPr>
              <w:jc w:val="right"/>
            </w:pPr>
            <w:r>
              <w:rPr>
                <w:rFonts w:eastAsiaTheme="minorEastAsia"/>
                <w:color w:val="000000" w:themeColor="text1"/>
                <w:szCs w:val="21"/>
              </w:rPr>
              <w:t>-2.27%</w:t>
            </w:r>
          </w:p>
        </w:tc>
        <w:tc>
          <w:tcPr>
            <w:tcW w:w="1291" w:type="dxa"/>
            <w:vAlign w:val="center"/>
          </w:tcPr>
          <w:p w:rsidR="00CF66BE" w:rsidRDefault="00544626">
            <w:pPr>
              <w:jc w:val="right"/>
            </w:pPr>
            <w:r>
              <w:rPr>
                <w:rFonts w:eastAsiaTheme="minorEastAsia"/>
                <w:color w:val="000000" w:themeColor="text1"/>
                <w:szCs w:val="21"/>
              </w:rPr>
              <w:t>0.06%</w:t>
            </w:r>
          </w:p>
        </w:tc>
        <w:tc>
          <w:tcPr>
            <w:tcW w:w="1291" w:type="dxa"/>
            <w:vAlign w:val="center"/>
          </w:tcPr>
          <w:p w:rsidR="00CF66BE" w:rsidRDefault="00544626">
            <w:pPr>
              <w:jc w:val="right"/>
            </w:pPr>
            <w:r>
              <w:rPr>
                <w:rFonts w:eastAsiaTheme="minorEastAsia"/>
                <w:color w:val="000000" w:themeColor="text1"/>
                <w:szCs w:val="21"/>
              </w:rPr>
              <w:t>7.72%</w:t>
            </w:r>
          </w:p>
        </w:tc>
        <w:tc>
          <w:tcPr>
            <w:tcW w:w="1291" w:type="dxa"/>
            <w:vAlign w:val="center"/>
          </w:tcPr>
          <w:p w:rsidR="00CF66BE" w:rsidRDefault="00544626">
            <w:pPr>
              <w:jc w:val="right"/>
            </w:pPr>
            <w:r>
              <w:rPr>
                <w:rFonts w:eastAsiaTheme="minorEastAsia"/>
                <w:color w:val="000000" w:themeColor="text1"/>
                <w:szCs w:val="21"/>
              </w:rPr>
              <w:t>-0.02%</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(2021</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8</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2023</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F66BE" w:rsidRDefault="0054462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F66BE" w:rsidRDefault="0054462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w:t>
      </w:r>
      <w:r w:rsidRPr="00EE3DBC">
        <w:rPr>
          <w:rFonts w:eastAsiaTheme="minorEastAsia"/>
          <w:color w:val="000000" w:themeColor="text1"/>
          <w:szCs w:val="21"/>
        </w:rPr>
        <w:lastRenderedPageBreak/>
        <w:t>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CF66BE">
        <w:tc>
          <w:tcPr>
            <w:tcW w:w="952" w:type="dxa"/>
            <w:vAlign w:val="center"/>
          </w:tcPr>
          <w:p w:rsidR="00CF66BE" w:rsidRDefault="00544626">
            <w:pPr>
              <w:jc w:val="center"/>
            </w:pPr>
            <w:r>
              <w:rPr>
                <w:rFonts w:eastAsiaTheme="minorEastAsia"/>
                <w:color w:val="000000" w:themeColor="text1"/>
                <w:sz w:val="24"/>
              </w:rPr>
              <w:t>雷杨娟</w:t>
            </w:r>
          </w:p>
        </w:tc>
        <w:tc>
          <w:tcPr>
            <w:tcW w:w="930" w:type="dxa"/>
            <w:vAlign w:val="center"/>
          </w:tcPr>
          <w:p w:rsidR="00CF66BE" w:rsidRDefault="00544626">
            <w:pPr>
              <w:jc w:val="center"/>
            </w:pPr>
            <w:r>
              <w:rPr>
                <w:rFonts w:eastAsiaTheme="minorEastAsia"/>
                <w:color w:val="000000" w:themeColor="text1"/>
                <w:sz w:val="24"/>
              </w:rPr>
              <w:t>本基金基金经理</w:t>
            </w:r>
          </w:p>
        </w:tc>
        <w:tc>
          <w:tcPr>
            <w:tcW w:w="1210" w:type="dxa"/>
            <w:vAlign w:val="center"/>
          </w:tcPr>
          <w:p w:rsidR="00CF66BE" w:rsidRDefault="00544626">
            <w:pPr>
              <w:jc w:val="center"/>
            </w:pPr>
            <w:r>
              <w:rPr>
                <w:rFonts w:eastAsiaTheme="minorEastAsia"/>
                <w:color w:val="000000" w:themeColor="text1"/>
                <w:sz w:val="24"/>
              </w:rPr>
              <w:t>2021-08-20</w:t>
            </w:r>
          </w:p>
        </w:tc>
        <w:tc>
          <w:tcPr>
            <w:tcW w:w="1309" w:type="dxa"/>
            <w:vAlign w:val="center"/>
          </w:tcPr>
          <w:p w:rsidR="00CF66BE" w:rsidRDefault="00544626">
            <w:pPr>
              <w:jc w:val="center"/>
            </w:pPr>
            <w:r>
              <w:rPr>
                <w:rFonts w:eastAsiaTheme="minorEastAsia"/>
                <w:color w:val="000000" w:themeColor="text1"/>
                <w:sz w:val="24"/>
              </w:rPr>
              <w:t>-</w:t>
            </w:r>
          </w:p>
        </w:tc>
        <w:tc>
          <w:tcPr>
            <w:tcW w:w="1254" w:type="dxa"/>
            <w:vAlign w:val="center"/>
          </w:tcPr>
          <w:p w:rsidR="00CF66BE" w:rsidRDefault="00544626">
            <w:pPr>
              <w:jc w:val="center"/>
            </w:pPr>
            <w:r>
              <w:rPr>
                <w:rFonts w:eastAsiaTheme="minorEastAsia"/>
                <w:color w:val="000000" w:themeColor="text1"/>
                <w:sz w:val="24"/>
              </w:rPr>
              <w:t>17</w:t>
            </w:r>
            <w:r>
              <w:rPr>
                <w:rFonts w:eastAsiaTheme="minorEastAsia"/>
                <w:color w:val="000000" w:themeColor="text1"/>
                <w:sz w:val="24"/>
              </w:rPr>
              <w:t>年</w:t>
            </w:r>
          </w:p>
        </w:tc>
        <w:tc>
          <w:tcPr>
            <w:tcW w:w="3276" w:type="dxa"/>
            <w:vAlign w:val="center"/>
          </w:tcPr>
          <w:p w:rsidR="00CF66BE" w:rsidRDefault="00544626">
            <w:r>
              <w:rPr>
                <w:rFonts w:eastAsiaTheme="minorEastAsia"/>
                <w:color w:val="000000" w:themeColor="text1"/>
                <w:sz w:val="24"/>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月起加入摩根基金管理（中国）有限公司（原上投摩根基金管理有限公司），历任专户投资二部副总监兼资深投资经理，现任债券投资部副总监兼资深基金经理。</w:t>
            </w:r>
          </w:p>
        </w:tc>
      </w:tr>
    </w:tbl>
    <w:p w:rsidR="00CF66BE" w:rsidRDefault="00544626">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CF66BE" w:rsidRDefault="0054462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w:t>
      </w:r>
      <w:r>
        <w:rPr>
          <w:rFonts w:eastAsiaTheme="minorEastAsia"/>
          <w:color w:val="000000" w:themeColor="text1"/>
          <w:kern w:val="0"/>
          <w:sz w:val="24"/>
        </w:rPr>
        <w:lastRenderedPageBreak/>
        <w:t>式进行交易执行和监控分析，以确保本公司管理的不同投资组合在授权、研究分析、投资决策、交易执行、业绩评估等投资管理活动相关的环节均得到公平对待。</w:t>
      </w:r>
    </w:p>
    <w:p w:rsidR="00CF66BE" w:rsidRDefault="0054462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CF66BE" w:rsidRDefault="0054462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CF66BE" w:rsidRDefault="0054462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2023</w:t>
      </w:r>
      <w:r>
        <w:rPr>
          <w:rFonts w:eastAsiaTheme="minorEastAsia"/>
          <w:color w:val="000000" w:themeColor="text1"/>
          <w:kern w:val="0"/>
          <w:sz w:val="24"/>
        </w:rPr>
        <w:t>年第三季度，全国范围内地产需求端的放松政策不断加码，</w:t>
      </w:r>
      <w:r>
        <w:rPr>
          <w:rFonts w:eastAsiaTheme="minorEastAsia"/>
          <w:color w:val="000000" w:themeColor="text1"/>
          <w:kern w:val="0"/>
          <w:sz w:val="24"/>
        </w:rPr>
        <w:t>“</w:t>
      </w:r>
      <w:r>
        <w:rPr>
          <w:rFonts w:eastAsiaTheme="minorEastAsia"/>
          <w:color w:val="000000" w:themeColor="text1"/>
          <w:kern w:val="0"/>
          <w:sz w:val="24"/>
        </w:rPr>
        <w:t>认房不认贷</w:t>
      </w:r>
      <w:r>
        <w:rPr>
          <w:rFonts w:eastAsiaTheme="minorEastAsia"/>
          <w:color w:val="000000" w:themeColor="text1"/>
          <w:kern w:val="0"/>
          <w:sz w:val="24"/>
        </w:rPr>
        <w:t>”</w:t>
      </w:r>
      <w:r>
        <w:rPr>
          <w:rFonts w:eastAsiaTheme="minorEastAsia"/>
          <w:color w:val="000000" w:themeColor="text1"/>
          <w:kern w:val="0"/>
          <w:sz w:val="24"/>
        </w:rPr>
        <w:t>等重磅政策的出台促使地产销售开始出现积极变化，预计之后还可能有进一步的地产托底政策出台；城中村改造计划逐步明晰。地方化债工作稳步推进，再融资债券发债计划逐步明确。消费复苏势头明显，主要体现在出行链相关行业数据亮眼。月度宏观经济数据在</w:t>
      </w:r>
      <w:r>
        <w:rPr>
          <w:rFonts w:eastAsiaTheme="minorEastAsia"/>
          <w:color w:val="000000" w:themeColor="text1"/>
          <w:kern w:val="0"/>
          <w:sz w:val="24"/>
        </w:rPr>
        <w:t>7</w:t>
      </w:r>
      <w:r>
        <w:rPr>
          <w:rFonts w:eastAsiaTheme="minorEastAsia"/>
          <w:color w:val="000000" w:themeColor="text1"/>
          <w:kern w:val="0"/>
          <w:sz w:val="24"/>
        </w:rPr>
        <w:t>月底触底后，</w:t>
      </w:r>
      <w:r>
        <w:rPr>
          <w:rFonts w:eastAsiaTheme="minorEastAsia"/>
          <w:color w:val="000000" w:themeColor="text1"/>
          <w:kern w:val="0"/>
          <w:sz w:val="24"/>
        </w:rPr>
        <w:t>9</w:t>
      </w:r>
      <w:r>
        <w:rPr>
          <w:rFonts w:eastAsiaTheme="minorEastAsia"/>
          <w:color w:val="000000" w:themeColor="text1"/>
          <w:kern w:val="0"/>
          <w:sz w:val="24"/>
        </w:rPr>
        <w:t>月宏观经济数据预计将在</w:t>
      </w:r>
      <w:r>
        <w:rPr>
          <w:rFonts w:eastAsiaTheme="minorEastAsia"/>
          <w:color w:val="000000" w:themeColor="text1"/>
          <w:kern w:val="0"/>
          <w:sz w:val="24"/>
        </w:rPr>
        <w:t>8</w:t>
      </w:r>
      <w:r>
        <w:rPr>
          <w:rFonts w:eastAsiaTheme="minorEastAsia"/>
          <w:color w:val="000000" w:themeColor="text1"/>
          <w:kern w:val="0"/>
          <w:sz w:val="24"/>
        </w:rPr>
        <w:t>月份改善的基础上进一步回暖。经济整体改善的态势比较明显，但持续性尚有待观察。国际方面，美国经济数据持续超预期</w:t>
      </w:r>
      <w:r>
        <w:rPr>
          <w:rFonts w:eastAsiaTheme="minorEastAsia"/>
          <w:color w:val="000000" w:themeColor="text1"/>
          <w:kern w:val="0"/>
          <w:sz w:val="24"/>
        </w:rPr>
        <w:t>,</w:t>
      </w:r>
      <w:r>
        <w:rPr>
          <w:rFonts w:eastAsiaTheme="minorEastAsia"/>
          <w:color w:val="000000" w:themeColor="text1"/>
          <w:kern w:val="0"/>
          <w:sz w:val="24"/>
        </w:rPr>
        <w:t>美联储进入降息通道的预期时间不断推后，美国国债收益率持续攀升，中长端收益率维持倒挂，中美</w:t>
      </w:r>
      <w:r>
        <w:rPr>
          <w:rFonts w:eastAsiaTheme="minorEastAsia"/>
          <w:color w:val="000000" w:themeColor="text1"/>
          <w:kern w:val="0"/>
          <w:sz w:val="24"/>
        </w:rPr>
        <w:t>10</w:t>
      </w:r>
      <w:r>
        <w:rPr>
          <w:rFonts w:eastAsiaTheme="minorEastAsia"/>
          <w:color w:val="000000" w:themeColor="text1"/>
          <w:kern w:val="0"/>
          <w:sz w:val="24"/>
        </w:rPr>
        <w:t>年期国债利差进一步扩大。</w:t>
      </w:r>
    </w:p>
    <w:p w:rsidR="00CF66BE" w:rsidRDefault="0054462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货币政策上，总体保持宽松，流动性较第二季度末有明显改善。央行在</w:t>
      </w:r>
      <w:r>
        <w:rPr>
          <w:rFonts w:eastAsiaTheme="minorEastAsia"/>
          <w:color w:val="000000" w:themeColor="text1"/>
          <w:kern w:val="0"/>
          <w:sz w:val="24"/>
        </w:rPr>
        <w:t>8</w:t>
      </w:r>
      <w:r>
        <w:rPr>
          <w:rFonts w:eastAsiaTheme="minorEastAsia"/>
          <w:color w:val="000000" w:themeColor="text1"/>
          <w:kern w:val="0"/>
          <w:sz w:val="24"/>
        </w:rPr>
        <w:t>月分别调低中期借贷便利（</w:t>
      </w:r>
      <w:r>
        <w:rPr>
          <w:rFonts w:eastAsiaTheme="minorEastAsia"/>
          <w:color w:val="000000" w:themeColor="text1"/>
          <w:kern w:val="0"/>
          <w:sz w:val="24"/>
        </w:rPr>
        <w:t>MLF</w:t>
      </w:r>
      <w:r>
        <w:rPr>
          <w:rFonts w:eastAsiaTheme="minorEastAsia"/>
          <w:color w:val="000000" w:themeColor="text1"/>
          <w:kern w:val="0"/>
          <w:sz w:val="24"/>
        </w:rPr>
        <w:t>）和公开市场</w:t>
      </w:r>
      <w:r>
        <w:rPr>
          <w:rFonts w:eastAsiaTheme="minorEastAsia"/>
          <w:color w:val="000000" w:themeColor="text1"/>
          <w:kern w:val="0"/>
          <w:sz w:val="24"/>
        </w:rPr>
        <w:t>7</w:t>
      </w:r>
      <w:r>
        <w:rPr>
          <w:rFonts w:eastAsiaTheme="minorEastAsia"/>
          <w:color w:val="000000" w:themeColor="text1"/>
          <w:kern w:val="0"/>
          <w:sz w:val="24"/>
        </w:rPr>
        <w:t>天回购利率</w:t>
      </w:r>
      <w:r>
        <w:rPr>
          <w:rFonts w:eastAsiaTheme="minorEastAsia"/>
          <w:color w:val="000000" w:themeColor="text1"/>
          <w:kern w:val="0"/>
          <w:sz w:val="24"/>
        </w:rPr>
        <w:t>15bp</w:t>
      </w:r>
      <w:r>
        <w:rPr>
          <w:rFonts w:eastAsiaTheme="minorEastAsia"/>
          <w:color w:val="000000" w:themeColor="text1"/>
          <w:kern w:val="0"/>
          <w:sz w:val="24"/>
        </w:rPr>
        <w:t>和</w:t>
      </w:r>
      <w:r>
        <w:rPr>
          <w:rFonts w:eastAsiaTheme="minorEastAsia"/>
          <w:color w:val="000000" w:themeColor="text1"/>
          <w:kern w:val="0"/>
          <w:sz w:val="24"/>
        </w:rPr>
        <w:t>10bp</w:t>
      </w:r>
      <w:r>
        <w:rPr>
          <w:rFonts w:eastAsiaTheme="minorEastAsia"/>
          <w:color w:val="000000" w:themeColor="text1"/>
          <w:kern w:val="0"/>
          <w:sz w:val="24"/>
        </w:rPr>
        <w:t>，至</w:t>
      </w:r>
      <w:r>
        <w:rPr>
          <w:rFonts w:eastAsiaTheme="minorEastAsia"/>
          <w:color w:val="000000" w:themeColor="text1"/>
          <w:kern w:val="0"/>
          <w:sz w:val="24"/>
        </w:rPr>
        <w:t>2.5%</w:t>
      </w:r>
      <w:r>
        <w:rPr>
          <w:rFonts w:eastAsiaTheme="minorEastAsia"/>
          <w:color w:val="000000" w:themeColor="text1"/>
          <w:kern w:val="0"/>
          <w:sz w:val="24"/>
        </w:rPr>
        <w:t>和</w:t>
      </w:r>
      <w:r>
        <w:rPr>
          <w:rFonts w:eastAsiaTheme="minorEastAsia"/>
          <w:color w:val="000000" w:themeColor="text1"/>
          <w:kern w:val="0"/>
          <w:sz w:val="24"/>
        </w:rPr>
        <w:t>1.8%</w:t>
      </w:r>
      <w:r>
        <w:rPr>
          <w:rFonts w:eastAsiaTheme="minorEastAsia"/>
          <w:color w:val="000000" w:themeColor="text1"/>
          <w:kern w:val="0"/>
          <w:sz w:val="24"/>
        </w:rPr>
        <w:t>，并紧接着在</w:t>
      </w:r>
      <w:r>
        <w:rPr>
          <w:rFonts w:eastAsiaTheme="minorEastAsia"/>
          <w:color w:val="000000" w:themeColor="text1"/>
          <w:kern w:val="0"/>
          <w:sz w:val="24"/>
        </w:rPr>
        <w:t>9</w:t>
      </w:r>
      <w:r>
        <w:rPr>
          <w:rFonts w:eastAsiaTheme="minorEastAsia"/>
          <w:color w:val="000000" w:themeColor="text1"/>
          <w:kern w:val="0"/>
          <w:sz w:val="24"/>
        </w:rPr>
        <w:t>月份调降存款准备金率</w:t>
      </w:r>
      <w:r>
        <w:rPr>
          <w:rFonts w:eastAsiaTheme="minorEastAsia"/>
          <w:color w:val="000000" w:themeColor="text1"/>
          <w:kern w:val="0"/>
          <w:sz w:val="24"/>
        </w:rPr>
        <w:t>25bp</w:t>
      </w:r>
      <w:r>
        <w:rPr>
          <w:rFonts w:eastAsiaTheme="minorEastAsia"/>
          <w:color w:val="000000" w:themeColor="text1"/>
          <w:kern w:val="0"/>
          <w:sz w:val="24"/>
        </w:rPr>
        <w:t>，呵护市场流动性的态度坚</w:t>
      </w:r>
      <w:r>
        <w:rPr>
          <w:rFonts w:eastAsiaTheme="minorEastAsia"/>
          <w:color w:val="000000" w:themeColor="text1"/>
          <w:kern w:val="0"/>
          <w:sz w:val="24"/>
        </w:rPr>
        <w:lastRenderedPageBreak/>
        <w:t>定。</w:t>
      </w:r>
      <w:r>
        <w:rPr>
          <w:rFonts w:eastAsiaTheme="minorEastAsia"/>
          <w:color w:val="000000" w:themeColor="text1"/>
          <w:kern w:val="0"/>
          <w:sz w:val="24"/>
        </w:rPr>
        <w:t>7</w:t>
      </w:r>
      <w:r>
        <w:rPr>
          <w:rFonts w:eastAsiaTheme="minorEastAsia"/>
          <w:color w:val="000000" w:themeColor="text1"/>
          <w:kern w:val="0"/>
          <w:sz w:val="24"/>
        </w:rPr>
        <w:t>月底以来，汇率压力持续，虽然美元中间价并未超过汇改以来高点，但实时交易价格触碰</w:t>
      </w:r>
      <w:r>
        <w:rPr>
          <w:rFonts w:eastAsiaTheme="minorEastAsia"/>
          <w:color w:val="000000" w:themeColor="text1"/>
          <w:kern w:val="0"/>
          <w:sz w:val="24"/>
        </w:rPr>
        <w:t>7.351</w:t>
      </w:r>
      <w:r>
        <w:rPr>
          <w:rFonts w:eastAsiaTheme="minorEastAsia"/>
          <w:color w:val="000000" w:themeColor="text1"/>
          <w:kern w:val="0"/>
          <w:sz w:val="24"/>
        </w:rPr>
        <w:t>，刷新汇改以来高点。</w:t>
      </w:r>
    </w:p>
    <w:p w:rsidR="00CF66BE" w:rsidRDefault="0054462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宏观数据的改善给处于收益率历史低位的国内债券带来一定的回调压力。国内债券收益率在第三季度走出</w:t>
      </w:r>
      <w:r>
        <w:rPr>
          <w:rFonts w:eastAsiaTheme="minorEastAsia"/>
          <w:color w:val="000000" w:themeColor="text1"/>
          <w:kern w:val="0"/>
          <w:sz w:val="24"/>
        </w:rPr>
        <w:t>V</w:t>
      </w:r>
      <w:r>
        <w:rPr>
          <w:rFonts w:eastAsiaTheme="minorEastAsia"/>
          <w:color w:val="000000" w:themeColor="text1"/>
          <w:kern w:val="0"/>
          <w:sz w:val="24"/>
        </w:rPr>
        <w:t>型反转。随着二季度末资金紧张状况的缓解和</w:t>
      </w:r>
      <w:r>
        <w:rPr>
          <w:rFonts w:eastAsiaTheme="minorEastAsia"/>
          <w:color w:val="000000" w:themeColor="text1"/>
          <w:kern w:val="0"/>
          <w:sz w:val="24"/>
        </w:rPr>
        <w:t>7</w:t>
      </w:r>
      <w:r>
        <w:rPr>
          <w:rFonts w:eastAsiaTheme="minorEastAsia"/>
          <w:color w:val="000000" w:themeColor="text1"/>
          <w:kern w:val="0"/>
          <w:sz w:val="24"/>
        </w:rPr>
        <w:t>月经济数据走弱预期的增强，收益率在</w:t>
      </w:r>
      <w:r>
        <w:rPr>
          <w:rFonts w:eastAsiaTheme="minorEastAsia"/>
          <w:color w:val="000000" w:themeColor="text1"/>
          <w:kern w:val="0"/>
          <w:sz w:val="24"/>
        </w:rPr>
        <w:t>8</w:t>
      </w:r>
      <w:r>
        <w:rPr>
          <w:rFonts w:eastAsiaTheme="minorEastAsia"/>
          <w:color w:val="000000" w:themeColor="text1"/>
          <w:kern w:val="0"/>
          <w:sz w:val="24"/>
        </w:rPr>
        <w:t>月下旬刷新了</w:t>
      </w:r>
      <w:r>
        <w:rPr>
          <w:rFonts w:eastAsiaTheme="minorEastAsia"/>
          <w:color w:val="000000" w:themeColor="text1"/>
          <w:kern w:val="0"/>
          <w:sz w:val="24"/>
        </w:rPr>
        <w:t>2022</w:t>
      </w:r>
      <w:r>
        <w:rPr>
          <w:rFonts w:eastAsiaTheme="minorEastAsia"/>
          <w:color w:val="000000" w:themeColor="text1"/>
          <w:kern w:val="0"/>
          <w:sz w:val="24"/>
        </w:rPr>
        <w:t>年以来的低点，仅略高于</w:t>
      </w:r>
      <w:r>
        <w:rPr>
          <w:rFonts w:eastAsiaTheme="minorEastAsia"/>
          <w:color w:val="000000" w:themeColor="text1"/>
          <w:kern w:val="0"/>
          <w:sz w:val="24"/>
        </w:rPr>
        <w:t>2020</w:t>
      </w:r>
      <w:r>
        <w:rPr>
          <w:rFonts w:eastAsiaTheme="minorEastAsia"/>
          <w:color w:val="000000" w:themeColor="text1"/>
          <w:kern w:val="0"/>
          <w:sz w:val="24"/>
        </w:rPr>
        <w:t>年疫情期间的收益率低点，随着</w:t>
      </w:r>
      <w:r>
        <w:rPr>
          <w:rFonts w:eastAsiaTheme="minorEastAsia"/>
          <w:color w:val="000000" w:themeColor="text1"/>
          <w:kern w:val="0"/>
          <w:sz w:val="24"/>
        </w:rPr>
        <w:t>8</w:t>
      </w:r>
      <w:r>
        <w:rPr>
          <w:rFonts w:eastAsiaTheme="minorEastAsia"/>
          <w:color w:val="000000" w:themeColor="text1"/>
          <w:kern w:val="0"/>
          <w:sz w:val="24"/>
        </w:rPr>
        <w:t>月份各类经济托底政策的出台，收益率开始向上回调，截至季末，</w:t>
      </w:r>
      <w:r>
        <w:rPr>
          <w:rFonts w:eastAsiaTheme="minorEastAsia"/>
          <w:color w:val="000000" w:themeColor="text1"/>
          <w:kern w:val="0"/>
          <w:sz w:val="24"/>
        </w:rPr>
        <w:t>10</w:t>
      </w:r>
      <w:r>
        <w:rPr>
          <w:rFonts w:eastAsiaTheme="minorEastAsia"/>
          <w:color w:val="000000" w:themeColor="text1"/>
          <w:kern w:val="0"/>
          <w:sz w:val="24"/>
        </w:rPr>
        <w:t>年期国债较</w:t>
      </w:r>
      <w:r>
        <w:rPr>
          <w:rFonts w:eastAsiaTheme="minorEastAsia"/>
          <w:color w:val="000000" w:themeColor="text1"/>
          <w:kern w:val="0"/>
          <w:sz w:val="24"/>
        </w:rPr>
        <w:t>6</w:t>
      </w:r>
      <w:r>
        <w:rPr>
          <w:rFonts w:eastAsiaTheme="minorEastAsia"/>
          <w:color w:val="000000" w:themeColor="text1"/>
          <w:kern w:val="0"/>
          <w:sz w:val="24"/>
        </w:rPr>
        <w:t>月底上行</w:t>
      </w:r>
      <w:r>
        <w:rPr>
          <w:rFonts w:eastAsiaTheme="minorEastAsia"/>
          <w:color w:val="000000" w:themeColor="text1"/>
          <w:kern w:val="0"/>
          <w:sz w:val="24"/>
        </w:rPr>
        <w:t>4bp</w:t>
      </w:r>
      <w:r>
        <w:rPr>
          <w:rFonts w:eastAsiaTheme="minorEastAsia"/>
          <w:color w:val="000000" w:themeColor="text1"/>
          <w:kern w:val="0"/>
          <w:sz w:val="24"/>
        </w:rPr>
        <w:t>，</w:t>
      </w:r>
      <w:r>
        <w:rPr>
          <w:rFonts w:eastAsiaTheme="minorEastAsia"/>
          <w:color w:val="000000" w:themeColor="text1"/>
          <w:kern w:val="0"/>
          <w:sz w:val="24"/>
        </w:rPr>
        <w:t>10</w:t>
      </w:r>
      <w:r>
        <w:rPr>
          <w:rFonts w:eastAsiaTheme="minorEastAsia"/>
          <w:color w:val="000000" w:themeColor="text1"/>
          <w:kern w:val="0"/>
          <w:sz w:val="24"/>
        </w:rPr>
        <w:t>年期国开债较</w:t>
      </w:r>
      <w:r>
        <w:rPr>
          <w:rFonts w:eastAsiaTheme="minorEastAsia"/>
          <w:color w:val="000000" w:themeColor="text1"/>
          <w:kern w:val="0"/>
          <w:sz w:val="24"/>
        </w:rPr>
        <w:t>6</w:t>
      </w:r>
      <w:r>
        <w:rPr>
          <w:rFonts w:eastAsiaTheme="minorEastAsia"/>
          <w:color w:val="000000" w:themeColor="text1"/>
          <w:kern w:val="0"/>
          <w:sz w:val="24"/>
        </w:rPr>
        <w:t>月底下行</w:t>
      </w:r>
      <w:r>
        <w:rPr>
          <w:rFonts w:eastAsiaTheme="minorEastAsia"/>
          <w:color w:val="000000" w:themeColor="text1"/>
          <w:kern w:val="0"/>
          <w:sz w:val="24"/>
        </w:rPr>
        <w:t>3bp</w:t>
      </w:r>
      <w:r>
        <w:rPr>
          <w:rFonts w:eastAsiaTheme="minorEastAsia"/>
          <w:color w:val="000000" w:themeColor="text1"/>
          <w:kern w:val="0"/>
          <w:sz w:val="24"/>
        </w:rPr>
        <w:t>。收益率曲线进一步扁平化。</w:t>
      </w:r>
    </w:p>
    <w:p w:rsidR="00CF66BE" w:rsidRDefault="0054462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第三季度，随着收益率上行，本基金略微提升了组合久期水平，并大幅提升了杠杆水平。</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第四季度，中短期宏观经济数据的持续改善态势尚待进一步验证，但经济中枢下移带动利率中枢下移的长期趋势并未改变，同时第四季度可能面临债券供给规模上升的压力，虽然预计央行仍将配合呵护流动性，但供需结构及临近年末交易者行为仍可能给收益率带来短期调整的机会。在长期宏观经济趋势下，收益率调整上行空间或将比较有限。收益率的调整预计将是较好的配置机会。</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CF66BE" w:rsidRDefault="00544626">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本报告期摩根中债</w:t>
      </w:r>
      <w:r>
        <w:rPr>
          <w:rFonts w:eastAsiaTheme="minorEastAsia"/>
          <w:color w:val="000000" w:themeColor="text1"/>
          <w:kern w:val="0"/>
          <w:sz w:val="24"/>
        </w:rPr>
        <w:t>1-3</w:t>
      </w:r>
      <w:r>
        <w:rPr>
          <w:rFonts w:eastAsiaTheme="minorEastAsia"/>
          <w:color w:val="000000" w:themeColor="text1"/>
          <w:kern w:val="0"/>
          <w:sz w:val="24"/>
        </w:rPr>
        <w:t>年国开行</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:0.46%</w:t>
      </w:r>
      <w:r>
        <w:rPr>
          <w:rFonts w:eastAsiaTheme="minorEastAsia"/>
          <w:color w:val="000000" w:themeColor="text1"/>
          <w:kern w:val="0"/>
          <w:sz w:val="24"/>
        </w:rPr>
        <w:t>，同期业绩比较基准收益率为</w:t>
      </w:r>
      <w:r>
        <w:rPr>
          <w:rFonts w:eastAsiaTheme="minorEastAsia"/>
          <w:color w:val="000000" w:themeColor="text1"/>
          <w:kern w:val="0"/>
          <w:sz w:val="24"/>
        </w:rPr>
        <w:t>:-0.71%</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:0.44%</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:-0.71%</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552,853,533.26</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99.16</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552,853,533.26</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99.16</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4,549,842.79</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0.82</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114,191.75</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0.02</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557,517,567.80</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504,000,723.83</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120.91</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504,000,723.83</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120.91</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48,852,809.43</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11.72</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552,853,533.26</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132.63</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CF66BE">
        <w:tc>
          <w:tcPr>
            <w:tcW w:w="1252" w:type="dxa"/>
            <w:vAlign w:val="center"/>
          </w:tcPr>
          <w:p w:rsidR="00CF66BE" w:rsidRDefault="00544626">
            <w:pPr>
              <w:jc w:val="center"/>
            </w:pPr>
            <w:r>
              <w:rPr>
                <w:rFonts w:eastAsiaTheme="minorEastAsia"/>
                <w:color w:val="000000" w:themeColor="text1"/>
                <w:sz w:val="24"/>
              </w:rPr>
              <w:t>1</w:t>
            </w:r>
          </w:p>
        </w:tc>
        <w:tc>
          <w:tcPr>
            <w:tcW w:w="1310" w:type="dxa"/>
            <w:vAlign w:val="center"/>
          </w:tcPr>
          <w:p w:rsidR="00CF66BE" w:rsidRDefault="00544626">
            <w:pPr>
              <w:jc w:val="center"/>
            </w:pPr>
            <w:r>
              <w:rPr>
                <w:rFonts w:eastAsiaTheme="minorEastAsia"/>
                <w:color w:val="000000" w:themeColor="text1"/>
                <w:sz w:val="24"/>
              </w:rPr>
              <w:t>230202</w:t>
            </w:r>
          </w:p>
        </w:tc>
        <w:tc>
          <w:tcPr>
            <w:tcW w:w="1282" w:type="dxa"/>
            <w:vAlign w:val="center"/>
          </w:tcPr>
          <w:p w:rsidR="00CF66BE" w:rsidRDefault="00544626">
            <w:pPr>
              <w:jc w:val="center"/>
            </w:pPr>
            <w:r>
              <w:rPr>
                <w:rFonts w:eastAsiaTheme="minorEastAsia"/>
                <w:color w:val="000000" w:themeColor="text1"/>
                <w:sz w:val="24"/>
              </w:rPr>
              <w:t>23</w:t>
            </w:r>
            <w:r>
              <w:rPr>
                <w:rFonts w:eastAsiaTheme="minorEastAsia"/>
                <w:color w:val="000000" w:themeColor="text1"/>
                <w:sz w:val="24"/>
              </w:rPr>
              <w:t>国开</w:t>
            </w:r>
            <w:r>
              <w:rPr>
                <w:rFonts w:eastAsiaTheme="minorEastAsia"/>
                <w:color w:val="000000" w:themeColor="text1"/>
                <w:sz w:val="24"/>
              </w:rPr>
              <w:t>02</w:t>
            </w:r>
          </w:p>
        </w:tc>
        <w:tc>
          <w:tcPr>
            <w:tcW w:w="1426" w:type="dxa"/>
            <w:vAlign w:val="center"/>
          </w:tcPr>
          <w:p w:rsidR="00CF66BE" w:rsidRDefault="00544626">
            <w:pPr>
              <w:jc w:val="right"/>
            </w:pPr>
            <w:r>
              <w:rPr>
                <w:rFonts w:eastAsiaTheme="minorEastAsia"/>
                <w:color w:val="000000" w:themeColor="text1"/>
                <w:sz w:val="24"/>
              </w:rPr>
              <w:t>1,300,000</w:t>
            </w:r>
          </w:p>
        </w:tc>
        <w:tc>
          <w:tcPr>
            <w:tcW w:w="1646" w:type="dxa"/>
            <w:vAlign w:val="center"/>
          </w:tcPr>
          <w:p w:rsidR="00CF66BE" w:rsidRDefault="00544626">
            <w:pPr>
              <w:jc w:val="right"/>
            </w:pPr>
            <w:r>
              <w:rPr>
                <w:rFonts w:eastAsiaTheme="minorEastAsia"/>
                <w:color w:val="000000" w:themeColor="text1"/>
                <w:sz w:val="24"/>
              </w:rPr>
              <w:t>132,998,084.93</w:t>
            </w:r>
          </w:p>
        </w:tc>
        <w:tc>
          <w:tcPr>
            <w:tcW w:w="1612" w:type="dxa"/>
            <w:vAlign w:val="center"/>
          </w:tcPr>
          <w:p w:rsidR="00CF66BE" w:rsidRDefault="00544626">
            <w:pPr>
              <w:jc w:val="right"/>
            </w:pPr>
            <w:r>
              <w:rPr>
                <w:rFonts w:eastAsiaTheme="minorEastAsia"/>
                <w:color w:val="000000" w:themeColor="text1"/>
                <w:sz w:val="24"/>
              </w:rPr>
              <w:t>31.91</w:t>
            </w:r>
          </w:p>
        </w:tc>
      </w:tr>
      <w:tr w:rsidR="00CF66BE">
        <w:tc>
          <w:tcPr>
            <w:tcW w:w="1252" w:type="dxa"/>
            <w:vAlign w:val="center"/>
          </w:tcPr>
          <w:p w:rsidR="00CF66BE" w:rsidRDefault="00544626">
            <w:pPr>
              <w:jc w:val="center"/>
            </w:pPr>
            <w:r>
              <w:rPr>
                <w:rFonts w:eastAsiaTheme="minorEastAsia"/>
                <w:color w:val="000000" w:themeColor="text1"/>
                <w:sz w:val="24"/>
              </w:rPr>
              <w:t>2</w:t>
            </w:r>
          </w:p>
        </w:tc>
        <w:tc>
          <w:tcPr>
            <w:tcW w:w="1310" w:type="dxa"/>
            <w:vAlign w:val="center"/>
          </w:tcPr>
          <w:p w:rsidR="00CF66BE" w:rsidRDefault="00544626">
            <w:pPr>
              <w:jc w:val="center"/>
            </w:pPr>
            <w:r>
              <w:rPr>
                <w:rFonts w:eastAsiaTheme="minorEastAsia"/>
                <w:color w:val="000000" w:themeColor="text1"/>
                <w:sz w:val="24"/>
              </w:rPr>
              <w:t>190204</w:t>
            </w:r>
          </w:p>
        </w:tc>
        <w:tc>
          <w:tcPr>
            <w:tcW w:w="1282" w:type="dxa"/>
            <w:vAlign w:val="center"/>
          </w:tcPr>
          <w:p w:rsidR="00CF66BE" w:rsidRDefault="00544626">
            <w:pPr>
              <w:jc w:val="center"/>
            </w:pPr>
            <w:r>
              <w:rPr>
                <w:rFonts w:eastAsiaTheme="minorEastAsia"/>
                <w:color w:val="000000" w:themeColor="text1"/>
                <w:sz w:val="24"/>
              </w:rPr>
              <w:t>19</w:t>
            </w:r>
            <w:r>
              <w:rPr>
                <w:rFonts w:eastAsiaTheme="minorEastAsia"/>
                <w:color w:val="000000" w:themeColor="text1"/>
                <w:sz w:val="24"/>
              </w:rPr>
              <w:t>国开</w:t>
            </w:r>
            <w:r>
              <w:rPr>
                <w:rFonts w:eastAsiaTheme="minorEastAsia"/>
                <w:color w:val="000000" w:themeColor="text1"/>
                <w:sz w:val="24"/>
              </w:rPr>
              <w:t>04</w:t>
            </w:r>
          </w:p>
        </w:tc>
        <w:tc>
          <w:tcPr>
            <w:tcW w:w="1426" w:type="dxa"/>
            <w:vAlign w:val="center"/>
          </w:tcPr>
          <w:p w:rsidR="00CF66BE" w:rsidRDefault="00544626">
            <w:pPr>
              <w:jc w:val="right"/>
            </w:pPr>
            <w:r>
              <w:rPr>
                <w:rFonts w:eastAsiaTheme="minorEastAsia"/>
                <w:color w:val="000000" w:themeColor="text1"/>
                <w:sz w:val="24"/>
              </w:rPr>
              <w:t>1,000,000</w:t>
            </w:r>
          </w:p>
        </w:tc>
        <w:tc>
          <w:tcPr>
            <w:tcW w:w="1646" w:type="dxa"/>
            <w:vAlign w:val="center"/>
          </w:tcPr>
          <w:p w:rsidR="00CF66BE" w:rsidRDefault="00544626">
            <w:pPr>
              <w:jc w:val="right"/>
            </w:pPr>
            <w:r>
              <w:rPr>
                <w:rFonts w:eastAsiaTheme="minorEastAsia"/>
                <w:color w:val="000000" w:themeColor="text1"/>
                <w:sz w:val="24"/>
              </w:rPr>
              <w:t>105,117,835.62</w:t>
            </w:r>
          </w:p>
        </w:tc>
        <w:tc>
          <w:tcPr>
            <w:tcW w:w="1612" w:type="dxa"/>
            <w:vAlign w:val="center"/>
          </w:tcPr>
          <w:p w:rsidR="00CF66BE" w:rsidRDefault="00544626">
            <w:pPr>
              <w:jc w:val="right"/>
            </w:pPr>
            <w:r>
              <w:rPr>
                <w:rFonts w:eastAsiaTheme="minorEastAsia"/>
                <w:color w:val="000000" w:themeColor="text1"/>
                <w:sz w:val="24"/>
              </w:rPr>
              <w:t>25.22</w:t>
            </w:r>
          </w:p>
        </w:tc>
      </w:tr>
      <w:tr w:rsidR="00CF66BE">
        <w:tc>
          <w:tcPr>
            <w:tcW w:w="1252" w:type="dxa"/>
            <w:vAlign w:val="center"/>
          </w:tcPr>
          <w:p w:rsidR="00CF66BE" w:rsidRDefault="00544626">
            <w:pPr>
              <w:jc w:val="center"/>
            </w:pPr>
            <w:r>
              <w:rPr>
                <w:rFonts w:eastAsiaTheme="minorEastAsia"/>
                <w:color w:val="000000" w:themeColor="text1"/>
                <w:sz w:val="24"/>
              </w:rPr>
              <w:t>3</w:t>
            </w:r>
          </w:p>
        </w:tc>
        <w:tc>
          <w:tcPr>
            <w:tcW w:w="1310" w:type="dxa"/>
            <w:vAlign w:val="center"/>
          </w:tcPr>
          <w:p w:rsidR="00CF66BE" w:rsidRDefault="00544626">
            <w:pPr>
              <w:jc w:val="center"/>
            </w:pPr>
            <w:r>
              <w:rPr>
                <w:rFonts w:eastAsiaTheme="minorEastAsia"/>
                <w:color w:val="000000" w:themeColor="text1"/>
                <w:sz w:val="24"/>
              </w:rPr>
              <w:t>150218</w:t>
            </w:r>
          </w:p>
        </w:tc>
        <w:tc>
          <w:tcPr>
            <w:tcW w:w="1282" w:type="dxa"/>
            <w:vAlign w:val="center"/>
          </w:tcPr>
          <w:p w:rsidR="00CF66BE" w:rsidRDefault="00544626">
            <w:pPr>
              <w:jc w:val="center"/>
            </w:pPr>
            <w:r>
              <w:rPr>
                <w:rFonts w:eastAsiaTheme="minorEastAsia"/>
                <w:color w:val="000000" w:themeColor="text1"/>
                <w:sz w:val="24"/>
              </w:rPr>
              <w:t>15</w:t>
            </w:r>
            <w:r>
              <w:rPr>
                <w:rFonts w:eastAsiaTheme="minorEastAsia"/>
                <w:color w:val="000000" w:themeColor="text1"/>
                <w:sz w:val="24"/>
              </w:rPr>
              <w:t>国开</w:t>
            </w:r>
            <w:r>
              <w:rPr>
                <w:rFonts w:eastAsiaTheme="minorEastAsia"/>
                <w:color w:val="000000" w:themeColor="text1"/>
                <w:sz w:val="24"/>
              </w:rPr>
              <w:t>18</w:t>
            </w:r>
          </w:p>
        </w:tc>
        <w:tc>
          <w:tcPr>
            <w:tcW w:w="1426" w:type="dxa"/>
            <w:vAlign w:val="center"/>
          </w:tcPr>
          <w:p w:rsidR="00CF66BE" w:rsidRDefault="00544626">
            <w:pPr>
              <w:jc w:val="right"/>
            </w:pPr>
            <w:r>
              <w:rPr>
                <w:rFonts w:eastAsiaTheme="minorEastAsia"/>
                <w:color w:val="000000" w:themeColor="text1"/>
                <w:sz w:val="24"/>
              </w:rPr>
              <w:t>900,000</w:t>
            </w:r>
          </w:p>
        </w:tc>
        <w:tc>
          <w:tcPr>
            <w:tcW w:w="1646" w:type="dxa"/>
            <w:vAlign w:val="center"/>
          </w:tcPr>
          <w:p w:rsidR="00CF66BE" w:rsidRDefault="00544626">
            <w:pPr>
              <w:jc w:val="right"/>
            </w:pPr>
            <w:r>
              <w:rPr>
                <w:rFonts w:eastAsiaTheme="minorEastAsia"/>
                <w:color w:val="000000" w:themeColor="text1"/>
                <w:sz w:val="24"/>
              </w:rPr>
              <w:t>92,488,131.15</w:t>
            </w:r>
          </w:p>
        </w:tc>
        <w:tc>
          <w:tcPr>
            <w:tcW w:w="1612" w:type="dxa"/>
            <w:vAlign w:val="center"/>
          </w:tcPr>
          <w:p w:rsidR="00CF66BE" w:rsidRDefault="00544626">
            <w:pPr>
              <w:jc w:val="right"/>
            </w:pPr>
            <w:r>
              <w:rPr>
                <w:rFonts w:eastAsiaTheme="minorEastAsia"/>
                <w:color w:val="000000" w:themeColor="text1"/>
                <w:sz w:val="24"/>
              </w:rPr>
              <w:t>22.19</w:t>
            </w:r>
          </w:p>
        </w:tc>
      </w:tr>
      <w:tr w:rsidR="00CF66BE">
        <w:tc>
          <w:tcPr>
            <w:tcW w:w="1252" w:type="dxa"/>
            <w:vAlign w:val="center"/>
          </w:tcPr>
          <w:p w:rsidR="00CF66BE" w:rsidRDefault="00544626">
            <w:pPr>
              <w:jc w:val="center"/>
            </w:pPr>
            <w:r>
              <w:rPr>
                <w:rFonts w:eastAsiaTheme="minorEastAsia"/>
                <w:color w:val="000000" w:themeColor="text1"/>
                <w:sz w:val="24"/>
              </w:rPr>
              <w:t>4</w:t>
            </w:r>
          </w:p>
        </w:tc>
        <w:tc>
          <w:tcPr>
            <w:tcW w:w="1310" w:type="dxa"/>
            <w:vAlign w:val="center"/>
          </w:tcPr>
          <w:p w:rsidR="00CF66BE" w:rsidRDefault="00544626">
            <w:pPr>
              <w:jc w:val="center"/>
            </w:pPr>
            <w:r>
              <w:rPr>
                <w:rFonts w:eastAsiaTheme="minorEastAsia"/>
                <w:color w:val="000000" w:themeColor="text1"/>
                <w:sz w:val="24"/>
              </w:rPr>
              <w:t>160210</w:t>
            </w:r>
          </w:p>
        </w:tc>
        <w:tc>
          <w:tcPr>
            <w:tcW w:w="1282" w:type="dxa"/>
            <w:vAlign w:val="center"/>
          </w:tcPr>
          <w:p w:rsidR="00CF66BE" w:rsidRDefault="00544626">
            <w:pPr>
              <w:jc w:val="center"/>
            </w:pPr>
            <w:r>
              <w:rPr>
                <w:rFonts w:eastAsiaTheme="minorEastAsia"/>
                <w:color w:val="000000" w:themeColor="text1"/>
                <w:sz w:val="24"/>
              </w:rPr>
              <w:t>16</w:t>
            </w:r>
            <w:r>
              <w:rPr>
                <w:rFonts w:eastAsiaTheme="minorEastAsia"/>
                <w:color w:val="000000" w:themeColor="text1"/>
                <w:sz w:val="24"/>
              </w:rPr>
              <w:t>国开</w:t>
            </w:r>
            <w:r>
              <w:rPr>
                <w:rFonts w:eastAsiaTheme="minorEastAsia"/>
                <w:color w:val="000000" w:themeColor="text1"/>
                <w:sz w:val="24"/>
              </w:rPr>
              <w:t>10</w:t>
            </w:r>
          </w:p>
        </w:tc>
        <w:tc>
          <w:tcPr>
            <w:tcW w:w="1426" w:type="dxa"/>
            <w:vAlign w:val="center"/>
          </w:tcPr>
          <w:p w:rsidR="00CF66BE" w:rsidRDefault="00544626">
            <w:pPr>
              <w:jc w:val="right"/>
            </w:pPr>
            <w:r>
              <w:rPr>
                <w:rFonts w:eastAsiaTheme="minorEastAsia"/>
                <w:color w:val="000000" w:themeColor="text1"/>
                <w:sz w:val="24"/>
              </w:rPr>
              <w:t>600,000</w:t>
            </w:r>
          </w:p>
        </w:tc>
        <w:tc>
          <w:tcPr>
            <w:tcW w:w="1646" w:type="dxa"/>
            <w:vAlign w:val="center"/>
          </w:tcPr>
          <w:p w:rsidR="00CF66BE" w:rsidRDefault="00544626">
            <w:pPr>
              <w:jc w:val="right"/>
            </w:pPr>
            <w:r>
              <w:rPr>
                <w:rFonts w:eastAsiaTheme="minorEastAsia"/>
                <w:color w:val="000000" w:themeColor="text1"/>
                <w:sz w:val="24"/>
              </w:rPr>
              <w:t>62,013,147.54</w:t>
            </w:r>
          </w:p>
        </w:tc>
        <w:tc>
          <w:tcPr>
            <w:tcW w:w="1612" w:type="dxa"/>
            <w:vAlign w:val="center"/>
          </w:tcPr>
          <w:p w:rsidR="00CF66BE" w:rsidRDefault="00544626">
            <w:pPr>
              <w:jc w:val="right"/>
            </w:pPr>
            <w:r>
              <w:rPr>
                <w:rFonts w:eastAsiaTheme="minorEastAsia"/>
                <w:color w:val="000000" w:themeColor="text1"/>
                <w:sz w:val="24"/>
              </w:rPr>
              <w:t>14.88</w:t>
            </w:r>
          </w:p>
        </w:tc>
      </w:tr>
      <w:tr w:rsidR="00CF66BE">
        <w:tc>
          <w:tcPr>
            <w:tcW w:w="1252" w:type="dxa"/>
            <w:vAlign w:val="center"/>
          </w:tcPr>
          <w:p w:rsidR="00CF66BE" w:rsidRDefault="00544626">
            <w:pPr>
              <w:jc w:val="center"/>
            </w:pPr>
            <w:r>
              <w:rPr>
                <w:rFonts w:eastAsiaTheme="minorEastAsia"/>
                <w:color w:val="000000" w:themeColor="text1"/>
                <w:sz w:val="24"/>
              </w:rPr>
              <w:t>5</w:t>
            </w:r>
          </w:p>
        </w:tc>
        <w:tc>
          <w:tcPr>
            <w:tcW w:w="1310" w:type="dxa"/>
            <w:vAlign w:val="center"/>
          </w:tcPr>
          <w:p w:rsidR="00CF66BE" w:rsidRDefault="00544626">
            <w:pPr>
              <w:jc w:val="center"/>
            </w:pPr>
            <w:r>
              <w:rPr>
                <w:rFonts w:eastAsiaTheme="minorEastAsia"/>
                <w:color w:val="000000" w:themeColor="text1"/>
                <w:sz w:val="24"/>
              </w:rPr>
              <w:t>112303204</w:t>
            </w:r>
          </w:p>
        </w:tc>
        <w:tc>
          <w:tcPr>
            <w:tcW w:w="1282" w:type="dxa"/>
            <w:vAlign w:val="center"/>
          </w:tcPr>
          <w:p w:rsidR="00CF66BE" w:rsidRDefault="00544626">
            <w:pPr>
              <w:jc w:val="center"/>
            </w:pPr>
            <w:r>
              <w:rPr>
                <w:rFonts w:eastAsiaTheme="minorEastAsia"/>
                <w:color w:val="000000" w:themeColor="text1"/>
                <w:sz w:val="24"/>
              </w:rPr>
              <w:t>23</w:t>
            </w:r>
            <w:r>
              <w:rPr>
                <w:rFonts w:eastAsiaTheme="minorEastAsia"/>
                <w:color w:val="000000" w:themeColor="text1"/>
                <w:sz w:val="24"/>
              </w:rPr>
              <w:t>农业银行</w:t>
            </w:r>
            <w:r>
              <w:rPr>
                <w:rFonts w:eastAsiaTheme="minorEastAsia"/>
                <w:color w:val="000000" w:themeColor="text1"/>
                <w:sz w:val="24"/>
              </w:rPr>
              <w:t>CD204</w:t>
            </w:r>
          </w:p>
        </w:tc>
        <w:tc>
          <w:tcPr>
            <w:tcW w:w="1426" w:type="dxa"/>
            <w:vAlign w:val="center"/>
          </w:tcPr>
          <w:p w:rsidR="00CF66BE" w:rsidRDefault="00544626">
            <w:pPr>
              <w:jc w:val="right"/>
            </w:pPr>
            <w:r>
              <w:rPr>
                <w:rFonts w:eastAsiaTheme="minorEastAsia"/>
                <w:color w:val="000000" w:themeColor="text1"/>
                <w:sz w:val="24"/>
              </w:rPr>
              <w:t>500,000</w:t>
            </w:r>
          </w:p>
        </w:tc>
        <w:tc>
          <w:tcPr>
            <w:tcW w:w="1646" w:type="dxa"/>
            <w:vAlign w:val="center"/>
          </w:tcPr>
          <w:p w:rsidR="00CF66BE" w:rsidRDefault="00544626">
            <w:pPr>
              <w:jc w:val="right"/>
            </w:pPr>
            <w:r>
              <w:rPr>
                <w:rFonts w:eastAsiaTheme="minorEastAsia"/>
                <w:color w:val="000000" w:themeColor="text1"/>
                <w:sz w:val="24"/>
              </w:rPr>
              <w:t>48,852,809.43</w:t>
            </w:r>
          </w:p>
        </w:tc>
        <w:tc>
          <w:tcPr>
            <w:tcW w:w="1612" w:type="dxa"/>
            <w:vAlign w:val="center"/>
          </w:tcPr>
          <w:p w:rsidR="00CF66BE" w:rsidRDefault="00544626">
            <w:pPr>
              <w:jc w:val="right"/>
            </w:pPr>
            <w:r>
              <w:rPr>
                <w:rFonts w:eastAsiaTheme="minorEastAsia"/>
                <w:color w:val="000000" w:themeColor="text1"/>
                <w:sz w:val="24"/>
              </w:rPr>
              <w:t>11.72</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w:t>
      </w:r>
      <w:r w:rsidRPr="00EE3DBC">
        <w:rPr>
          <w:rFonts w:eastAsiaTheme="minorEastAsia"/>
          <w:b/>
          <w:bCs/>
          <w:color w:val="000000" w:themeColor="text1"/>
          <w:kern w:val="0"/>
          <w:sz w:val="24"/>
        </w:rPr>
        <w:lastRenderedPageBreak/>
        <w:t>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本基金投资的前十名证券的发行主体本期未出现被监管部门立案调查，或在报告编制日前一年内受到公开谴责、处罚的情形。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114,191.75</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114,191.75</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lastRenderedPageBreak/>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374,293,631.42</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14,722,388.62</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99,550,353.96</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158,977,913.38</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99,774,508.19</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134,557,528.19</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374,069,477.19</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39,142,773.81</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544626"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544626" w:rsidRPr="00EE3DBC" w:rsidRDefault="00544626" w:rsidP="00544626">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44626" w:rsidRPr="00EE3DBC" w:rsidRDefault="00544626" w:rsidP="00544626">
            <w:pPr>
              <w:jc w:val="right"/>
              <w:rPr>
                <w:rFonts w:eastAsiaTheme="minorEastAsia"/>
                <w:color w:val="000000" w:themeColor="text1"/>
                <w:szCs w:val="21"/>
              </w:rPr>
            </w:pPr>
            <w:r w:rsidRPr="00EE3DBC">
              <w:rPr>
                <w:rFonts w:eastAsiaTheme="minorEastAsia"/>
                <w:color w:val="000000" w:themeColor="text1"/>
                <w:szCs w:val="21"/>
              </w:rPr>
              <w:t>73,292.29</w:t>
            </w:r>
          </w:p>
        </w:tc>
        <w:tc>
          <w:tcPr>
            <w:tcW w:w="2693" w:type="dxa"/>
            <w:tcBorders>
              <w:top w:val="single" w:sz="8" w:space="0" w:color="000000"/>
              <w:left w:val="single" w:sz="8" w:space="0" w:color="000000"/>
              <w:bottom w:val="single" w:sz="8" w:space="0" w:color="000000"/>
              <w:right w:val="single" w:sz="8" w:space="0" w:color="000000"/>
            </w:tcBorders>
            <w:vAlign w:val="center"/>
          </w:tcPr>
          <w:p w:rsidR="00544626" w:rsidRPr="00EE3DBC" w:rsidRDefault="00544626" w:rsidP="00544626">
            <w:pPr>
              <w:jc w:val="right"/>
              <w:rPr>
                <w:rFonts w:eastAsiaTheme="minorEastAsia"/>
                <w:color w:val="000000" w:themeColor="text1"/>
                <w:szCs w:val="21"/>
              </w:rPr>
            </w:pPr>
            <w:r w:rsidRPr="00EE3DBC">
              <w:rPr>
                <w:rFonts w:eastAsiaTheme="minorEastAsia"/>
                <w:color w:val="000000" w:themeColor="text1"/>
                <w:szCs w:val="21"/>
              </w:rPr>
              <w:t>-</w:t>
            </w:r>
          </w:p>
        </w:tc>
      </w:tr>
      <w:tr w:rsidR="00544626"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544626" w:rsidRPr="00EE3DBC" w:rsidRDefault="00544626" w:rsidP="00544626">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44626" w:rsidRPr="00EE3DBC" w:rsidRDefault="00544626" w:rsidP="00544626">
            <w:pPr>
              <w:jc w:val="right"/>
              <w:rPr>
                <w:rFonts w:eastAsiaTheme="minorEastAsia"/>
                <w:color w:val="000000" w:themeColor="text1"/>
                <w:kern w:val="0"/>
                <w:szCs w:val="21"/>
              </w:rPr>
            </w:pPr>
            <w:r w:rsidRPr="00EE3DBC">
              <w:rPr>
                <w:rFonts w:eastAsiaTheme="minorEastAsia"/>
                <w:color w:val="000000" w:themeColor="text1"/>
                <w:szCs w:val="21"/>
              </w:rPr>
              <w:t>2,183.70</w:t>
            </w:r>
          </w:p>
        </w:tc>
        <w:tc>
          <w:tcPr>
            <w:tcW w:w="2693" w:type="dxa"/>
            <w:tcBorders>
              <w:top w:val="single" w:sz="8" w:space="0" w:color="000000"/>
              <w:left w:val="single" w:sz="8" w:space="0" w:color="000000"/>
              <w:bottom w:val="single" w:sz="8" w:space="0" w:color="000000"/>
              <w:right w:val="single" w:sz="8" w:space="0" w:color="000000"/>
            </w:tcBorders>
            <w:vAlign w:val="center"/>
          </w:tcPr>
          <w:p w:rsidR="00544626" w:rsidRPr="00EE3DBC" w:rsidRDefault="00544626" w:rsidP="00544626">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w:t>
            </w:r>
            <w:r w:rsidRPr="00EE3DBC">
              <w:rPr>
                <w:color w:val="000000" w:themeColor="text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lastRenderedPageBreak/>
              <w:t>75,475.99</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rsidR="00A960A3" w:rsidRDefault="00544626">
      <w:pPr>
        <w:autoSpaceDE w:val="0"/>
        <w:autoSpaceDN w:val="0"/>
        <w:adjustRightInd w:val="0"/>
        <w:spacing w:line="360" w:lineRule="auto"/>
        <w:jc w:val="left"/>
        <w:rPr>
          <w:rFonts w:eastAsiaTheme="minorEastAsia"/>
          <w:color w:val="000000" w:themeColor="text1"/>
          <w:szCs w:val="21"/>
        </w:rPr>
      </w:pPr>
      <w:r w:rsidRPr="00EE3DBC">
        <w:rPr>
          <w:rFonts w:eastAsiaTheme="minorEastAsia"/>
          <w:color w:val="000000" w:themeColor="text1"/>
          <w:szCs w:val="21"/>
        </w:rPr>
        <w:t>注：本报告期新增份额为红利再投资份额。</w:t>
      </w:r>
    </w:p>
    <w:p w:rsidR="00544626" w:rsidRDefault="00544626">
      <w:pPr>
        <w:autoSpaceDE w:val="0"/>
        <w:autoSpaceDN w:val="0"/>
        <w:adjustRightInd w:val="0"/>
        <w:spacing w:line="360" w:lineRule="auto"/>
        <w:jc w:val="left"/>
        <w:rPr>
          <w:rFonts w:eastAsiaTheme="minorEastAsia"/>
          <w:color w:val="000000" w:themeColor="text1"/>
          <w:szCs w:val="21"/>
        </w:rPr>
      </w:pPr>
    </w:p>
    <w:p w:rsidR="00544626" w:rsidRPr="00EE3DBC" w:rsidRDefault="00544626" w:rsidP="00544626">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rsidR="00544626" w:rsidRPr="00EE3DBC" w:rsidRDefault="00544626" w:rsidP="00544626">
      <w:pPr>
        <w:autoSpaceDE w:val="0"/>
        <w:autoSpaceDN w:val="0"/>
        <w:adjustRightInd w:val="0"/>
        <w:spacing w:line="360" w:lineRule="auto"/>
        <w:jc w:val="left"/>
        <w:rPr>
          <w:rFonts w:eastAsiaTheme="minorEastAsia"/>
          <w:color w:val="000000" w:themeColor="text1"/>
          <w:kern w:val="0"/>
          <w:sz w:val="24"/>
        </w:rPr>
      </w:pPr>
      <w:r w:rsidRPr="00EE3DBC">
        <w:rPr>
          <w:rFonts w:eastAsiaTheme="minorEastAsia"/>
          <w:color w:val="000000" w:themeColor="text1"/>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8.1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CF66BE">
        <w:tc>
          <w:tcPr>
            <w:tcW w:w="993" w:type="dxa"/>
            <w:vMerge w:val="restart"/>
            <w:vAlign w:val="center"/>
          </w:tcPr>
          <w:p w:rsidR="00CF66BE" w:rsidRDefault="00544626">
            <w:r>
              <w:rPr>
                <w:bCs/>
                <w:color w:val="000000"/>
                <w:kern w:val="0"/>
                <w:sz w:val="24"/>
              </w:rPr>
              <w:t>机构</w:t>
            </w:r>
          </w:p>
        </w:tc>
        <w:tc>
          <w:tcPr>
            <w:tcW w:w="992" w:type="dxa"/>
            <w:vAlign w:val="center"/>
          </w:tcPr>
          <w:p w:rsidR="00CF66BE" w:rsidRDefault="00544626">
            <w:pPr>
              <w:jc w:val="center"/>
            </w:pPr>
            <w:r>
              <w:rPr>
                <w:color w:val="000000"/>
                <w:kern w:val="0"/>
                <w:sz w:val="24"/>
              </w:rPr>
              <w:t>1</w:t>
            </w:r>
          </w:p>
        </w:tc>
        <w:tc>
          <w:tcPr>
            <w:tcW w:w="1843" w:type="dxa"/>
            <w:vAlign w:val="center"/>
          </w:tcPr>
          <w:p w:rsidR="00CF66BE" w:rsidRDefault="00544626">
            <w:pPr>
              <w:jc w:val="center"/>
            </w:pPr>
            <w:r>
              <w:rPr>
                <w:color w:val="000000"/>
                <w:kern w:val="0"/>
                <w:sz w:val="24"/>
              </w:rPr>
              <w:t>20230701-20230930</w:t>
            </w:r>
          </w:p>
        </w:tc>
        <w:tc>
          <w:tcPr>
            <w:tcW w:w="851" w:type="dxa"/>
            <w:vAlign w:val="center"/>
          </w:tcPr>
          <w:p w:rsidR="00CF66BE" w:rsidRDefault="00544626">
            <w:pPr>
              <w:jc w:val="center"/>
            </w:pPr>
            <w:r>
              <w:rPr>
                <w:color w:val="000000"/>
                <w:kern w:val="0"/>
                <w:sz w:val="24"/>
              </w:rPr>
              <w:t>98,793,716.66</w:t>
            </w:r>
          </w:p>
        </w:tc>
        <w:tc>
          <w:tcPr>
            <w:tcW w:w="850" w:type="dxa"/>
            <w:vAlign w:val="center"/>
          </w:tcPr>
          <w:p w:rsidR="00CF66BE" w:rsidRDefault="00544626">
            <w:pPr>
              <w:jc w:val="center"/>
            </w:pPr>
            <w:r>
              <w:rPr>
                <w:color w:val="000000"/>
                <w:kern w:val="0"/>
                <w:sz w:val="24"/>
              </w:rPr>
              <w:t>0.00</w:t>
            </w:r>
          </w:p>
        </w:tc>
        <w:tc>
          <w:tcPr>
            <w:tcW w:w="1134" w:type="dxa"/>
            <w:vAlign w:val="center"/>
          </w:tcPr>
          <w:p w:rsidR="00CF66BE" w:rsidRDefault="00544626">
            <w:pPr>
              <w:jc w:val="center"/>
            </w:pPr>
            <w:r>
              <w:rPr>
                <w:color w:val="000000"/>
                <w:kern w:val="0"/>
                <w:sz w:val="24"/>
              </w:rPr>
              <w:t>0.00</w:t>
            </w:r>
          </w:p>
        </w:tc>
        <w:tc>
          <w:tcPr>
            <w:tcW w:w="1419" w:type="dxa"/>
            <w:vAlign w:val="center"/>
          </w:tcPr>
          <w:p w:rsidR="00CF66BE" w:rsidRDefault="00544626">
            <w:pPr>
              <w:jc w:val="center"/>
            </w:pPr>
            <w:r>
              <w:rPr>
                <w:color w:val="000000"/>
                <w:kern w:val="0"/>
                <w:sz w:val="24"/>
              </w:rPr>
              <w:t>98,793,716.66</w:t>
            </w:r>
          </w:p>
        </w:tc>
        <w:tc>
          <w:tcPr>
            <w:tcW w:w="1130" w:type="dxa"/>
            <w:vAlign w:val="center"/>
          </w:tcPr>
          <w:p w:rsidR="00CF66BE" w:rsidRDefault="00544626">
            <w:pPr>
              <w:jc w:val="center"/>
            </w:pPr>
            <w:r>
              <w:rPr>
                <w:color w:val="000000"/>
                <w:kern w:val="0"/>
                <w:sz w:val="24"/>
              </w:rPr>
              <w:t>23.91%</w:t>
            </w:r>
          </w:p>
        </w:tc>
      </w:tr>
      <w:tr w:rsidR="00CF66BE">
        <w:tc>
          <w:tcPr>
            <w:tcW w:w="993" w:type="dxa"/>
            <w:vMerge/>
          </w:tcPr>
          <w:p w:rsidR="00CF66BE" w:rsidRDefault="00CF66BE"/>
        </w:tc>
        <w:tc>
          <w:tcPr>
            <w:tcW w:w="992" w:type="dxa"/>
            <w:vAlign w:val="center"/>
          </w:tcPr>
          <w:p w:rsidR="00CF66BE" w:rsidRDefault="00544626">
            <w:pPr>
              <w:jc w:val="center"/>
            </w:pPr>
            <w:r>
              <w:rPr>
                <w:color w:val="000000"/>
                <w:kern w:val="0"/>
                <w:sz w:val="24"/>
              </w:rPr>
              <w:t>2</w:t>
            </w:r>
          </w:p>
        </w:tc>
        <w:tc>
          <w:tcPr>
            <w:tcW w:w="1843" w:type="dxa"/>
            <w:vAlign w:val="center"/>
          </w:tcPr>
          <w:p w:rsidR="00CF66BE" w:rsidRDefault="00544626">
            <w:pPr>
              <w:jc w:val="center"/>
            </w:pPr>
            <w:r>
              <w:rPr>
                <w:color w:val="000000"/>
                <w:kern w:val="0"/>
                <w:sz w:val="24"/>
              </w:rPr>
              <w:t>20230701-20230727</w:t>
            </w:r>
          </w:p>
        </w:tc>
        <w:tc>
          <w:tcPr>
            <w:tcW w:w="851" w:type="dxa"/>
            <w:vAlign w:val="center"/>
          </w:tcPr>
          <w:p w:rsidR="00CF66BE" w:rsidRDefault="00544626">
            <w:pPr>
              <w:jc w:val="center"/>
            </w:pPr>
            <w:r>
              <w:rPr>
                <w:color w:val="000000"/>
                <w:kern w:val="0"/>
                <w:sz w:val="24"/>
              </w:rPr>
              <w:t>97,332,100.45</w:t>
            </w:r>
          </w:p>
        </w:tc>
        <w:tc>
          <w:tcPr>
            <w:tcW w:w="850" w:type="dxa"/>
            <w:vAlign w:val="center"/>
          </w:tcPr>
          <w:p w:rsidR="00CF66BE" w:rsidRDefault="00544626">
            <w:pPr>
              <w:jc w:val="center"/>
            </w:pPr>
            <w:r>
              <w:rPr>
                <w:color w:val="000000"/>
                <w:kern w:val="0"/>
                <w:sz w:val="24"/>
              </w:rPr>
              <w:t>0.00</w:t>
            </w:r>
          </w:p>
        </w:tc>
        <w:tc>
          <w:tcPr>
            <w:tcW w:w="1134" w:type="dxa"/>
            <w:vAlign w:val="center"/>
          </w:tcPr>
          <w:p w:rsidR="00CF66BE" w:rsidRDefault="00544626">
            <w:pPr>
              <w:jc w:val="center"/>
            </w:pPr>
            <w:r>
              <w:rPr>
                <w:color w:val="000000"/>
                <w:kern w:val="0"/>
                <w:sz w:val="24"/>
              </w:rPr>
              <w:t>0.00</w:t>
            </w:r>
          </w:p>
        </w:tc>
        <w:tc>
          <w:tcPr>
            <w:tcW w:w="1419" w:type="dxa"/>
            <w:vAlign w:val="center"/>
          </w:tcPr>
          <w:p w:rsidR="00CF66BE" w:rsidRDefault="00544626">
            <w:pPr>
              <w:jc w:val="center"/>
            </w:pPr>
            <w:r>
              <w:rPr>
                <w:color w:val="000000"/>
                <w:kern w:val="0"/>
                <w:sz w:val="24"/>
              </w:rPr>
              <w:t>97,332,100.45</w:t>
            </w:r>
          </w:p>
        </w:tc>
        <w:tc>
          <w:tcPr>
            <w:tcW w:w="1130" w:type="dxa"/>
            <w:vAlign w:val="center"/>
          </w:tcPr>
          <w:p w:rsidR="00CF66BE" w:rsidRDefault="00544626">
            <w:pPr>
              <w:jc w:val="center"/>
            </w:pPr>
            <w:r>
              <w:rPr>
                <w:color w:val="000000"/>
                <w:kern w:val="0"/>
                <w:sz w:val="24"/>
              </w:rPr>
              <w:t>23.55%</w:t>
            </w:r>
          </w:p>
        </w:tc>
      </w:tr>
      <w:tr w:rsidR="00CF66BE">
        <w:tc>
          <w:tcPr>
            <w:tcW w:w="993" w:type="dxa"/>
            <w:vMerge/>
          </w:tcPr>
          <w:p w:rsidR="00CF66BE" w:rsidRDefault="00CF66BE"/>
        </w:tc>
        <w:tc>
          <w:tcPr>
            <w:tcW w:w="992" w:type="dxa"/>
            <w:vAlign w:val="center"/>
          </w:tcPr>
          <w:p w:rsidR="00CF66BE" w:rsidRDefault="00544626">
            <w:pPr>
              <w:jc w:val="center"/>
            </w:pPr>
            <w:r>
              <w:rPr>
                <w:color w:val="000000"/>
                <w:kern w:val="0"/>
                <w:sz w:val="24"/>
              </w:rPr>
              <w:t>3</w:t>
            </w:r>
          </w:p>
        </w:tc>
        <w:tc>
          <w:tcPr>
            <w:tcW w:w="1843" w:type="dxa"/>
            <w:vAlign w:val="center"/>
          </w:tcPr>
          <w:p w:rsidR="00CF66BE" w:rsidRDefault="00544626">
            <w:pPr>
              <w:jc w:val="center"/>
            </w:pPr>
            <w:r>
              <w:rPr>
                <w:color w:val="000000"/>
                <w:kern w:val="0"/>
                <w:sz w:val="24"/>
              </w:rPr>
              <w:t>20230801-20230930</w:t>
            </w:r>
          </w:p>
        </w:tc>
        <w:tc>
          <w:tcPr>
            <w:tcW w:w="851" w:type="dxa"/>
            <w:vAlign w:val="center"/>
          </w:tcPr>
          <w:p w:rsidR="00CF66BE" w:rsidRDefault="00544626">
            <w:pPr>
              <w:jc w:val="center"/>
            </w:pPr>
            <w:r>
              <w:rPr>
                <w:color w:val="000000"/>
                <w:kern w:val="0"/>
                <w:sz w:val="24"/>
              </w:rPr>
              <w:t>97,332,100.45</w:t>
            </w:r>
          </w:p>
        </w:tc>
        <w:tc>
          <w:tcPr>
            <w:tcW w:w="850" w:type="dxa"/>
            <w:vAlign w:val="center"/>
          </w:tcPr>
          <w:p w:rsidR="00CF66BE" w:rsidRDefault="00544626">
            <w:pPr>
              <w:jc w:val="center"/>
            </w:pPr>
            <w:r>
              <w:rPr>
                <w:color w:val="000000"/>
                <w:kern w:val="0"/>
                <w:sz w:val="24"/>
              </w:rPr>
              <w:t>0.00</w:t>
            </w:r>
          </w:p>
        </w:tc>
        <w:tc>
          <w:tcPr>
            <w:tcW w:w="1134" w:type="dxa"/>
            <w:vAlign w:val="center"/>
          </w:tcPr>
          <w:p w:rsidR="00CF66BE" w:rsidRDefault="00544626">
            <w:pPr>
              <w:jc w:val="center"/>
            </w:pPr>
            <w:r>
              <w:rPr>
                <w:color w:val="000000"/>
                <w:kern w:val="0"/>
                <w:sz w:val="24"/>
              </w:rPr>
              <w:t>0.00</w:t>
            </w:r>
          </w:p>
        </w:tc>
        <w:tc>
          <w:tcPr>
            <w:tcW w:w="1419" w:type="dxa"/>
            <w:vAlign w:val="center"/>
          </w:tcPr>
          <w:p w:rsidR="00CF66BE" w:rsidRDefault="00544626">
            <w:pPr>
              <w:jc w:val="center"/>
            </w:pPr>
            <w:r>
              <w:rPr>
                <w:color w:val="000000"/>
                <w:kern w:val="0"/>
                <w:sz w:val="24"/>
              </w:rPr>
              <w:t>97,332,100.45</w:t>
            </w:r>
          </w:p>
        </w:tc>
        <w:tc>
          <w:tcPr>
            <w:tcW w:w="1130" w:type="dxa"/>
            <w:vAlign w:val="center"/>
          </w:tcPr>
          <w:p w:rsidR="00CF66BE" w:rsidRDefault="00544626">
            <w:pPr>
              <w:jc w:val="center"/>
            </w:pPr>
            <w:r>
              <w:rPr>
                <w:color w:val="000000"/>
                <w:kern w:val="0"/>
                <w:sz w:val="24"/>
              </w:rPr>
              <w:t>23.55%</w:t>
            </w:r>
          </w:p>
        </w:tc>
      </w:tr>
      <w:tr w:rsidR="00CF66BE">
        <w:tc>
          <w:tcPr>
            <w:tcW w:w="993" w:type="dxa"/>
            <w:vMerge/>
          </w:tcPr>
          <w:p w:rsidR="00CF66BE" w:rsidRDefault="00CF66BE"/>
        </w:tc>
        <w:tc>
          <w:tcPr>
            <w:tcW w:w="992" w:type="dxa"/>
            <w:vAlign w:val="center"/>
          </w:tcPr>
          <w:p w:rsidR="00CF66BE" w:rsidRDefault="00544626">
            <w:pPr>
              <w:jc w:val="center"/>
            </w:pPr>
            <w:r>
              <w:rPr>
                <w:color w:val="000000"/>
                <w:kern w:val="0"/>
                <w:sz w:val="24"/>
              </w:rPr>
              <w:t>4</w:t>
            </w:r>
          </w:p>
        </w:tc>
        <w:tc>
          <w:tcPr>
            <w:tcW w:w="1843" w:type="dxa"/>
            <w:vAlign w:val="center"/>
          </w:tcPr>
          <w:p w:rsidR="00CF66BE" w:rsidRDefault="00544626">
            <w:pPr>
              <w:jc w:val="center"/>
            </w:pPr>
            <w:r>
              <w:rPr>
                <w:color w:val="000000"/>
                <w:kern w:val="0"/>
                <w:sz w:val="24"/>
              </w:rPr>
              <w:t>20230801-20230930</w:t>
            </w:r>
          </w:p>
        </w:tc>
        <w:tc>
          <w:tcPr>
            <w:tcW w:w="851" w:type="dxa"/>
            <w:vAlign w:val="center"/>
          </w:tcPr>
          <w:p w:rsidR="00CF66BE" w:rsidRDefault="00544626">
            <w:pPr>
              <w:jc w:val="center"/>
            </w:pPr>
            <w:r>
              <w:rPr>
                <w:color w:val="000000"/>
                <w:kern w:val="0"/>
                <w:sz w:val="24"/>
              </w:rPr>
              <w:t>0.00</w:t>
            </w:r>
          </w:p>
        </w:tc>
        <w:tc>
          <w:tcPr>
            <w:tcW w:w="850" w:type="dxa"/>
            <w:vAlign w:val="center"/>
          </w:tcPr>
          <w:p w:rsidR="00CF66BE" w:rsidRDefault="00544626">
            <w:pPr>
              <w:jc w:val="center"/>
            </w:pPr>
            <w:r>
              <w:rPr>
                <w:color w:val="000000"/>
                <w:kern w:val="0"/>
                <w:sz w:val="24"/>
              </w:rPr>
              <w:t>96,552,959.35</w:t>
            </w:r>
          </w:p>
        </w:tc>
        <w:tc>
          <w:tcPr>
            <w:tcW w:w="1134" w:type="dxa"/>
            <w:vAlign w:val="center"/>
          </w:tcPr>
          <w:p w:rsidR="00CF66BE" w:rsidRDefault="00544626">
            <w:pPr>
              <w:jc w:val="center"/>
            </w:pPr>
            <w:r>
              <w:rPr>
                <w:color w:val="000000"/>
                <w:kern w:val="0"/>
                <w:sz w:val="24"/>
              </w:rPr>
              <w:t>0.00</w:t>
            </w:r>
          </w:p>
        </w:tc>
        <w:tc>
          <w:tcPr>
            <w:tcW w:w="1419" w:type="dxa"/>
            <w:vAlign w:val="center"/>
          </w:tcPr>
          <w:p w:rsidR="00CF66BE" w:rsidRDefault="00544626">
            <w:pPr>
              <w:jc w:val="center"/>
            </w:pPr>
            <w:r>
              <w:rPr>
                <w:color w:val="000000"/>
                <w:kern w:val="0"/>
                <w:sz w:val="24"/>
              </w:rPr>
              <w:t>96,552,959.35</w:t>
            </w:r>
          </w:p>
        </w:tc>
        <w:tc>
          <w:tcPr>
            <w:tcW w:w="1130" w:type="dxa"/>
            <w:vAlign w:val="center"/>
          </w:tcPr>
          <w:p w:rsidR="00CF66BE" w:rsidRDefault="00544626">
            <w:pPr>
              <w:jc w:val="center"/>
            </w:pPr>
            <w:r>
              <w:rPr>
                <w:color w:val="000000"/>
                <w:kern w:val="0"/>
                <w:sz w:val="24"/>
              </w:rPr>
              <w:t>23.37%</w:t>
            </w:r>
          </w:p>
        </w:tc>
      </w:tr>
      <w:tr w:rsidR="00CF66BE">
        <w:tc>
          <w:tcPr>
            <w:tcW w:w="993" w:type="dxa"/>
            <w:vMerge/>
          </w:tcPr>
          <w:p w:rsidR="00CF66BE" w:rsidRDefault="00CF66BE"/>
        </w:tc>
        <w:tc>
          <w:tcPr>
            <w:tcW w:w="992" w:type="dxa"/>
            <w:vAlign w:val="center"/>
          </w:tcPr>
          <w:p w:rsidR="00CF66BE" w:rsidRDefault="00544626">
            <w:pPr>
              <w:jc w:val="center"/>
            </w:pPr>
            <w:r>
              <w:rPr>
                <w:color w:val="000000"/>
                <w:kern w:val="0"/>
                <w:sz w:val="24"/>
              </w:rPr>
              <w:t>5</w:t>
            </w:r>
          </w:p>
        </w:tc>
        <w:tc>
          <w:tcPr>
            <w:tcW w:w="1843" w:type="dxa"/>
            <w:vAlign w:val="center"/>
          </w:tcPr>
          <w:p w:rsidR="00CF66BE" w:rsidRDefault="00544626">
            <w:pPr>
              <w:jc w:val="center"/>
            </w:pPr>
            <w:r>
              <w:rPr>
                <w:color w:val="000000"/>
                <w:kern w:val="0"/>
                <w:sz w:val="24"/>
              </w:rPr>
              <w:t>20230701-20230705</w:t>
            </w:r>
          </w:p>
        </w:tc>
        <w:tc>
          <w:tcPr>
            <w:tcW w:w="851" w:type="dxa"/>
            <w:vAlign w:val="center"/>
          </w:tcPr>
          <w:p w:rsidR="00CF66BE" w:rsidRDefault="00544626">
            <w:pPr>
              <w:jc w:val="center"/>
            </w:pPr>
            <w:r>
              <w:rPr>
                <w:color w:val="000000"/>
                <w:kern w:val="0"/>
                <w:sz w:val="24"/>
              </w:rPr>
              <w:t>80,080,000.00</w:t>
            </w:r>
          </w:p>
        </w:tc>
        <w:tc>
          <w:tcPr>
            <w:tcW w:w="850" w:type="dxa"/>
            <w:vAlign w:val="center"/>
          </w:tcPr>
          <w:p w:rsidR="00CF66BE" w:rsidRDefault="00544626">
            <w:pPr>
              <w:jc w:val="center"/>
            </w:pPr>
            <w:r>
              <w:rPr>
                <w:color w:val="000000"/>
                <w:kern w:val="0"/>
                <w:sz w:val="24"/>
              </w:rPr>
              <w:t>0.00</w:t>
            </w:r>
          </w:p>
        </w:tc>
        <w:tc>
          <w:tcPr>
            <w:tcW w:w="1134" w:type="dxa"/>
            <w:vAlign w:val="center"/>
          </w:tcPr>
          <w:p w:rsidR="00CF66BE" w:rsidRDefault="00544626">
            <w:pPr>
              <w:jc w:val="center"/>
            </w:pPr>
            <w:r>
              <w:rPr>
                <w:color w:val="000000"/>
                <w:kern w:val="0"/>
                <w:sz w:val="24"/>
              </w:rPr>
              <w:t>0.00</w:t>
            </w:r>
          </w:p>
        </w:tc>
        <w:tc>
          <w:tcPr>
            <w:tcW w:w="1419" w:type="dxa"/>
            <w:vAlign w:val="center"/>
          </w:tcPr>
          <w:p w:rsidR="00CF66BE" w:rsidRDefault="00544626">
            <w:pPr>
              <w:jc w:val="center"/>
            </w:pPr>
            <w:r>
              <w:rPr>
                <w:color w:val="000000"/>
                <w:kern w:val="0"/>
                <w:sz w:val="24"/>
              </w:rPr>
              <w:t>80,080,000.00</w:t>
            </w:r>
          </w:p>
        </w:tc>
        <w:tc>
          <w:tcPr>
            <w:tcW w:w="1130" w:type="dxa"/>
            <w:vAlign w:val="center"/>
          </w:tcPr>
          <w:p w:rsidR="00CF66BE" w:rsidRDefault="00544626">
            <w:pPr>
              <w:jc w:val="center"/>
            </w:pPr>
            <w:r>
              <w:rPr>
                <w:color w:val="000000"/>
                <w:kern w:val="0"/>
                <w:sz w:val="24"/>
              </w:rPr>
              <w:t>19.38%</w:t>
            </w:r>
          </w:p>
        </w:tc>
      </w:tr>
      <w:tr w:rsidR="00CF66BE">
        <w:tc>
          <w:tcPr>
            <w:tcW w:w="993" w:type="dxa"/>
            <w:vMerge/>
          </w:tcPr>
          <w:p w:rsidR="00CF66BE" w:rsidRDefault="00CF66BE"/>
        </w:tc>
        <w:tc>
          <w:tcPr>
            <w:tcW w:w="992" w:type="dxa"/>
            <w:vAlign w:val="center"/>
          </w:tcPr>
          <w:p w:rsidR="00CF66BE" w:rsidRDefault="00544626">
            <w:pPr>
              <w:jc w:val="center"/>
            </w:pPr>
            <w:r>
              <w:rPr>
                <w:color w:val="000000"/>
                <w:kern w:val="0"/>
                <w:sz w:val="24"/>
              </w:rPr>
              <w:t>6</w:t>
            </w:r>
          </w:p>
        </w:tc>
        <w:tc>
          <w:tcPr>
            <w:tcW w:w="1843" w:type="dxa"/>
            <w:vAlign w:val="center"/>
          </w:tcPr>
          <w:p w:rsidR="00CF66BE" w:rsidRDefault="00544626">
            <w:pPr>
              <w:jc w:val="center"/>
            </w:pPr>
            <w:r>
              <w:rPr>
                <w:color w:val="000000"/>
                <w:kern w:val="0"/>
                <w:sz w:val="24"/>
              </w:rPr>
              <w:t>20230727-20230727</w:t>
            </w:r>
          </w:p>
        </w:tc>
        <w:tc>
          <w:tcPr>
            <w:tcW w:w="851" w:type="dxa"/>
            <w:vAlign w:val="center"/>
          </w:tcPr>
          <w:p w:rsidR="00CF66BE" w:rsidRDefault="00544626">
            <w:pPr>
              <w:jc w:val="center"/>
            </w:pPr>
            <w:r>
              <w:rPr>
                <w:color w:val="000000"/>
                <w:kern w:val="0"/>
                <w:sz w:val="24"/>
              </w:rPr>
              <w:t>80,080,000.00</w:t>
            </w:r>
          </w:p>
        </w:tc>
        <w:tc>
          <w:tcPr>
            <w:tcW w:w="850" w:type="dxa"/>
            <w:vAlign w:val="center"/>
          </w:tcPr>
          <w:p w:rsidR="00CF66BE" w:rsidRDefault="00544626">
            <w:pPr>
              <w:jc w:val="center"/>
            </w:pPr>
            <w:r>
              <w:rPr>
                <w:color w:val="000000"/>
                <w:kern w:val="0"/>
                <w:sz w:val="24"/>
              </w:rPr>
              <w:t>0.00</w:t>
            </w:r>
          </w:p>
        </w:tc>
        <w:tc>
          <w:tcPr>
            <w:tcW w:w="1134" w:type="dxa"/>
            <w:vAlign w:val="center"/>
          </w:tcPr>
          <w:p w:rsidR="00CF66BE" w:rsidRDefault="00544626">
            <w:pPr>
              <w:jc w:val="center"/>
            </w:pPr>
            <w:r>
              <w:rPr>
                <w:color w:val="000000"/>
                <w:kern w:val="0"/>
                <w:sz w:val="24"/>
              </w:rPr>
              <w:t>0.00</w:t>
            </w:r>
          </w:p>
        </w:tc>
        <w:tc>
          <w:tcPr>
            <w:tcW w:w="1419" w:type="dxa"/>
            <w:vAlign w:val="center"/>
          </w:tcPr>
          <w:p w:rsidR="00CF66BE" w:rsidRDefault="00544626">
            <w:pPr>
              <w:jc w:val="center"/>
            </w:pPr>
            <w:r>
              <w:rPr>
                <w:color w:val="000000"/>
                <w:kern w:val="0"/>
                <w:sz w:val="24"/>
              </w:rPr>
              <w:t>80,080,000.00</w:t>
            </w:r>
          </w:p>
        </w:tc>
        <w:tc>
          <w:tcPr>
            <w:tcW w:w="1130" w:type="dxa"/>
            <w:vAlign w:val="center"/>
          </w:tcPr>
          <w:p w:rsidR="00CF66BE" w:rsidRDefault="00544626">
            <w:pPr>
              <w:jc w:val="center"/>
            </w:pPr>
            <w:r>
              <w:rPr>
                <w:color w:val="000000"/>
                <w:kern w:val="0"/>
                <w:sz w:val="24"/>
              </w:rPr>
              <w:t>19.38%</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§9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9.1 </w:t>
      </w:r>
      <w:r w:rsidRPr="00EE3DBC">
        <w:rPr>
          <w:rFonts w:eastAsiaTheme="minorEastAsia"/>
          <w:b/>
          <w:color w:val="000000" w:themeColor="text1"/>
          <w:sz w:val="24"/>
        </w:rPr>
        <w:t>备查文件目录</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年国开行债券指数证券投资基金基金合同</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年国开行债券指数证券投资基金托管协议</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CF66BE" w:rsidRDefault="00544626">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二〇二三年十月二十五日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B" w:rsidRDefault="00707FBB">
      <w:r>
        <w:separator/>
      </w:r>
    </w:p>
  </w:endnote>
  <w:endnote w:type="continuationSeparator" w:id="0">
    <w:p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D131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D131C">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D131C">
      <w:rPr>
        <w:rStyle w:val="af5"/>
        <w:noProof/>
      </w:rPr>
      <w:t>2</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B" w:rsidRDefault="00707FBB">
      <w:r>
        <w:separator/>
      </w:r>
    </w:p>
  </w:footnote>
  <w:footnote w:type="continuationSeparator" w:id="0">
    <w:p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摩根中债</w:t>
    </w:r>
    <w:r>
      <w:rPr>
        <w:sz w:val="21"/>
        <w:szCs w:val="21"/>
      </w:rPr>
      <w:t>1-3</w:t>
    </w:r>
    <w:r>
      <w:rPr>
        <w:sz w:val="21"/>
        <w:szCs w:val="21"/>
      </w:rPr>
      <w:t>年国开行债券指数证券投资基金</w:t>
    </w:r>
    <w:r>
      <w:rPr>
        <w:sz w:val="21"/>
        <w:szCs w:val="21"/>
      </w:rPr>
      <w:t>2023</w:t>
    </w:r>
    <w:r>
      <w:rPr>
        <w:sz w:val="21"/>
        <w:szCs w:val="21"/>
      </w:rPr>
      <w:t>年第</w:t>
    </w:r>
    <w:r>
      <w:rPr>
        <w:sz w:val="21"/>
        <w:szCs w:val="21"/>
      </w:rPr>
      <w:t>3</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131C"/>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4626"/>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6BE"/>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1231</Words>
  <Characters>7022</Characters>
  <Application>Microsoft Office Word</Application>
  <DocSecurity>0</DocSecurity>
  <Lines>58</Lines>
  <Paragraphs>16</Paragraphs>
  <ScaleCrop>false</ScaleCrop>
  <Company>TRT. Ltd. Co.</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166</cp:revision>
  <cp:lastPrinted>2007-07-19T00:46:00Z</cp:lastPrinted>
  <dcterms:created xsi:type="dcterms:W3CDTF">2012-11-28T02:28:00Z</dcterms:created>
  <dcterms:modified xsi:type="dcterms:W3CDTF">2023-10-24T07:54:00Z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