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摩根中债</w:t>
      </w:r>
      <w:r w:rsidRPr="00EE3DBC">
        <w:rPr>
          <w:rFonts w:eastAsiaTheme="minorEastAsia"/>
          <w:b/>
          <w:color w:val="000000" w:themeColor="text1"/>
          <w:sz w:val="36"/>
          <w:szCs w:val="36"/>
        </w:rPr>
        <w:t>1-3</w:t>
      </w:r>
      <w:r w:rsidRPr="00EE3DBC">
        <w:rPr>
          <w:rFonts w:eastAsiaTheme="minorEastAsia"/>
          <w:b/>
          <w:color w:val="000000" w:themeColor="text1"/>
          <w:sz w:val="36"/>
          <w:szCs w:val="36"/>
        </w:rPr>
        <w:t>年国开行债券指数证券投资基金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2</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6</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基金托管人：中国建设银行股份有限公司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报告送出日期：二〇二四年七月十九日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基金托管人中国建设银行股份有限公司根据本基金合同规定，于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18</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4</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6</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2021</w:t>
            </w:r>
            <w:r w:rsidRPr="00EE3DBC">
              <w:rPr>
                <w:rFonts w:eastAsiaTheme="minorEastAsia"/>
                <w:color w:val="000000" w:themeColor="text1"/>
                <w:kern w:val="0"/>
                <w:sz w:val="24"/>
              </w:rPr>
              <w:t>年</w:t>
            </w:r>
            <w:r w:rsidRPr="00EE3DBC">
              <w:rPr>
                <w:rFonts w:eastAsiaTheme="minorEastAsia"/>
                <w:color w:val="000000" w:themeColor="text1"/>
                <w:kern w:val="0"/>
                <w:sz w:val="24"/>
              </w:rPr>
              <w:t>8</w:t>
            </w:r>
            <w:r w:rsidRPr="00EE3DBC">
              <w:rPr>
                <w:rFonts w:eastAsiaTheme="minorEastAsia"/>
                <w:color w:val="000000" w:themeColor="text1"/>
                <w:kern w:val="0"/>
                <w:sz w:val="24"/>
              </w:rPr>
              <w:t>月</w:t>
            </w:r>
            <w:r w:rsidRPr="00EE3DBC">
              <w:rPr>
                <w:rFonts w:eastAsiaTheme="minorEastAsia"/>
                <w:color w:val="000000" w:themeColor="text1"/>
                <w:kern w:val="0"/>
                <w:sz w:val="24"/>
              </w:rPr>
              <w:t>9</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229,544,150.56</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本基金通过指数化投资，争取在扣除各项费用之前获得与标的指数相似的总回报，追求跟踪偏离度及跟踪误差的最小化。</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081757" w:rsidRDefault="00A246C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081757" w:rsidRDefault="00A246C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本基金将在降低跟踪误差和控制流动性风险的前提下构建指数化的投资组合。本基金投资于待偿期</w:t>
            </w:r>
            <w:r>
              <w:rPr>
                <w:rFonts w:eastAsiaTheme="minorEastAsia"/>
                <w:color w:val="000000" w:themeColor="text1"/>
                <w:kern w:val="0"/>
                <w:sz w:val="24"/>
              </w:rPr>
              <w:t>1</w:t>
            </w:r>
            <w:r>
              <w:rPr>
                <w:rFonts w:eastAsiaTheme="minorEastAsia"/>
                <w:color w:val="000000" w:themeColor="text1"/>
                <w:kern w:val="0"/>
                <w:sz w:val="24"/>
              </w:rPr>
              <w:t>年到</w:t>
            </w:r>
            <w:r>
              <w:rPr>
                <w:rFonts w:eastAsiaTheme="minorEastAsia"/>
                <w:color w:val="000000" w:themeColor="text1"/>
                <w:kern w:val="0"/>
                <w:sz w:val="24"/>
              </w:rPr>
              <w:t>3</w:t>
            </w:r>
            <w:r>
              <w:rPr>
                <w:rFonts w:eastAsiaTheme="minorEastAsia"/>
                <w:color w:val="000000" w:themeColor="text1"/>
                <w:kern w:val="0"/>
                <w:sz w:val="24"/>
              </w:rPr>
              <w:t>年的标的指数成份券和备选成份券的比例</w:t>
            </w:r>
            <w:r>
              <w:rPr>
                <w:rFonts w:eastAsiaTheme="minorEastAsia"/>
                <w:color w:val="000000" w:themeColor="text1"/>
                <w:kern w:val="0"/>
                <w:sz w:val="24"/>
              </w:rPr>
              <w:lastRenderedPageBreak/>
              <w:t>不低于本基金非现金基金资产的</w:t>
            </w:r>
            <w:r>
              <w:rPr>
                <w:rFonts w:eastAsiaTheme="minorEastAsia"/>
                <w:color w:val="000000" w:themeColor="text1"/>
                <w:kern w:val="0"/>
                <w:sz w:val="24"/>
              </w:rPr>
              <w:t>80%</w:t>
            </w:r>
            <w:r>
              <w:rPr>
                <w:rFonts w:eastAsiaTheme="minorEastAsia"/>
                <w:color w:val="000000" w:themeColor="text1"/>
                <w:kern w:val="0"/>
                <w:sz w:val="24"/>
              </w:rPr>
              <w:t>。</w:t>
            </w:r>
          </w:p>
          <w:p w:rsidR="00081757" w:rsidRDefault="00A246C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、债券投资策略</w:t>
            </w:r>
          </w:p>
          <w:p w:rsidR="00081757" w:rsidRDefault="00A246C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）抽样复制策略</w:t>
            </w:r>
          </w:p>
          <w:p w:rsidR="00081757" w:rsidRDefault="00A246C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本基金通过抽样复制方法跟踪标的指数的业绩表现。本基金将综合考虑债券流动性、收益性、久期等因素，选择流动性较好的成份债券构建投资组合。本基金可采取适当方法，如</w:t>
            </w:r>
            <w:r>
              <w:rPr>
                <w:rFonts w:eastAsiaTheme="minorEastAsia"/>
                <w:color w:val="000000" w:themeColor="text1"/>
                <w:kern w:val="0"/>
                <w:sz w:val="24"/>
              </w:rPr>
              <w:t>“</w:t>
            </w:r>
            <w:r>
              <w:rPr>
                <w:rFonts w:eastAsiaTheme="minorEastAsia"/>
                <w:color w:val="000000" w:themeColor="text1"/>
                <w:kern w:val="0"/>
                <w:sz w:val="24"/>
              </w:rPr>
              <w:t>久期盯住</w:t>
            </w:r>
            <w:r>
              <w:rPr>
                <w:rFonts w:eastAsiaTheme="minorEastAsia"/>
                <w:color w:val="000000" w:themeColor="text1"/>
                <w:kern w:val="0"/>
                <w:sz w:val="24"/>
              </w:rPr>
              <w:t>”</w:t>
            </w:r>
            <w:r>
              <w:rPr>
                <w:rFonts w:eastAsiaTheme="minorEastAsia"/>
                <w:color w:val="000000" w:themeColor="text1"/>
                <w:kern w:val="0"/>
                <w:sz w:val="24"/>
              </w:rPr>
              <w:t>等优化策略对基金资产进行调整，降低交易成本，以期尽量缩小跟踪误差。</w:t>
            </w:r>
          </w:p>
          <w:p w:rsidR="00081757" w:rsidRDefault="00A246C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）替代性策略</w:t>
            </w:r>
          </w:p>
          <w:p w:rsidR="00081757" w:rsidRDefault="00A246C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rsidR="00081757" w:rsidRDefault="00A246C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、其他投资策略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本基金为债券型基金，其预期风险与预期收益高于货币市场基金，低于混合型基金和股票型基金。</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中国建设银行股份有限公司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008844</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218,174,443.85</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11,369,706.71</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4</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6</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1,262,467.92</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82,795.62</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1,925,610.97</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135,068.57</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0.0101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0.0100</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226,464,480.00</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11,824,096.23</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1.0380</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1.0400</w:t>
            </w:r>
          </w:p>
        </w:tc>
      </w:tr>
    </w:tbl>
    <w:p w:rsidR="00081757" w:rsidRDefault="00A246C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w:t>
            </w:r>
            <w:r w:rsidRPr="00EE3DBC">
              <w:rPr>
                <w:rFonts w:eastAsiaTheme="minorEastAsia"/>
                <w:color w:val="000000" w:themeColor="text1"/>
                <w:szCs w:val="21"/>
              </w:rPr>
              <w:lastRenderedPageBreak/>
              <w:t>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lastRenderedPageBreak/>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081757">
        <w:tc>
          <w:tcPr>
            <w:tcW w:w="1290" w:type="dxa"/>
            <w:vAlign w:val="center"/>
          </w:tcPr>
          <w:p w:rsidR="00081757" w:rsidRDefault="00A246CD">
            <w:pPr>
              <w:jc w:val="left"/>
            </w:pPr>
            <w:r>
              <w:rPr>
                <w:rFonts w:eastAsiaTheme="minorEastAsia"/>
                <w:color w:val="000000" w:themeColor="text1"/>
                <w:szCs w:val="21"/>
              </w:rPr>
              <w:t>过去三个月</w:t>
            </w:r>
          </w:p>
        </w:tc>
        <w:tc>
          <w:tcPr>
            <w:tcW w:w="1291" w:type="dxa"/>
            <w:vAlign w:val="center"/>
          </w:tcPr>
          <w:p w:rsidR="00081757" w:rsidRDefault="00A246CD">
            <w:pPr>
              <w:jc w:val="right"/>
            </w:pPr>
            <w:r>
              <w:rPr>
                <w:rFonts w:eastAsiaTheme="minorEastAsia"/>
                <w:color w:val="000000" w:themeColor="text1"/>
                <w:szCs w:val="21"/>
              </w:rPr>
              <w:t>1.01%</w:t>
            </w:r>
          </w:p>
        </w:tc>
        <w:tc>
          <w:tcPr>
            <w:tcW w:w="1291" w:type="dxa"/>
            <w:vAlign w:val="center"/>
          </w:tcPr>
          <w:p w:rsidR="00081757" w:rsidRDefault="00A246CD">
            <w:pPr>
              <w:jc w:val="right"/>
            </w:pPr>
            <w:r>
              <w:rPr>
                <w:rFonts w:eastAsiaTheme="minorEastAsia"/>
                <w:color w:val="000000" w:themeColor="text1"/>
                <w:szCs w:val="21"/>
              </w:rPr>
              <w:t>0.05%</w:t>
            </w:r>
          </w:p>
        </w:tc>
        <w:tc>
          <w:tcPr>
            <w:tcW w:w="1291" w:type="dxa"/>
            <w:vAlign w:val="center"/>
          </w:tcPr>
          <w:p w:rsidR="00081757" w:rsidRDefault="00A246CD">
            <w:pPr>
              <w:jc w:val="right"/>
            </w:pPr>
            <w:r>
              <w:rPr>
                <w:rFonts w:eastAsiaTheme="minorEastAsia"/>
                <w:color w:val="000000" w:themeColor="text1"/>
                <w:szCs w:val="21"/>
              </w:rPr>
              <w:t>-0.13%</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1.14%</w:t>
            </w:r>
          </w:p>
        </w:tc>
        <w:tc>
          <w:tcPr>
            <w:tcW w:w="1291" w:type="dxa"/>
            <w:vAlign w:val="center"/>
          </w:tcPr>
          <w:p w:rsidR="00081757" w:rsidRDefault="00A246CD">
            <w:pPr>
              <w:jc w:val="right"/>
            </w:pPr>
            <w:r>
              <w:rPr>
                <w:rFonts w:eastAsiaTheme="minorEastAsia"/>
                <w:color w:val="000000" w:themeColor="text1"/>
                <w:szCs w:val="21"/>
              </w:rPr>
              <w:t>-0.01%</w:t>
            </w:r>
          </w:p>
        </w:tc>
      </w:tr>
      <w:tr w:rsidR="00081757">
        <w:tc>
          <w:tcPr>
            <w:tcW w:w="1290" w:type="dxa"/>
            <w:vAlign w:val="center"/>
          </w:tcPr>
          <w:p w:rsidR="00081757" w:rsidRDefault="00A246CD">
            <w:pPr>
              <w:jc w:val="left"/>
            </w:pPr>
            <w:r>
              <w:rPr>
                <w:rFonts w:eastAsiaTheme="minorEastAsia"/>
                <w:color w:val="000000" w:themeColor="text1"/>
                <w:szCs w:val="21"/>
              </w:rPr>
              <w:t>过去六个月</w:t>
            </w:r>
          </w:p>
        </w:tc>
        <w:tc>
          <w:tcPr>
            <w:tcW w:w="1291" w:type="dxa"/>
            <w:vAlign w:val="center"/>
          </w:tcPr>
          <w:p w:rsidR="00081757" w:rsidRDefault="00A246CD">
            <w:pPr>
              <w:jc w:val="right"/>
            </w:pPr>
            <w:r>
              <w:rPr>
                <w:rFonts w:eastAsiaTheme="minorEastAsia"/>
                <w:color w:val="000000" w:themeColor="text1"/>
                <w:szCs w:val="21"/>
              </w:rPr>
              <w:t>2.16%</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-0.30%</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2.46%</w:t>
            </w:r>
          </w:p>
        </w:tc>
        <w:tc>
          <w:tcPr>
            <w:tcW w:w="1291" w:type="dxa"/>
            <w:vAlign w:val="center"/>
          </w:tcPr>
          <w:p w:rsidR="00081757" w:rsidRDefault="00A246CD">
            <w:pPr>
              <w:jc w:val="right"/>
            </w:pPr>
            <w:r>
              <w:rPr>
                <w:rFonts w:eastAsiaTheme="minorEastAsia"/>
                <w:color w:val="000000" w:themeColor="text1"/>
                <w:szCs w:val="21"/>
              </w:rPr>
              <w:t>0.00%</w:t>
            </w:r>
          </w:p>
        </w:tc>
      </w:tr>
      <w:tr w:rsidR="00081757">
        <w:tc>
          <w:tcPr>
            <w:tcW w:w="1290" w:type="dxa"/>
            <w:vAlign w:val="center"/>
          </w:tcPr>
          <w:p w:rsidR="00081757" w:rsidRDefault="00A246CD">
            <w:pPr>
              <w:jc w:val="left"/>
            </w:pPr>
            <w:r>
              <w:rPr>
                <w:rFonts w:eastAsiaTheme="minorEastAsia"/>
                <w:color w:val="000000" w:themeColor="text1"/>
                <w:szCs w:val="21"/>
              </w:rPr>
              <w:t>过去一年</w:t>
            </w:r>
          </w:p>
        </w:tc>
        <w:tc>
          <w:tcPr>
            <w:tcW w:w="1291" w:type="dxa"/>
            <w:vAlign w:val="center"/>
          </w:tcPr>
          <w:p w:rsidR="00081757" w:rsidRDefault="00A246CD">
            <w:pPr>
              <w:jc w:val="right"/>
            </w:pPr>
            <w:r>
              <w:rPr>
                <w:rFonts w:eastAsiaTheme="minorEastAsia"/>
                <w:color w:val="000000" w:themeColor="text1"/>
                <w:szCs w:val="21"/>
              </w:rPr>
              <w:t>3.39%</w:t>
            </w:r>
          </w:p>
        </w:tc>
        <w:tc>
          <w:tcPr>
            <w:tcW w:w="1291" w:type="dxa"/>
            <w:vAlign w:val="center"/>
          </w:tcPr>
          <w:p w:rsidR="00081757" w:rsidRDefault="00A246CD">
            <w:pPr>
              <w:jc w:val="right"/>
            </w:pPr>
            <w:r>
              <w:rPr>
                <w:rFonts w:eastAsiaTheme="minorEastAsia"/>
                <w:color w:val="000000" w:themeColor="text1"/>
                <w:szCs w:val="21"/>
              </w:rPr>
              <w:t>0.05%</w:t>
            </w:r>
          </w:p>
        </w:tc>
        <w:tc>
          <w:tcPr>
            <w:tcW w:w="1291" w:type="dxa"/>
            <w:vAlign w:val="center"/>
          </w:tcPr>
          <w:p w:rsidR="00081757" w:rsidRDefault="00A246CD">
            <w:pPr>
              <w:jc w:val="right"/>
            </w:pPr>
            <w:r>
              <w:rPr>
                <w:rFonts w:eastAsiaTheme="minorEastAsia"/>
                <w:color w:val="000000" w:themeColor="text1"/>
                <w:szCs w:val="21"/>
              </w:rPr>
              <w:t>-0.51%</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3.90%</w:t>
            </w:r>
          </w:p>
        </w:tc>
        <w:tc>
          <w:tcPr>
            <w:tcW w:w="1291" w:type="dxa"/>
            <w:vAlign w:val="center"/>
          </w:tcPr>
          <w:p w:rsidR="00081757" w:rsidRDefault="00A246CD">
            <w:pPr>
              <w:jc w:val="right"/>
            </w:pPr>
            <w:r>
              <w:rPr>
                <w:rFonts w:eastAsiaTheme="minorEastAsia"/>
                <w:color w:val="000000" w:themeColor="text1"/>
                <w:szCs w:val="21"/>
              </w:rPr>
              <w:t>-0.01%</w:t>
            </w:r>
          </w:p>
        </w:tc>
      </w:tr>
      <w:tr w:rsidR="00081757">
        <w:tc>
          <w:tcPr>
            <w:tcW w:w="1290" w:type="dxa"/>
            <w:vAlign w:val="center"/>
          </w:tcPr>
          <w:p w:rsidR="00081757" w:rsidRDefault="00A246CD">
            <w:pPr>
              <w:jc w:val="left"/>
            </w:pPr>
            <w:r>
              <w:rPr>
                <w:rFonts w:eastAsiaTheme="minorEastAsia"/>
                <w:color w:val="000000" w:themeColor="text1"/>
                <w:szCs w:val="21"/>
              </w:rPr>
              <w:t>过去三年</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r>
      <w:tr w:rsidR="00081757">
        <w:tc>
          <w:tcPr>
            <w:tcW w:w="1290" w:type="dxa"/>
            <w:vAlign w:val="center"/>
          </w:tcPr>
          <w:p w:rsidR="00081757" w:rsidRDefault="00A246CD">
            <w:pPr>
              <w:jc w:val="left"/>
            </w:pPr>
            <w:r>
              <w:rPr>
                <w:rFonts w:eastAsiaTheme="minorEastAsia"/>
                <w:color w:val="000000" w:themeColor="text1"/>
                <w:szCs w:val="21"/>
              </w:rPr>
              <w:t>过去五年</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r>
      <w:tr w:rsidR="00081757">
        <w:tc>
          <w:tcPr>
            <w:tcW w:w="1290" w:type="dxa"/>
            <w:vAlign w:val="center"/>
          </w:tcPr>
          <w:p w:rsidR="00081757" w:rsidRDefault="00A246CD">
            <w:pPr>
              <w:jc w:val="left"/>
            </w:pPr>
            <w:r>
              <w:rPr>
                <w:rFonts w:eastAsiaTheme="minorEastAsia"/>
                <w:color w:val="000000" w:themeColor="text1"/>
                <w:szCs w:val="21"/>
              </w:rPr>
              <w:t>自基金合同生效起至今</w:t>
            </w:r>
          </w:p>
        </w:tc>
        <w:tc>
          <w:tcPr>
            <w:tcW w:w="1291" w:type="dxa"/>
            <w:vAlign w:val="center"/>
          </w:tcPr>
          <w:p w:rsidR="00081757" w:rsidRDefault="00A246CD">
            <w:pPr>
              <w:jc w:val="right"/>
            </w:pPr>
            <w:r>
              <w:rPr>
                <w:rFonts w:eastAsiaTheme="minorEastAsia"/>
                <w:color w:val="000000" w:themeColor="text1"/>
                <w:szCs w:val="21"/>
              </w:rPr>
              <w:t>8.91%</w:t>
            </w:r>
          </w:p>
        </w:tc>
        <w:tc>
          <w:tcPr>
            <w:tcW w:w="1291" w:type="dxa"/>
            <w:vAlign w:val="center"/>
          </w:tcPr>
          <w:p w:rsidR="00081757" w:rsidRDefault="00A246CD">
            <w:pPr>
              <w:jc w:val="right"/>
            </w:pPr>
            <w:r>
              <w:rPr>
                <w:rFonts w:eastAsiaTheme="minorEastAsia"/>
                <w:color w:val="000000" w:themeColor="text1"/>
                <w:szCs w:val="21"/>
              </w:rPr>
              <w:t>0.05%</w:t>
            </w:r>
          </w:p>
        </w:tc>
        <w:tc>
          <w:tcPr>
            <w:tcW w:w="1291" w:type="dxa"/>
            <w:vAlign w:val="center"/>
          </w:tcPr>
          <w:p w:rsidR="00081757" w:rsidRDefault="00A246CD">
            <w:pPr>
              <w:jc w:val="right"/>
            </w:pPr>
            <w:r>
              <w:rPr>
                <w:rFonts w:eastAsiaTheme="minorEastAsia"/>
                <w:color w:val="000000" w:themeColor="text1"/>
                <w:szCs w:val="21"/>
              </w:rPr>
              <w:t>-2.08%</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10.99%</w:t>
            </w:r>
          </w:p>
        </w:tc>
        <w:tc>
          <w:tcPr>
            <w:tcW w:w="1291" w:type="dxa"/>
            <w:vAlign w:val="center"/>
          </w:tcPr>
          <w:p w:rsidR="00081757" w:rsidRDefault="00A246CD">
            <w:pPr>
              <w:jc w:val="right"/>
            </w:pPr>
            <w:r>
              <w:rPr>
                <w:rFonts w:eastAsiaTheme="minorEastAsia"/>
                <w:color w:val="000000" w:themeColor="text1"/>
                <w:szCs w:val="21"/>
              </w:rPr>
              <w:t>-0.01%</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081757">
        <w:tc>
          <w:tcPr>
            <w:tcW w:w="1290" w:type="dxa"/>
            <w:vAlign w:val="center"/>
          </w:tcPr>
          <w:p w:rsidR="00081757" w:rsidRDefault="00A246CD">
            <w:pPr>
              <w:jc w:val="left"/>
            </w:pPr>
            <w:r>
              <w:rPr>
                <w:rFonts w:eastAsiaTheme="minorEastAsia"/>
                <w:color w:val="000000" w:themeColor="text1"/>
                <w:szCs w:val="21"/>
              </w:rPr>
              <w:t>过去三个月</w:t>
            </w:r>
          </w:p>
        </w:tc>
        <w:tc>
          <w:tcPr>
            <w:tcW w:w="1291" w:type="dxa"/>
            <w:vAlign w:val="center"/>
          </w:tcPr>
          <w:p w:rsidR="00081757" w:rsidRDefault="00A246CD">
            <w:pPr>
              <w:jc w:val="right"/>
            </w:pPr>
            <w:r>
              <w:rPr>
                <w:rFonts w:eastAsiaTheme="minorEastAsia"/>
                <w:color w:val="000000" w:themeColor="text1"/>
                <w:szCs w:val="21"/>
              </w:rPr>
              <w:t>0.99%</w:t>
            </w:r>
          </w:p>
        </w:tc>
        <w:tc>
          <w:tcPr>
            <w:tcW w:w="1291" w:type="dxa"/>
            <w:vAlign w:val="center"/>
          </w:tcPr>
          <w:p w:rsidR="00081757" w:rsidRDefault="00A246CD">
            <w:pPr>
              <w:jc w:val="right"/>
            </w:pPr>
            <w:r>
              <w:rPr>
                <w:rFonts w:eastAsiaTheme="minorEastAsia"/>
                <w:color w:val="000000" w:themeColor="text1"/>
                <w:szCs w:val="21"/>
              </w:rPr>
              <w:t>0.05%</w:t>
            </w:r>
          </w:p>
        </w:tc>
        <w:tc>
          <w:tcPr>
            <w:tcW w:w="1291" w:type="dxa"/>
            <w:vAlign w:val="center"/>
          </w:tcPr>
          <w:p w:rsidR="00081757" w:rsidRDefault="00A246CD">
            <w:pPr>
              <w:jc w:val="right"/>
            </w:pPr>
            <w:r>
              <w:rPr>
                <w:rFonts w:eastAsiaTheme="minorEastAsia"/>
                <w:color w:val="000000" w:themeColor="text1"/>
                <w:szCs w:val="21"/>
              </w:rPr>
              <w:t>-0.13%</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1.12%</w:t>
            </w:r>
          </w:p>
        </w:tc>
        <w:tc>
          <w:tcPr>
            <w:tcW w:w="1291" w:type="dxa"/>
            <w:vAlign w:val="center"/>
          </w:tcPr>
          <w:p w:rsidR="00081757" w:rsidRDefault="00A246CD">
            <w:pPr>
              <w:jc w:val="right"/>
            </w:pPr>
            <w:r>
              <w:rPr>
                <w:rFonts w:eastAsiaTheme="minorEastAsia"/>
                <w:color w:val="000000" w:themeColor="text1"/>
                <w:szCs w:val="21"/>
              </w:rPr>
              <w:t>-0.01%</w:t>
            </w:r>
          </w:p>
        </w:tc>
      </w:tr>
      <w:tr w:rsidR="00081757">
        <w:tc>
          <w:tcPr>
            <w:tcW w:w="1290" w:type="dxa"/>
            <w:vAlign w:val="center"/>
          </w:tcPr>
          <w:p w:rsidR="00081757" w:rsidRDefault="00A246CD">
            <w:pPr>
              <w:jc w:val="left"/>
            </w:pPr>
            <w:r>
              <w:rPr>
                <w:rFonts w:eastAsiaTheme="minorEastAsia"/>
                <w:color w:val="000000" w:themeColor="text1"/>
                <w:szCs w:val="21"/>
              </w:rPr>
              <w:t>过去六个月</w:t>
            </w:r>
          </w:p>
        </w:tc>
        <w:tc>
          <w:tcPr>
            <w:tcW w:w="1291" w:type="dxa"/>
            <w:vAlign w:val="center"/>
          </w:tcPr>
          <w:p w:rsidR="00081757" w:rsidRDefault="00A246CD">
            <w:pPr>
              <w:jc w:val="right"/>
            </w:pPr>
            <w:r>
              <w:rPr>
                <w:rFonts w:eastAsiaTheme="minorEastAsia"/>
                <w:color w:val="000000" w:themeColor="text1"/>
                <w:szCs w:val="21"/>
              </w:rPr>
              <w:t>2.11%</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-0.30%</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2.41%</w:t>
            </w:r>
          </w:p>
        </w:tc>
        <w:tc>
          <w:tcPr>
            <w:tcW w:w="1291" w:type="dxa"/>
            <w:vAlign w:val="center"/>
          </w:tcPr>
          <w:p w:rsidR="00081757" w:rsidRDefault="00A246CD">
            <w:pPr>
              <w:jc w:val="right"/>
            </w:pPr>
            <w:r>
              <w:rPr>
                <w:rFonts w:eastAsiaTheme="minorEastAsia"/>
                <w:color w:val="000000" w:themeColor="text1"/>
                <w:szCs w:val="21"/>
              </w:rPr>
              <w:t>0.00%</w:t>
            </w:r>
          </w:p>
        </w:tc>
      </w:tr>
      <w:tr w:rsidR="00081757">
        <w:tc>
          <w:tcPr>
            <w:tcW w:w="1290" w:type="dxa"/>
            <w:vAlign w:val="center"/>
          </w:tcPr>
          <w:p w:rsidR="00081757" w:rsidRDefault="00A246CD">
            <w:pPr>
              <w:jc w:val="left"/>
            </w:pPr>
            <w:r>
              <w:rPr>
                <w:rFonts w:eastAsiaTheme="minorEastAsia"/>
                <w:color w:val="000000" w:themeColor="text1"/>
                <w:szCs w:val="21"/>
              </w:rPr>
              <w:t>过去一年</w:t>
            </w:r>
          </w:p>
        </w:tc>
        <w:tc>
          <w:tcPr>
            <w:tcW w:w="1291" w:type="dxa"/>
            <w:vAlign w:val="center"/>
          </w:tcPr>
          <w:p w:rsidR="00081757" w:rsidRDefault="00A246CD">
            <w:pPr>
              <w:jc w:val="right"/>
            </w:pPr>
            <w:r>
              <w:rPr>
                <w:rFonts w:eastAsiaTheme="minorEastAsia"/>
                <w:color w:val="000000" w:themeColor="text1"/>
                <w:szCs w:val="21"/>
              </w:rPr>
              <w:t>3.30%</w:t>
            </w:r>
          </w:p>
        </w:tc>
        <w:tc>
          <w:tcPr>
            <w:tcW w:w="1291" w:type="dxa"/>
            <w:vAlign w:val="center"/>
          </w:tcPr>
          <w:p w:rsidR="00081757" w:rsidRDefault="00A246CD">
            <w:pPr>
              <w:jc w:val="right"/>
            </w:pPr>
            <w:r>
              <w:rPr>
                <w:rFonts w:eastAsiaTheme="minorEastAsia"/>
                <w:color w:val="000000" w:themeColor="text1"/>
                <w:szCs w:val="21"/>
              </w:rPr>
              <w:t>0.05%</w:t>
            </w:r>
          </w:p>
        </w:tc>
        <w:tc>
          <w:tcPr>
            <w:tcW w:w="1291" w:type="dxa"/>
            <w:vAlign w:val="center"/>
          </w:tcPr>
          <w:p w:rsidR="00081757" w:rsidRDefault="00A246CD">
            <w:pPr>
              <w:jc w:val="right"/>
            </w:pPr>
            <w:r>
              <w:rPr>
                <w:rFonts w:eastAsiaTheme="minorEastAsia"/>
                <w:color w:val="000000" w:themeColor="text1"/>
                <w:szCs w:val="21"/>
              </w:rPr>
              <w:t>-0.51%</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3.81%</w:t>
            </w:r>
          </w:p>
        </w:tc>
        <w:tc>
          <w:tcPr>
            <w:tcW w:w="1291" w:type="dxa"/>
            <w:vAlign w:val="center"/>
          </w:tcPr>
          <w:p w:rsidR="00081757" w:rsidRDefault="00A246CD">
            <w:pPr>
              <w:jc w:val="right"/>
            </w:pPr>
            <w:r>
              <w:rPr>
                <w:rFonts w:eastAsiaTheme="minorEastAsia"/>
                <w:color w:val="000000" w:themeColor="text1"/>
                <w:szCs w:val="21"/>
              </w:rPr>
              <w:t>-0.01%</w:t>
            </w:r>
          </w:p>
        </w:tc>
      </w:tr>
      <w:tr w:rsidR="00081757">
        <w:tc>
          <w:tcPr>
            <w:tcW w:w="1290" w:type="dxa"/>
            <w:vAlign w:val="center"/>
          </w:tcPr>
          <w:p w:rsidR="00081757" w:rsidRDefault="00A246CD">
            <w:pPr>
              <w:jc w:val="left"/>
            </w:pPr>
            <w:r>
              <w:rPr>
                <w:rFonts w:eastAsiaTheme="minorEastAsia"/>
                <w:color w:val="000000" w:themeColor="text1"/>
                <w:szCs w:val="21"/>
              </w:rPr>
              <w:t>过去三年</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r>
      <w:tr w:rsidR="00081757">
        <w:tc>
          <w:tcPr>
            <w:tcW w:w="1290" w:type="dxa"/>
            <w:vAlign w:val="center"/>
          </w:tcPr>
          <w:p w:rsidR="00081757" w:rsidRDefault="00A246CD">
            <w:pPr>
              <w:jc w:val="left"/>
            </w:pPr>
            <w:r>
              <w:rPr>
                <w:rFonts w:eastAsiaTheme="minorEastAsia"/>
                <w:color w:val="000000" w:themeColor="text1"/>
                <w:szCs w:val="21"/>
              </w:rPr>
              <w:t>过去五年</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c>
          <w:tcPr>
            <w:tcW w:w="1291" w:type="dxa"/>
            <w:vAlign w:val="center"/>
          </w:tcPr>
          <w:p w:rsidR="00081757" w:rsidRDefault="00A246CD">
            <w:pPr>
              <w:jc w:val="right"/>
            </w:pPr>
            <w:r>
              <w:rPr>
                <w:rFonts w:eastAsiaTheme="minorEastAsia"/>
                <w:color w:val="000000" w:themeColor="text1"/>
                <w:szCs w:val="21"/>
              </w:rPr>
              <w:t>-</w:t>
            </w:r>
          </w:p>
        </w:tc>
      </w:tr>
      <w:tr w:rsidR="00081757">
        <w:tc>
          <w:tcPr>
            <w:tcW w:w="1290" w:type="dxa"/>
            <w:vAlign w:val="center"/>
          </w:tcPr>
          <w:p w:rsidR="00081757" w:rsidRDefault="00A246CD">
            <w:pPr>
              <w:jc w:val="left"/>
            </w:pPr>
            <w:r>
              <w:rPr>
                <w:rFonts w:eastAsiaTheme="minorEastAsia"/>
                <w:color w:val="000000" w:themeColor="text1"/>
                <w:szCs w:val="21"/>
              </w:rPr>
              <w:t>自基金合同生效起至今</w:t>
            </w:r>
          </w:p>
        </w:tc>
        <w:tc>
          <w:tcPr>
            <w:tcW w:w="1291" w:type="dxa"/>
            <w:vAlign w:val="center"/>
          </w:tcPr>
          <w:p w:rsidR="00081757" w:rsidRDefault="00A246CD">
            <w:pPr>
              <w:jc w:val="right"/>
            </w:pPr>
            <w:r>
              <w:rPr>
                <w:rFonts w:eastAsiaTheme="minorEastAsia"/>
                <w:color w:val="000000" w:themeColor="text1"/>
                <w:szCs w:val="21"/>
              </w:rPr>
              <w:t>8.45%</w:t>
            </w:r>
          </w:p>
        </w:tc>
        <w:tc>
          <w:tcPr>
            <w:tcW w:w="1291" w:type="dxa"/>
            <w:vAlign w:val="center"/>
          </w:tcPr>
          <w:p w:rsidR="00081757" w:rsidRDefault="00A246CD">
            <w:pPr>
              <w:jc w:val="right"/>
            </w:pPr>
            <w:r>
              <w:rPr>
                <w:rFonts w:eastAsiaTheme="minorEastAsia"/>
                <w:color w:val="000000" w:themeColor="text1"/>
                <w:szCs w:val="21"/>
              </w:rPr>
              <w:t>0.05%</w:t>
            </w:r>
          </w:p>
        </w:tc>
        <w:tc>
          <w:tcPr>
            <w:tcW w:w="1291" w:type="dxa"/>
            <w:vAlign w:val="center"/>
          </w:tcPr>
          <w:p w:rsidR="00081757" w:rsidRDefault="00A246CD">
            <w:pPr>
              <w:jc w:val="right"/>
            </w:pPr>
            <w:r>
              <w:rPr>
                <w:rFonts w:eastAsiaTheme="minorEastAsia"/>
                <w:color w:val="000000" w:themeColor="text1"/>
                <w:szCs w:val="21"/>
              </w:rPr>
              <w:t>-2.08%</w:t>
            </w:r>
          </w:p>
        </w:tc>
        <w:tc>
          <w:tcPr>
            <w:tcW w:w="1291" w:type="dxa"/>
            <w:vAlign w:val="center"/>
          </w:tcPr>
          <w:p w:rsidR="00081757" w:rsidRDefault="00A246CD">
            <w:pPr>
              <w:jc w:val="right"/>
            </w:pPr>
            <w:r>
              <w:rPr>
                <w:rFonts w:eastAsiaTheme="minorEastAsia"/>
                <w:color w:val="000000" w:themeColor="text1"/>
                <w:szCs w:val="21"/>
              </w:rPr>
              <w:t>0.06%</w:t>
            </w:r>
          </w:p>
        </w:tc>
        <w:tc>
          <w:tcPr>
            <w:tcW w:w="1291" w:type="dxa"/>
            <w:vAlign w:val="center"/>
          </w:tcPr>
          <w:p w:rsidR="00081757" w:rsidRDefault="00A246CD">
            <w:pPr>
              <w:jc w:val="right"/>
            </w:pPr>
            <w:r>
              <w:rPr>
                <w:rFonts w:eastAsiaTheme="minorEastAsia"/>
                <w:color w:val="000000" w:themeColor="text1"/>
                <w:szCs w:val="21"/>
              </w:rPr>
              <w:t>10.53%</w:t>
            </w:r>
          </w:p>
        </w:tc>
        <w:tc>
          <w:tcPr>
            <w:tcW w:w="1291" w:type="dxa"/>
            <w:vAlign w:val="center"/>
          </w:tcPr>
          <w:p w:rsidR="00081757" w:rsidRDefault="00A246CD">
            <w:pPr>
              <w:jc w:val="right"/>
            </w:pPr>
            <w:r>
              <w:rPr>
                <w:rFonts w:eastAsiaTheme="minorEastAsia"/>
                <w:color w:val="000000" w:themeColor="text1"/>
                <w:szCs w:val="21"/>
              </w:rPr>
              <w:t>-0.01%</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(2021</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8</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6</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81757" w:rsidRDefault="00A246C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81757" w:rsidRDefault="00A246C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w:t>
      </w:r>
      <w:r w:rsidRPr="00EE3DBC">
        <w:rPr>
          <w:rFonts w:eastAsiaTheme="minorEastAsia"/>
          <w:color w:val="000000" w:themeColor="text1"/>
          <w:szCs w:val="21"/>
        </w:rPr>
        <w:lastRenderedPageBreak/>
        <w:t>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081757">
        <w:tc>
          <w:tcPr>
            <w:tcW w:w="952" w:type="dxa"/>
            <w:vAlign w:val="center"/>
          </w:tcPr>
          <w:p w:rsidR="00081757" w:rsidRDefault="00A246CD">
            <w:pPr>
              <w:jc w:val="center"/>
            </w:pPr>
            <w:r>
              <w:rPr>
                <w:rFonts w:eastAsiaTheme="minorEastAsia"/>
                <w:color w:val="000000" w:themeColor="text1"/>
                <w:sz w:val="24"/>
              </w:rPr>
              <w:t>雷杨娟</w:t>
            </w:r>
          </w:p>
        </w:tc>
        <w:tc>
          <w:tcPr>
            <w:tcW w:w="930" w:type="dxa"/>
            <w:vAlign w:val="center"/>
          </w:tcPr>
          <w:p w:rsidR="00081757" w:rsidRDefault="00A246CD">
            <w:pPr>
              <w:jc w:val="center"/>
            </w:pPr>
            <w:r>
              <w:rPr>
                <w:rFonts w:eastAsiaTheme="minorEastAsia"/>
                <w:color w:val="000000" w:themeColor="text1"/>
                <w:sz w:val="24"/>
              </w:rPr>
              <w:t>本基金基金经理</w:t>
            </w:r>
          </w:p>
        </w:tc>
        <w:tc>
          <w:tcPr>
            <w:tcW w:w="1210" w:type="dxa"/>
            <w:vAlign w:val="center"/>
          </w:tcPr>
          <w:p w:rsidR="00081757" w:rsidRDefault="00A246CD">
            <w:pPr>
              <w:jc w:val="center"/>
            </w:pPr>
            <w:r>
              <w:rPr>
                <w:rFonts w:eastAsiaTheme="minorEastAsia"/>
                <w:color w:val="000000" w:themeColor="text1"/>
                <w:sz w:val="24"/>
              </w:rPr>
              <w:t>2021-08-20</w:t>
            </w:r>
          </w:p>
        </w:tc>
        <w:tc>
          <w:tcPr>
            <w:tcW w:w="1309" w:type="dxa"/>
            <w:vAlign w:val="center"/>
          </w:tcPr>
          <w:p w:rsidR="00081757" w:rsidRDefault="00A246CD">
            <w:pPr>
              <w:jc w:val="center"/>
            </w:pPr>
            <w:r>
              <w:rPr>
                <w:rFonts w:eastAsiaTheme="minorEastAsia"/>
                <w:color w:val="000000" w:themeColor="text1"/>
                <w:sz w:val="24"/>
              </w:rPr>
              <w:t>2024-06-03</w:t>
            </w:r>
          </w:p>
        </w:tc>
        <w:tc>
          <w:tcPr>
            <w:tcW w:w="1254" w:type="dxa"/>
            <w:vAlign w:val="center"/>
          </w:tcPr>
          <w:p w:rsidR="00081757" w:rsidRDefault="00A246CD">
            <w:pPr>
              <w:jc w:val="center"/>
            </w:pPr>
            <w:r>
              <w:rPr>
                <w:rFonts w:eastAsiaTheme="minorEastAsia"/>
                <w:color w:val="000000" w:themeColor="text1"/>
                <w:sz w:val="24"/>
              </w:rPr>
              <w:t>18</w:t>
            </w:r>
            <w:r>
              <w:rPr>
                <w:rFonts w:eastAsiaTheme="minorEastAsia"/>
                <w:color w:val="000000" w:themeColor="text1"/>
                <w:sz w:val="24"/>
              </w:rPr>
              <w:t>年</w:t>
            </w:r>
          </w:p>
        </w:tc>
        <w:tc>
          <w:tcPr>
            <w:tcW w:w="3276" w:type="dxa"/>
            <w:vAlign w:val="center"/>
          </w:tcPr>
          <w:p w:rsidR="00081757" w:rsidRDefault="00A246CD">
            <w:r>
              <w:rPr>
                <w:rFonts w:eastAsiaTheme="minorEastAsia"/>
                <w:color w:val="000000" w:themeColor="text1"/>
                <w:sz w:val="24"/>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月起加入摩根基金管理（中国）有限公司（原上投摩根基金管理有限公司），历任专户投资二部副总监兼资深投资经理，现任债券投资部副总监兼资深基金经理。</w:t>
            </w:r>
          </w:p>
        </w:tc>
      </w:tr>
      <w:tr w:rsidR="00081757">
        <w:tc>
          <w:tcPr>
            <w:tcW w:w="952" w:type="dxa"/>
            <w:vAlign w:val="center"/>
          </w:tcPr>
          <w:p w:rsidR="00081757" w:rsidRDefault="00A246CD">
            <w:pPr>
              <w:jc w:val="center"/>
            </w:pPr>
            <w:r>
              <w:rPr>
                <w:rFonts w:eastAsiaTheme="minorEastAsia"/>
                <w:color w:val="000000" w:themeColor="text1"/>
                <w:sz w:val="24"/>
              </w:rPr>
              <w:t>文雪婷</w:t>
            </w:r>
          </w:p>
        </w:tc>
        <w:tc>
          <w:tcPr>
            <w:tcW w:w="930" w:type="dxa"/>
            <w:vAlign w:val="center"/>
          </w:tcPr>
          <w:p w:rsidR="00081757" w:rsidRDefault="00A246CD">
            <w:pPr>
              <w:jc w:val="center"/>
            </w:pPr>
            <w:r>
              <w:rPr>
                <w:rFonts w:eastAsiaTheme="minorEastAsia"/>
                <w:color w:val="000000" w:themeColor="text1"/>
                <w:sz w:val="24"/>
              </w:rPr>
              <w:t>本基金基金经理</w:t>
            </w:r>
          </w:p>
        </w:tc>
        <w:tc>
          <w:tcPr>
            <w:tcW w:w="1210" w:type="dxa"/>
            <w:vAlign w:val="center"/>
          </w:tcPr>
          <w:p w:rsidR="00081757" w:rsidRDefault="00A246CD">
            <w:pPr>
              <w:jc w:val="center"/>
            </w:pPr>
            <w:r>
              <w:rPr>
                <w:rFonts w:eastAsiaTheme="minorEastAsia"/>
                <w:color w:val="000000" w:themeColor="text1"/>
                <w:sz w:val="24"/>
              </w:rPr>
              <w:t>2024-06-03</w:t>
            </w:r>
          </w:p>
        </w:tc>
        <w:tc>
          <w:tcPr>
            <w:tcW w:w="1309" w:type="dxa"/>
            <w:vAlign w:val="center"/>
          </w:tcPr>
          <w:p w:rsidR="00081757" w:rsidRDefault="00A246CD">
            <w:pPr>
              <w:jc w:val="center"/>
            </w:pPr>
            <w:r>
              <w:rPr>
                <w:rFonts w:eastAsiaTheme="minorEastAsia"/>
                <w:color w:val="000000" w:themeColor="text1"/>
                <w:sz w:val="24"/>
              </w:rPr>
              <w:t>-</w:t>
            </w:r>
          </w:p>
        </w:tc>
        <w:tc>
          <w:tcPr>
            <w:tcW w:w="1254" w:type="dxa"/>
            <w:vAlign w:val="center"/>
          </w:tcPr>
          <w:p w:rsidR="00081757" w:rsidRDefault="00A246CD">
            <w:pPr>
              <w:jc w:val="center"/>
            </w:pPr>
            <w:r>
              <w:rPr>
                <w:rFonts w:eastAsiaTheme="minorEastAsia"/>
                <w:color w:val="000000" w:themeColor="text1"/>
                <w:sz w:val="24"/>
              </w:rPr>
              <w:t>7</w:t>
            </w:r>
            <w:r>
              <w:rPr>
                <w:rFonts w:eastAsiaTheme="minorEastAsia"/>
                <w:color w:val="000000" w:themeColor="text1"/>
                <w:sz w:val="24"/>
              </w:rPr>
              <w:t>年</w:t>
            </w:r>
          </w:p>
        </w:tc>
        <w:tc>
          <w:tcPr>
            <w:tcW w:w="3276" w:type="dxa"/>
            <w:vAlign w:val="center"/>
          </w:tcPr>
          <w:p w:rsidR="00081757" w:rsidRDefault="00A246CD">
            <w:r>
              <w:rPr>
                <w:rFonts w:eastAsiaTheme="minorEastAsia"/>
                <w:color w:val="000000" w:themeColor="text1"/>
                <w:sz w:val="24"/>
              </w:rPr>
              <w:t>文雪婷女士曾任泰康资产管理有限责任公司资产配置研究高级经理；自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月加入摩根基金管理（中国）有限公司（原上投摩根基金管理有限公司），历任宏观研究员、基金经理助理</w:t>
            </w:r>
            <w:r>
              <w:rPr>
                <w:rFonts w:eastAsiaTheme="minorEastAsia"/>
                <w:color w:val="000000" w:themeColor="text1"/>
                <w:sz w:val="24"/>
              </w:rPr>
              <w:t>/</w:t>
            </w:r>
            <w:r>
              <w:rPr>
                <w:rFonts w:eastAsiaTheme="minorEastAsia"/>
                <w:color w:val="000000" w:themeColor="text1"/>
                <w:sz w:val="24"/>
              </w:rPr>
              <w:t>宏观研究员，现任基金经理。</w:t>
            </w:r>
          </w:p>
        </w:tc>
      </w:tr>
    </w:tbl>
    <w:p w:rsidR="00081757" w:rsidRDefault="00A246C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w:t>
      </w:r>
      <w:r w:rsidRPr="00EE3DBC">
        <w:rPr>
          <w:rFonts w:eastAsiaTheme="minorEastAsia"/>
          <w:color w:val="000000" w:themeColor="text1"/>
          <w:kern w:val="0"/>
          <w:sz w:val="24"/>
        </w:rPr>
        <w:lastRenderedPageBreak/>
        <w:t>投资组合的投资指标被动偏离相关比例要求的情形，但已在规定时间内调整完毕。</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081757" w:rsidRDefault="00A246C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81757" w:rsidRDefault="00A246C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kern w:val="0"/>
          <w:sz w:val="24"/>
        </w:rPr>
        <w:t>，本公司通过对手库控制和交易室询价机制，严格防范对手风险并检查价格公允性；对于申购投资行为，本公司遵循价格优先、比例分配的原则，根据事前独立申报的价格和数量对交易结果进行公平分配。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081757" w:rsidRDefault="00A246C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081757" w:rsidRDefault="00A246C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2024</w:t>
      </w:r>
      <w:r>
        <w:rPr>
          <w:rFonts w:eastAsiaTheme="minorEastAsia"/>
          <w:color w:val="000000" w:themeColor="text1"/>
          <w:kern w:val="0"/>
          <w:sz w:val="24"/>
        </w:rPr>
        <w:t>年</w:t>
      </w:r>
      <w:r>
        <w:rPr>
          <w:rFonts w:eastAsiaTheme="minorEastAsia"/>
          <w:color w:val="000000" w:themeColor="text1"/>
          <w:kern w:val="0"/>
          <w:sz w:val="24"/>
        </w:rPr>
        <w:t>2</w:t>
      </w:r>
      <w:r>
        <w:rPr>
          <w:rFonts w:eastAsiaTheme="minorEastAsia"/>
          <w:color w:val="000000" w:themeColor="text1"/>
          <w:kern w:val="0"/>
          <w:sz w:val="24"/>
        </w:rPr>
        <w:t>季度，经济维持了偏弱的态势，剔除基数效应后的实际</w:t>
      </w:r>
      <w:r>
        <w:rPr>
          <w:rFonts w:eastAsiaTheme="minorEastAsia"/>
          <w:color w:val="000000" w:themeColor="text1"/>
          <w:kern w:val="0"/>
          <w:sz w:val="24"/>
        </w:rPr>
        <w:t>GDP</w:t>
      </w:r>
      <w:r>
        <w:rPr>
          <w:rFonts w:eastAsiaTheme="minorEastAsia"/>
          <w:color w:val="000000" w:themeColor="text1"/>
          <w:kern w:val="0"/>
          <w:sz w:val="24"/>
        </w:rPr>
        <w:t>增速偏低，通胀水平也无明显回升。债券市场延续了资产荒的行情，在利率债发行偏慢、权益市场偏弱、地产市场低迷的背景下，债券市场的资金持续涌入。特别是在</w:t>
      </w:r>
      <w:r>
        <w:rPr>
          <w:rFonts w:eastAsiaTheme="minorEastAsia"/>
          <w:color w:val="000000" w:themeColor="text1"/>
          <w:kern w:val="0"/>
          <w:sz w:val="24"/>
        </w:rPr>
        <w:t>4</w:t>
      </w:r>
      <w:r>
        <w:rPr>
          <w:rFonts w:eastAsiaTheme="minorEastAsia"/>
          <w:color w:val="000000" w:themeColor="text1"/>
          <w:kern w:val="0"/>
          <w:sz w:val="24"/>
        </w:rPr>
        <w:t>月中旬开始央行压降手工调息活期存款，重点打击大行的高息揽储行为，资金从银行存款向非银分流，进一步助推了债市资金的增加。同时因为压降手工调</w:t>
      </w:r>
      <w:r>
        <w:rPr>
          <w:rFonts w:eastAsiaTheme="minorEastAsia"/>
          <w:color w:val="000000" w:themeColor="text1"/>
          <w:kern w:val="0"/>
          <w:sz w:val="24"/>
        </w:rPr>
        <w:lastRenderedPageBreak/>
        <w:t>息减弱了资金空</w:t>
      </w:r>
      <w:r>
        <w:rPr>
          <w:rFonts w:eastAsiaTheme="minorEastAsia"/>
          <w:color w:val="000000" w:themeColor="text1"/>
          <w:kern w:val="0"/>
          <w:sz w:val="24"/>
        </w:rPr>
        <w:t>转，贷款特别是企业贷款也出现了明显的回落。整体基本面有利于债券收益率的下行。非银在中长端的持续买入也导致长端收益率在</w:t>
      </w:r>
      <w:r>
        <w:rPr>
          <w:rFonts w:eastAsiaTheme="minorEastAsia"/>
          <w:color w:val="000000" w:themeColor="text1"/>
          <w:kern w:val="0"/>
          <w:sz w:val="24"/>
        </w:rPr>
        <w:t>6</w:t>
      </w:r>
      <w:r>
        <w:rPr>
          <w:rFonts w:eastAsiaTheme="minorEastAsia"/>
          <w:color w:val="000000" w:themeColor="text1"/>
          <w:kern w:val="0"/>
          <w:sz w:val="24"/>
        </w:rPr>
        <w:t>月加速下行。</w:t>
      </w:r>
    </w:p>
    <w:p w:rsidR="00081757" w:rsidRDefault="00A246C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但在债券收益率下行的背景下，央行的表态或成为影响市场的重要变量。</w:t>
      </w:r>
      <w:r>
        <w:rPr>
          <w:rFonts w:eastAsiaTheme="minorEastAsia"/>
          <w:color w:val="000000" w:themeColor="text1"/>
          <w:kern w:val="0"/>
          <w:sz w:val="24"/>
        </w:rPr>
        <w:t>4</w:t>
      </w:r>
      <w:r>
        <w:rPr>
          <w:rFonts w:eastAsiaTheme="minorEastAsia"/>
          <w:color w:val="000000" w:themeColor="text1"/>
          <w:kern w:val="0"/>
          <w:sz w:val="24"/>
        </w:rPr>
        <w:t>月以来央行多次提示中长端利率风险，在</w:t>
      </w:r>
      <w:r>
        <w:rPr>
          <w:rFonts w:eastAsiaTheme="minorEastAsia"/>
          <w:color w:val="000000" w:themeColor="text1"/>
          <w:kern w:val="0"/>
          <w:sz w:val="24"/>
        </w:rPr>
        <w:t>4</w:t>
      </w:r>
      <w:r>
        <w:rPr>
          <w:rFonts w:eastAsiaTheme="minorEastAsia"/>
          <w:color w:val="000000" w:themeColor="text1"/>
          <w:kern w:val="0"/>
          <w:sz w:val="24"/>
        </w:rPr>
        <w:t>月债券收益率快速下行后，</w:t>
      </w:r>
      <w:r>
        <w:rPr>
          <w:rFonts w:eastAsiaTheme="minorEastAsia"/>
          <w:color w:val="000000" w:themeColor="text1"/>
          <w:kern w:val="0"/>
          <w:sz w:val="24"/>
        </w:rPr>
        <w:t>4</w:t>
      </w:r>
      <w:r>
        <w:rPr>
          <w:rFonts w:eastAsiaTheme="minorEastAsia"/>
          <w:color w:val="000000" w:themeColor="text1"/>
          <w:kern w:val="0"/>
          <w:sz w:val="24"/>
        </w:rPr>
        <w:t>月</w:t>
      </w:r>
      <w:r>
        <w:rPr>
          <w:rFonts w:eastAsiaTheme="minorEastAsia"/>
          <w:color w:val="000000" w:themeColor="text1"/>
          <w:kern w:val="0"/>
          <w:sz w:val="24"/>
        </w:rPr>
        <w:t>23</w:t>
      </w:r>
      <w:r>
        <w:rPr>
          <w:rFonts w:eastAsiaTheme="minorEastAsia"/>
          <w:color w:val="000000" w:themeColor="text1"/>
          <w:kern w:val="0"/>
          <w:sz w:val="24"/>
        </w:rPr>
        <w:t>日金融时报的表态驱动中长端利率明显上行，一周内</w:t>
      </w:r>
      <w:r>
        <w:rPr>
          <w:rFonts w:eastAsiaTheme="minorEastAsia"/>
          <w:color w:val="000000" w:themeColor="text1"/>
          <w:kern w:val="0"/>
          <w:sz w:val="24"/>
        </w:rPr>
        <w:t>30</w:t>
      </w:r>
      <w:r>
        <w:rPr>
          <w:rFonts w:eastAsiaTheme="minorEastAsia"/>
          <w:color w:val="000000" w:themeColor="text1"/>
          <w:kern w:val="0"/>
          <w:sz w:val="24"/>
        </w:rPr>
        <w:t>年国债收益率从</w:t>
      </w:r>
      <w:r>
        <w:rPr>
          <w:rFonts w:eastAsiaTheme="minorEastAsia"/>
          <w:color w:val="000000" w:themeColor="text1"/>
          <w:kern w:val="0"/>
          <w:sz w:val="24"/>
        </w:rPr>
        <w:t>2.42%</w:t>
      </w:r>
      <w:r>
        <w:rPr>
          <w:rFonts w:eastAsiaTheme="minorEastAsia"/>
          <w:color w:val="000000" w:themeColor="text1"/>
          <w:kern w:val="0"/>
          <w:sz w:val="24"/>
        </w:rPr>
        <w:t>上行至</w:t>
      </w:r>
      <w:r>
        <w:rPr>
          <w:rFonts w:eastAsiaTheme="minorEastAsia"/>
          <w:color w:val="000000" w:themeColor="text1"/>
          <w:kern w:val="0"/>
          <w:sz w:val="24"/>
        </w:rPr>
        <w:t>2.58%</w:t>
      </w:r>
      <w:r>
        <w:rPr>
          <w:rFonts w:eastAsiaTheme="minorEastAsia"/>
          <w:color w:val="000000" w:themeColor="text1"/>
          <w:kern w:val="0"/>
          <w:sz w:val="24"/>
        </w:rPr>
        <w:t>，</w:t>
      </w:r>
      <w:r>
        <w:rPr>
          <w:rFonts w:eastAsiaTheme="minorEastAsia"/>
          <w:color w:val="000000" w:themeColor="text1"/>
          <w:kern w:val="0"/>
          <w:sz w:val="24"/>
        </w:rPr>
        <w:t>10</w:t>
      </w:r>
      <w:r>
        <w:rPr>
          <w:rFonts w:eastAsiaTheme="minorEastAsia"/>
          <w:color w:val="000000" w:themeColor="text1"/>
          <w:kern w:val="0"/>
          <w:sz w:val="24"/>
        </w:rPr>
        <w:t>年国债收益率从</w:t>
      </w:r>
      <w:r>
        <w:rPr>
          <w:rFonts w:eastAsiaTheme="minorEastAsia"/>
          <w:color w:val="000000" w:themeColor="text1"/>
          <w:kern w:val="0"/>
          <w:sz w:val="24"/>
        </w:rPr>
        <w:t>2.22%</w:t>
      </w:r>
      <w:r>
        <w:rPr>
          <w:rFonts w:eastAsiaTheme="minorEastAsia"/>
          <w:color w:val="000000" w:themeColor="text1"/>
          <w:kern w:val="0"/>
          <w:sz w:val="24"/>
        </w:rPr>
        <w:t>上行至</w:t>
      </w:r>
      <w:r>
        <w:rPr>
          <w:rFonts w:eastAsiaTheme="minorEastAsia"/>
          <w:color w:val="000000" w:themeColor="text1"/>
          <w:kern w:val="0"/>
          <w:sz w:val="24"/>
        </w:rPr>
        <w:t>2.35%</w:t>
      </w:r>
      <w:r>
        <w:rPr>
          <w:rFonts w:eastAsiaTheme="minorEastAsia"/>
          <w:color w:val="000000" w:themeColor="text1"/>
          <w:kern w:val="0"/>
          <w:sz w:val="24"/>
        </w:rPr>
        <w:t>。随后市场偏震荡，进入</w:t>
      </w:r>
      <w:r>
        <w:rPr>
          <w:rFonts w:eastAsiaTheme="minorEastAsia"/>
          <w:color w:val="000000" w:themeColor="text1"/>
          <w:kern w:val="0"/>
          <w:sz w:val="24"/>
        </w:rPr>
        <w:t>6</w:t>
      </w:r>
      <w:r>
        <w:rPr>
          <w:rFonts w:eastAsiaTheme="minorEastAsia"/>
          <w:color w:val="000000" w:themeColor="text1"/>
          <w:kern w:val="0"/>
          <w:sz w:val="24"/>
        </w:rPr>
        <w:t>月资金明显偏松，驱动收益率不断下行，</w:t>
      </w:r>
      <w:r>
        <w:rPr>
          <w:rFonts w:eastAsiaTheme="minorEastAsia"/>
          <w:color w:val="000000" w:themeColor="text1"/>
          <w:kern w:val="0"/>
          <w:sz w:val="24"/>
        </w:rPr>
        <w:t>10</w:t>
      </w:r>
      <w:r>
        <w:rPr>
          <w:rFonts w:eastAsiaTheme="minorEastAsia"/>
          <w:color w:val="000000" w:themeColor="text1"/>
          <w:kern w:val="0"/>
          <w:sz w:val="24"/>
        </w:rPr>
        <w:t>年国债收益率再度下行至</w:t>
      </w:r>
      <w:r>
        <w:rPr>
          <w:rFonts w:eastAsiaTheme="minorEastAsia"/>
          <w:color w:val="000000" w:themeColor="text1"/>
          <w:kern w:val="0"/>
          <w:sz w:val="24"/>
        </w:rPr>
        <w:t>2.21%</w:t>
      </w:r>
      <w:r>
        <w:rPr>
          <w:rFonts w:eastAsiaTheme="minorEastAsia"/>
          <w:color w:val="000000" w:themeColor="text1"/>
          <w:kern w:val="0"/>
          <w:sz w:val="24"/>
        </w:rPr>
        <w:t>，</w:t>
      </w:r>
      <w:r>
        <w:rPr>
          <w:rFonts w:eastAsiaTheme="minorEastAsia"/>
          <w:color w:val="000000" w:themeColor="text1"/>
          <w:kern w:val="0"/>
          <w:sz w:val="24"/>
        </w:rPr>
        <w:t>30</w:t>
      </w:r>
      <w:r>
        <w:rPr>
          <w:rFonts w:eastAsiaTheme="minorEastAsia"/>
          <w:color w:val="000000" w:themeColor="text1"/>
          <w:kern w:val="0"/>
          <w:sz w:val="24"/>
        </w:rPr>
        <w:t>年国债</w:t>
      </w:r>
      <w:r>
        <w:rPr>
          <w:rFonts w:eastAsiaTheme="minorEastAsia"/>
          <w:color w:val="000000" w:themeColor="text1"/>
          <w:kern w:val="0"/>
          <w:sz w:val="24"/>
        </w:rPr>
        <w:t>收益率下行至</w:t>
      </w:r>
      <w:r>
        <w:rPr>
          <w:rFonts w:eastAsiaTheme="minorEastAsia"/>
          <w:color w:val="000000" w:themeColor="text1"/>
          <w:kern w:val="0"/>
          <w:sz w:val="24"/>
        </w:rPr>
        <w:t>2.42%</w:t>
      </w:r>
      <w:r>
        <w:rPr>
          <w:rFonts w:eastAsiaTheme="minorEastAsia"/>
          <w:color w:val="000000" w:themeColor="text1"/>
          <w:kern w:val="0"/>
          <w:sz w:val="24"/>
        </w:rPr>
        <w:t>。</w:t>
      </w:r>
      <w:r>
        <w:rPr>
          <w:rFonts w:eastAsiaTheme="minorEastAsia"/>
          <w:color w:val="000000" w:themeColor="text1"/>
          <w:kern w:val="0"/>
          <w:sz w:val="24"/>
        </w:rPr>
        <w:t>7</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日央行公告将进行借券操作，引发债券收益率明显上行。从央行的操作看，</w:t>
      </w:r>
      <w:r>
        <w:rPr>
          <w:rFonts w:eastAsiaTheme="minorEastAsia"/>
          <w:color w:val="000000" w:themeColor="text1"/>
          <w:kern w:val="0"/>
          <w:sz w:val="24"/>
        </w:rPr>
        <w:t>2.2%</w:t>
      </w:r>
      <w:r>
        <w:rPr>
          <w:rFonts w:eastAsiaTheme="minorEastAsia"/>
          <w:color w:val="000000" w:themeColor="text1"/>
          <w:kern w:val="0"/>
          <w:sz w:val="24"/>
        </w:rPr>
        <w:t>左右的</w:t>
      </w:r>
      <w:r>
        <w:rPr>
          <w:rFonts w:eastAsiaTheme="minorEastAsia"/>
          <w:color w:val="000000" w:themeColor="text1"/>
          <w:kern w:val="0"/>
          <w:sz w:val="24"/>
        </w:rPr>
        <w:t>10</w:t>
      </w:r>
      <w:r>
        <w:rPr>
          <w:rFonts w:eastAsiaTheme="minorEastAsia"/>
          <w:color w:val="000000" w:themeColor="text1"/>
          <w:kern w:val="0"/>
          <w:sz w:val="24"/>
        </w:rPr>
        <w:t>年国债收益率，</w:t>
      </w:r>
      <w:r>
        <w:rPr>
          <w:rFonts w:eastAsiaTheme="minorEastAsia"/>
          <w:color w:val="000000" w:themeColor="text1"/>
          <w:kern w:val="0"/>
          <w:sz w:val="24"/>
        </w:rPr>
        <w:t>2.42%</w:t>
      </w:r>
      <w:r>
        <w:rPr>
          <w:rFonts w:eastAsiaTheme="minorEastAsia"/>
          <w:color w:val="000000" w:themeColor="text1"/>
          <w:kern w:val="0"/>
          <w:sz w:val="24"/>
        </w:rPr>
        <w:t>左右的</w:t>
      </w:r>
      <w:r>
        <w:rPr>
          <w:rFonts w:eastAsiaTheme="minorEastAsia"/>
          <w:color w:val="000000" w:themeColor="text1"/>
          <w:kern w:val="0"/>
          <w:sz w:val="24"/>
        </w:rPr>
        <w:t>30</w:t>
      </w:r>
      <w:r>
        <w:rPr>
          <w:rFonts w:eastAsiaTheme="minorEastAsia"/>
          <w:color w:val="000000" w:themeColor="text1"/>
          <w:kern w:val="0"/>
          <w:sz w:val="24"/>
        </w:rPr>
        <w:t>年国债收益率或是相对底线。</w:t>
      </w:r>
    </w:p>
    <w:p w:rsidR="00081757" w:rsidRDefault="00A246C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二季度，本基金择机提升了久期，并在利率下行至低位后逐步降低了久期。</w:t>
      </w:r>
    </w:p>
    <w:p w:rsidR="00081757" w:rsidRDefault="00A246C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展望三季度，有三个变量需要密切观察。一个是地产市场，地产是否有明显企稳或直接决定了宏观经济的大背景，密切跟踪地产收储相关政策是否有进一步突破。二是央行的态度，从过去经验看央行态度基本决定了利率下行有底，同时跟踪三季度货币政策是否有进一步宽松的可能。三是债券的发行节奏，</w:t>
      </w:r>
      <w:r>
        <w:rPr>
          <w:rFonts w:eastAsiaTheme="minorEastAsia"/>
          <w:color w:val="000000" w:themeColor="text1"/>
          <w:kern w:val="0"/>
          <w:sz w:val="24"/>
        </w:rPr>
        <w:t>整个上半年地方债的发行节奏都偏慢，我们认为加速时间点可能要到四季度。</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我们将对上述重要宏观变量保持紧密跟踪，灵活应对。</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081757" w:rsidRDefault="00A246C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本报告期摩根中债</w:t>
      </w:r>
      <w:r>
        <w:rPr>
          <w:rFonts w:eastAsiaTheme="minorEastAsia"/>
          <w:color w:val="000000" w:themeColor="text1"/>
          <w:kern w:val="0"/>
          <w:sz w:val="24"/>
        </w:rPr>
        <w:t>1-3</w:t>
      </w:r>
      <w:r>
        <w:rPr>
          <w:rFonts w:eastAsiaTheme="minorEastAsia"/>
          <w:color w:val="000000" w:themeColor="text1"/>
          <w:kern w:val="0"/>
          <w:sz w:val="24"/>
        </w:rPr>
        <w:t>年国开行</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:1.01%</w:t>
      </w:r>
      <w:r>
        <w:rPr>
          <w:rFonts w:eastAsiaTheme="minorEastAsia"/>
          <w:color w:val="000000" w:themeColor="text1"/>
          <w:kern w:val="0"/>
          <w:sz w:val="24"/>
        </w:rPr>
        <w:t>，同期业绩比较基准收益率为</w:t>
      </w:r>
      <w:r>
        <w:rPr>
          <w:rFonts w:eastAsiaTheme="minorEastAsia"/>
          <w:color w:val="000000" w:themeColor="text1"/>
          <w:kern w:val="0"/>
          <w:sz w:val="24"/>
        </w:rPr>
        <w:t>:-0.13%</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:0.99%</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:-0.13%</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237,685,895.69</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99.45</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237,685,895.69</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99.45</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683,420.27</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0.29</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626,219.72</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0.26</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238,995,535.68</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1,505,127.95</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0.63</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226,362,680.07</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95.00</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226,362,680.07</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95.00</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9,818,087.67</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4.12</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237,685,895.69</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99.75</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081757">
        <w:tc>
          <w:tcPr>
            <w:tcW w:w="1252" w:type="dxa"/>
            <w:vAlign w:val="center"/>
          </w:tcPr>
          <w:p w:rsidR="00081757" w:rsidRDefault="00A246CD">
            <w:pPr>
              <w:jc w:val="center"/>
            </w:pPr>
            <w:r>
              <w:rPr>
                <w:rFonts w:eastAsiaTheme="minorEastAsia"/>
                <w:color w:val="000000" w:themeColor="text1"/>
                <w:sz w:val="24"/>
              </w:rPr>
              <w:t>1</w:t>
            </w:r>
          </w:p>
        </w:tc>
        <w:tc>
          <w:tcPr>
            <w:tcW w:w="1310" w:type="dxa"/>
            <w:vAlign w:val="center"/>
          </w:tcPr>
          <w:p w:rsidR="00081757" w:rsidRDefault="00A246CD">
            <w:pPr>
              <w:jc w:val="center"/>
            </w:pPr>
            <w:r>
              <w:rPr>
                <w:rFonts w:eastAsiaTheme="minorEastAsia"/>
                <w:color w:val="000000" w:themeColor="text1"/>
                <w:sz w:val="24"/>
              </w:rPr>
              <w:t>230207</w:t>
            </w:r>
          </w:p>
        </w:tc>
        <w:tc>
          <w:tcPr>
            <w:tcW w:w="1282" w:type="dxa"/>
            <w:vAlign w:val="center"/>
          </w:tcPr>
          <w:p w:rsidR="00081757" w:rsidRDefault="00A246CD">
            <w:pPr>
              <w:jc w:val="center"/>
            </w:pPr>
            <w:r>
              <w:rPr>
                <w:rFonts w:eastAsiaTheme="minorEastAsia"/>
                <w:color w:val="000000" w:themeColor="text1"/>
                <w:sz w:val="24"/>
              </w:rPr>
              <w:t>23</w:t>
            </w:r>
            <w:r>
              <w:rPr>
                <w:rFonts w:eastAsiaTheme="minorEastAsia"/>
                <w:color w:val="000000" w:themeColor="text1"/>
                <w:sz w:val="24"/>
              </w:rPr>
              <w:t>国开</w:t>
            </w:r>
            <w:r>
              <w:rPr>
                <w:rFonts w:eastAsiaTheme="minorEastAsia"/>
                <w:color w:val="000000" w:themeColor="text1"/>
                <w:sz w:val="24"/>
              </w:rPr>
              <w:t>07</w:t>
            </w:r>
          </w:p>
        </w:tc>
        <w:tc>
          <w:tcPr>
            <w:tcW w:w="1426" w:type="dxa"/>
            <w:vAlign w:val="center"/>
          </w:tcPr>
          <w:p w:rsidR="00081757" w:rsidRDefault="00A246CD">
            <w:pPr>
              <w:jc w:val="right"/>
            </w:pPr>
            <w:r>
              <w:rPr>
                <w:rFonts w:eastAsiaTheme="minorEastAsia"/>
                <w:color w:val="000000" w:themeColor="text1"/>
                <w:sz w:val="24"/>
              </w:rPr>
              <w:t>800,000</w:t>
            </w:r>
          </w:p>
        </w:tc>
        <w:tc>
          <w:tcPr>
            <w:tcW w:w="1646" w:type="dxa"/>
            <w:vAlign w:val="center"/>
          </w:tcPr>
          <w:p w:rsidR="00081757" w:rsidRDefault="00A246CD">
            <w:pPr>
              <w:jc w:val="right"/>
            </w:pPr>
            <w:r>
              <w:rPr>
                <w:rFonts w:eastAsiaTheme="minorEastAsia"/>
                <w:color w:val="000000" w:themeColor="text1"/>
                <w:sz w:val="24"/>
              </w:rPr>
              <w:t>82,415,409.84</w:t>
            </w:r>
          </w:p>
        </w:tc>
        <w:tc>
          <w:tcPr>
            <w:tcW w:w="1612" w:type="dxa"/>
            <w:vAlign w:val="center"/>
          </w:tcPr>
          <w:p w:rsidR="00081757" w:rsidRDefault="00A246CD">
            <w:pPr>
              <w:jc w:val="right"/>
            </w:pPr>
            <w:r>
              <w:rPr>
                <w:rFonts w:eastAsiaTheme="minorEastAsia"/>
                <w:color w:val="000000" w:themeColor="text1"/>
                <w:sz w:val="24"/>
              </w:rPr>
              <w:t>34.59</w:t>
            </w:r>
          </w:p>
        </w:tc>
      </w:tr>
      <w:tr w:rsidR="00081757">
        <w:tc>
          <w:tcPr>
            <w:tcW w:w="1252" w:type="dxa"/>
            <w:vAlign w:val="center"/>
          </w:tcPr>
          <w:p w:rsidR="00081757" w:rsidRDefault="00A246CD">
            <w:pPr>
              <w:jc w:val="center"/>
            </w:pPr>
            <w:r>
              <w:rPr>
                <w:rFonts w:eastAsiaTheme="minorEastAsia"/>
                <w:color w:val="000000" w:themeColor="text1"/>
                <w:sz w:val="24"/>
              </w:rPr>
              <w:t>2</w:t>
            </w:r>
          </w:p>
        </w:tc>
        <w:tc>
          <w:tcPr>
            <w:tcW w:w="1310" w:type="dxa"/>
            <w:vAlign w:val="center"/>
          </w:tcPr>
          <w:p w:rsidR="00081757" w:rsidRDefault="00A246CD">
            <w:pPr>
              <w:jc w:val="center"/>
            </w:pPr>
            <w:r>
              <w:rPr>
                <w:rFonts w:eastAsiaTheme="minorEastAsia"/>
                <w:color w:val="000000" w:themeColor="text1"/>
                <w:sz w:val="24"/>
              </w:rPr>
              <w:t>210208</w:t>
            </w:r>
          </w:p>
        </w:tc>
        <w:tc>
          <w:tcPr>
            <w:tcW w:w="1282" w:type="dxa"/>
            <w:vAlign w:val="center"/>
          </w:tcPr>
          <w:p w:rsidR="00081757" w:rsidRDefault="00A246CD">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08</w:t>
            </w:r>
          </w:p>
        </w:tc>
        <w:tc>
          <w:tcPr>
            <w:tcW w:w="1426" w:type="dxa"/>
            <w:vAlign w:val="center"/>
          </w:tcPr>
          <w:p w:rsidR="00081757" w:rsidRDefault="00A246CD">
            <w:pPr>
              <w:jc w:val="right"/>
            </w:pPr>
            <w:r>
              <w:rPr>
                <w:rFonts w:eastAsiaTheme="minorEastAsia"/>
                <w:color w:val="000000" w:themeColor="text1"/>
                <w:sz w:val="24"/>
              </w:rPr>
              <w:t>500,000</w:t>
            </w:r>
          </w:p>
        </w:tc>
        <w:tc>
          <w:tcPr>
            <w:tcW w:w="1646" w:type="dxa"/>
            <w:vAlign w:val="center"/>
          </w:tcPr>
          <w:p w:rsidR="00081757" w:rsidRDefault="00A246CD">
            <w:pPr>
              <w:jc w:val="right"/>
            </w:pPr>
            <w:r>
              <w:rPr>
                <w:rFonts w:eastAsiaTheme="minorEastAsia"/>
                <w:color w:val="000000" w:themeColor="text1"/>
                <w:sz w:val="24"/>
              </w:rPr>
              <w:t>52,170,505.46</w:t>
            </w:r>
          </w:p>
        </w:tc>
        <w:tc>
          <w:tcPr>
            <w:tcW w:w="1612" w:type="dxa"/>
            <w:vAlign w:val="center"/>
          </w:tcPr>
          <w:p w:rsidR="00081757" w:rsidRDefault="00A246CD">
            <w:pPr>
              <w:jc w:val="right"/>
            </w:pPr>
            <w:r>
              <w:rPr>
                <w:rFonts w:eastAsiaTheme="minorEastAsia"/>
                <w:color w:val="000000" w:themeColor="text1"/>
                <w:sz w:val="24"/>
              </w:rPr>
              <w:t>21.89</w:t>
            </w:r>
          </w:p>
        </w:tc>
      </w:tr>
      <w:tr w:rsidR="00081757">
        <w:tc>
          <w:tcPr>
            <w:tcW w:w="1252" w:type="dxa"/>
            <w:vAlign w:val="center"/>
          </w:tcPr>
          <w:p w:rsidR="00081757" w:rsidRDefault="00A246CD">
            <w:pPr>
              <w:jc w:val="center"/>
            </w:pPr>
            <w:r>
              <w:rPr>
                <w:rFonts w:eastAsiaTheme="minorEastAsia"/>
                <w:color w:val="000000" w:themeColor="text1"/>
                <w:sz w:val="24"/>
              </w:rPr>
              <w:t>3</w:t>
            </w:r>
          </w:p>
        </w:tc>
        <w:tc>
          <w:tcPr>
            <w:tcW w:w="1310" w:type="dxa"/>
            <w:vAlign w:val="center"/>
          </w:tcPr>
          <w:p w:rsidR="00081757" w:rsidRDefault="00A246CD">
            <w:pPr>
              <w:jc w:val="center"/>
            </w:pPr>
            <w:r>
              <w:rPr>
                <w:rFonts w:eastAsiaTheme="minorEastAsia"/>
                <w:color w:val="000000" w:themeColor="text1"/>
                <w:sz w:val="24"/>
              </w:rPr>
              <w:t>230202</w:t>
            </w:r>
          </w:p>
        </w:tc>
        <w:tc>
          <w:tcPr>
            <w:tcW w:w="1282" w:type="dxa"/>
            <w:vAlign w:val="center"/>
          </w:tcPr>
          <w:p w:rsidR="00081757" w:rsidRDefault="00A246CD">
            <w:pPr>
              <w:jc w:val="center"/>
            </w:pPr>
            <w:r>
              <w:rPr>
                <w:rFonts w:eastAsiaTheme="minorEastAsia"/>
                <w:color w:val="000000" w:themeColor="text1"/>
                <w:sz w:val="24"/>
              </w:rPr>
              <w:t>23</w:t>
            </w:r>
            <w:r>
              <w:rPr>
                <w:rFonts w:eastAsiaTheme="minorEastAsia"/>
                <w:color w:val="000000" w:themeColor="text1"/>
                <w:sz w:val="24"/>
              </w:rPr>
              <w:t>国开</w:t>
            </w:r>
            <w:r>
              <w:rPr>
                <w:rFonts w:eastAsiaTheme="minorEastAsia"/>
                <w:color w:val="000000" w:themeColor="text1"/>
                <w:sz w:val="24"/>
              </w:rPr>
              <w:t>02</w:t>
            </w:r>
          </w:p>
        </w:tc>
        <w:tc>
          <w:tcPr>
            <w:tcW w:w="1426" w:type="dxa"/>
            <w:vAlign w:val="center"/>
          </w:tcPr>
          <w:p w:rsidR="00081757" w:rsidRDefault="00A246CD">
            <w:pPr>
              <w:jc w:val="right"/>
            </w:pPr>
            <w:r>
              <w:rPr>
                <w:rFonts w:eastAsiaTheme="minorEastAsia"/>
                <w:color w:val="000000" w:themeColor="text1"/>
                <w:sz w:val="24"/>
              </w:rPr>
              <w:t>400,000</w:t>
            </w:r>
          </w:p>
        </w:tc>
        <w:tc>
          <w:tcPr>
            <w:tcW w:w="1646" w:type="dxa"/>
            <w:vAlign w:val="center"/>
          </w:tcPr>
          <w:p w:rsidR="00081757" w:rsidRDefault="00A246CD">
            <w:pPr>
              <w:jc w:val="right"/>
            </w:pPr>
            <w:r>
              <w:rPr>
                <w:rFonts w:eastAsiaTheme="minorEastAsia"/>
                <w:color w:val="000000" w:themeColor="text1"/>
                <w:sz w:val="24"/>
              </w:rPr>
              <w:t>40,970,863.39</w:t>
            </w:r>
          </w:p>
        </w:tc>
        <w:tc>
          <w:tcPr>
            <w:tcW w:w="1612" w:type="dxa"/>
            <w:vAlign w:val="center"/>
          </w:tcPr>
          <w:p w:rsidR="00081757" w:rsidRDefault="00A246CD">
            <w:pPr>
              <w:jc w:val="right"/>
            </w:pPr>
            <w:r>
              <w:rPr>
                <w:rFonts w:eastAsiaTheme="minorEastAsia"/>
                <w:color w:val="000000" w:themeColor="text1"/>
                <w:sz w:val="24"/>
              </w:rPr>
              <w:t>17.19</w:t>
            </w:r>
          </w:p>
        </w:tc>
      </w:tr>
      <w:tr w:rsidR="00081757">
        <w:tc>
          <w:tcPr>
            <w:tcW w:w="1252" w:type="dxa"/>
            <w:vAlign w:val="center"/>
          </w:tcPr>
          <w:p w:rsidR="00081757" w:rsidRDefault="00A246CD">
            <w:pPr>
              <w:jc w:val="center"/>
            </w:pPr>
            <w:r>
              <w:rPr>
                <w:rFonts w:eastAsiaTheme="minorEastAsia"/>
                <w:color w:val="000000" w:themeColor="text1"/>
                <w:sz w:val="24"/>
              </w:rPr>
              <w:t>4</w:t>
            </w:r>
          </w:p>
        </w:tc>
        <w:tc>
          <w:tcPr>
            <w:tcW w:w="1310" w:type="dxa"/>
            <w:vAlign w:val="center"/>
          </w:tcPr>
          <w:p w:rsidR="00081757" w:rsidRDefault="00A246CD">
            <w:pPr>
              <w:jc w:val="center"/>
            </w:pPr>
            <w:r>
              <w:rPr>
                <w:rFonts w:eastAsiaTheme="minorEastAsia"/>
                <w:color w:val="000000" w:themeColor="text1"/>
                <w:sz w:val="24"/>
              </w:rPr>
              <w:t>240210</w:t>
            </w:r>
          </w:p>
        </w:tc>
        <w:tc>
          <w:tcPr>
            <w:tcW w:w="1282" w:type="dxa"/>
            <w:vAlign w:val="center"/>
          </w:tcPr>
          <w:p w:rsidR="00081757" w:rsidRDefault="00A246CD">
            <w:pPr>
              <w:jc w:val="center"/>
            </w:pPr>
            <w:r>
              <w:rPr>
                <w:rFonts w:eastAsiaTheme="minorEastAsia"/>
                <w:color w:val="000000" w:themeColor="text1"/>
                <w:sz w:val="24"/>
              </w:rPr>
              <w:t>24</w:t>
            </w:r>
            <w:r>
              <w:rPr>
                <w:rFonts w:eastAsiaTheme="minorEastAsia"/>
                <w:color w:val="000000" w:themeColor="text1"/>
                <w:sz w:val="24"/>
              </w:rPr>
              <w:t>国开</w:t>
            </w:r>
            <w:r>
              <w:rPr>
                <w:rFonts w:eastAsiaTheme="minorEastAsia"/>
                <w:color w:val="000000" w:themeColor="text1"/>
                <w:sz w:val="24"/>
              </w:rPr>
              <w:t>10</w:t>
            </w:r>
          </w:p>
        </w:tc>
        <w:tc>
          <w:tcPr>
            <w:tcW w:w="1426" w:type="dxa"/>
            <w:vAlign w:val="center"/>
          </w:tcPr>
          <w:p w:rsidR="00081757" w:rsidRDefault="00A246CD">
            <w:pPr>
              <w:jc w:val="right"/>
            </w:pPr>
            <w:r>
              <w:rPr>
                <w:rFonts w:eastAsiaTheme="minorEastAsia"/>
                <w:color w:val="000000" w:themeColor="text1"/>
                <w:sz w:val="24"/>
              </w:rPr>
              <w:t>200,000</w:t>
            </w:r>
          </w:p>
        </w:tc>
        <w:tc>
          <w:tcPr>
            <w:tcW w:w="1646" w:type="dxa"/>
            <w:vAlign w:val="center"/>
          </w:tcPr>
          <w:p w:rsidR="00081757" w:rsidRDefault="00A246CD">
            <w:pPr>
              <w:jc w:val="right"/>
            </w:pPr>
            <w:r>
              <w:rPr>
                <w:rFonts w:eastAsiaTheme="minorEastAsia"/>
                <w:color w:val="000000" w:themeColor="text1"/>
                <w:sz w:val="24"/>
              </w:rPr>
              <w:t>20,172,109.59</w:t>
            </w:r>
          </w:p>
        </w:tc>
        <w:tc>
          <w:tcPr>
            <w:tcW w:w="1612" w:type="dxa"/>
            <w:vAlign w:val="center"/>
          </w:tcPr>
          <w:p w:rsidR="00081757" w:rsidRDefault="00A246CD">
            <w:pPr>
              <w:jc w:val="right"/>
            </w:pPr>
            <w:r>
              <w:rPr>
                <w:rFonts w:eastAsiaTheme="minorEastAsia"/>
                <w:color w:val="000000" w:themeColor="text1"/>
                <w:sz w:val="24"/>
              </w:rPr>
              <w:t>8.47</w:t>
            </w:r>
          </w:p>
        </w:tc>
      </w:tr>
      <w:tr w:rsidR="00081757">
        <w:tc>
          <w:tcPr>
            <w:tcW w:w="1252" w:type="dxa"/>
            <w:vAlign w:val="center"/>
          </w:tcPr>
          <w:p w:rsidR="00081757" w:rsidRDefault="00A246CD">
            <w:pPr>
              <w:jc w:val="center"/>
            </w:pPr>
            <w:r>
              <w:rPr>
                <w:rFonts w:eastAsiaTheme="minorEastAsia"/>
                <w:color w:val="000000" w:themeColor="text1"/>
                <w:sz w:val="24"/>
              </w:rPr>
              <w:t>5</w:t>
            </w:r>
          </w:p>
        </w:tc>
        <w:tc>
          <w:tcPr>
            <w:tcW w:w="1310" w:type="dxa"/>
            <w:vAlign w:val="center"/>
          </w:tcPr>
          <w:p w:rsidR="00081757" w:rsidRDefault="00A246CD">
            <w:pPr>
              <w:jc w:val="center"/>
            </w:pPr>
            <w:r>
              <w:rPr>
                <w:rFonts w:eastAsiaTheme="minorEastAsia"/>
                <w:color w:val="000000" w:themeColor="text1"/>
                <w:sz w:val="24"/>
              </w:rPr>
              <w:t>150210</w:t>
            </w:r>
          </w:p>
        </w:tc>
        <w:tc>
          <w:tcPr>
            <w:tcW w:w="1282" w:type="dxa"/>
            <w:vAlign w:val="center"/>
          </w:tcPr>
          <w:p w:rsidR="00081757" w:rsidRDefault="00A246CD">
            <w:pPr>
              <w:jc w:val="center"/>
            </w:pPr>
            <w:r>
              <w:rPr>
                <w:rFonts w:eastAsiaTheme="minorEastAsia"/>
                <w:color w:val="000000" w:themeColor="text1"/>
                <w:sz w:val="24"/>
              </w:rPr>
              <w:t>15</w:t>
            </w:r>
            <w:r>
              <w:rPr>
                <w:rFonts w:eastAsiaTheme="minorEastAsia"/>
                <w:color w:val="000000" w:themeColor="text1"/>
                <w:sz w:val="24"/>
              </w:rPr>
              <w:t>国开</w:t>
            </w:r>
            <w:r>
              <w:rPr>
                <w:rFonts w:eastAsiaTheme="minorEastAsia"/>
                <w:color w:val="000000" w:themeColor="text1"/>
                <w:sz w:val="24"/>
              </w:rPr>
              <w:t>10</w:t>
            </w:r>
          </w:p>
        </w:tc>
        <w:tc>
          <w:tcPr>
            <w:tcW w:w="1426" w:type="dxa"/>
            <w:vAlign w:val="center"/>
          </w:tcPr>
          <w:p w:rsidR="00081757" w:rsidRDefault="00A246CD">
            <w:pPr>
              <w:jc w:val="right"/>
            </w:pPr>
            <w:r>
              <w:rPr>
                <w:rFonts w:eastAsiaTheme="minorEastAsia"/>
                <w:color w:val="000000" w:themeColor="text1"/>
                <w:sz w:val="24"/>
              </w:rPr>
              <w:t>100,000</w:t>
            </w:r>
          </w:p>
        </w:tc>
        <w:tc>
          <w:tcPr>
            <w:tcW w:w="1646" w:type="dxa"/>
            <w:vAlign w:val="center"/>
          </w:tcPr>
          <w:p w:rsidR="00081757" w:rsidRDefault="00A246CD">
            <w:pPr>
              <w:jc w:val="right"/>
            </w:pPr>
            <w:r>
              <w:rPr>
                <w:rFonts w:eastAsiaTheme="minorEastAsia"/>
                <w:color w:val="000000" w:themeColor="text1"/>
                <w:sz w:val="24"/>
              </w:rPr>
              <w:t>10,290,120.55</w:t>
            </w:r>
          </w:p>
        </w:tc>
        <w:tc>
          <w:tcPr>
            <w:tcW w:w="1612" w:type="dxa"/>
            <w:vAlign w:val="center"/>
          </w:tcPr>
          <w:p w:rsidR="00081757" w:rsidRDefault="00A246CD">
            <w:pPr>
              <w:jc w:val="right"/>
            </w:pPr>
            <w:r>
              <w:rPr>
                <w:rFonts w:eastAsiaTheme="minorEastAsia"/>
                <w:color w:val="000000" w:themeColor="text1"/>
                <w:sz w:val="24"/>
              </w:rPr>
              <w:t>4.32</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lastRenderedPageBreak/>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中，中国民生银行股份有限公司在报告编制日前一年内曾受到国家金融监督管理总局的处罚。本基金对上述主体所发行证券的投资决策程序符合相关法律法规、基金合同及公司投资制度的要求。</w:t>
      </w:r>
    </w:p>
    <w:p w:rsidR="00081757" w:rsidRDefault="00A246CD">
      <w:pPr>
        <w:spacing w:line="360" w:lineRule="auto"/>
        <w:rPr>
          <w:rFonts w:eastAsiaTheme="minorEastAsia"/>
          <w:color w:val="000000" w:themeColor="text1"/>
          <w:kern w:val="0"/>
          <w:sz w:val="24"/>
        </w:rPr>
      </w:pPr>
      <w:r>
        <w:rPr>
          <w:rFonts w:eastAsiaTheme="minorEastAsia"/>
          <w:color w:val="000000" w:themeColor="text1"/>
          <w:kern w:val="0"/>
          <w:sz w:val="24"/>
        </w:rPr>
        <w:t>除上述主体外，本基金投资的其余前十名证券的发行主体本期未出现被监管部门立案调查，或在报告编制日前一年内受到公开谴责、处罚的情形。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439.38</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625,780.34</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lastRenderedPageBreak/>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626,219.72</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188,455,876.50</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26,725,239.47</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61,357,710.33</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4,551,291.28</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31,639,142.98</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19,906,824.04</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218,174,443.85</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11,369,706.71</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lastRenderedPageBreak/>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75,475.99</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24,186.46</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51,289.53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A960A3" w:rsidRPr="00EE3DBC">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pStyle w:val="ab"/>
              <w:adjustRightInd w:val="0"/>
              <w:snapToGrid w:val="0"/>
              <w:spacing w:line="360" w:lineRule="exact"/>
              <w:jc w:val="center"/>
              <w:rPr>
                <w:color w:val="000000" w:themeColor="text1"/>
                <w:kern w:val="0"/>
                <w:szCs w:val="24"/>
              </w:rPr>
            </w:pPr>
            <w:r w:rsidRPr="00EE3DBC">
              <w:rPr>
                <w:color w:val="000000" w:themeColor="text1"/>
                <w:kern w:val="0"/>
                <w:szCs w:val="24"/>
              </w:rPr>
              <w:t>序号</w:t>
            </w:r>
          </w:p>
        </w:tc>
        <w:tc>
          <w:tcPr>
            <w:tcW w:w="1850"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交易方式</w:t>
            </w:r>
          </w:p>
        </w:tc>
        <w:tc>
          <w:tcPr>
            <w:tcW w:w="1369"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color w:val="000000" w:themeColor="text1"/>
                <w:kern w:val="0"/>
                <w:sz w:val="24"/>
              </w:rPr>
            </w:pPr>
            <w:r w:rsidRPr="00EE3DBC">
              <w:rPr>
                <w:color w:val="000000" w:themeColor="text1"/>
                <w:kern w:val="0"/>
                <w:sz w:val="24"/>
              </w:rPr>
              <w:t>交易日期</w:t>
            </w:r>
          </w:p>
        </w:tc>
        <w:tc>
          <w:tcPr>
            <w:tcW w:w="1700"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交易份额（份）</w:t>
            </w:r>
          </w:p>
        </w:tc>
        <w:tc>
          <w:tcPr>
            <w:tcW w:w="184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交易金额（元）</w:t>
            </w:r>
          </w:p>
        </w:tc>
        <w:tc>
          <w:tcPr>
            <w:tcW w:w="1396"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适用费率</w:t>
            </w:r>
          </w:p>
        </w:tc>
      </w:tr>
      <w:tr w:rsidR="00081757">
        <w:trPr>
          <w:jc w:val="center"/>
        </w:trPr>
        <w:tc>
          <w:tcPr>
            <w:tcW w:w="1069" w:type="dxa"/>
            <w:vAlign w:val="center"/>
          </w:tcPr>
          <w:p w:rsidR="00081757" w:rsidRDefault="00A246CD">
            <w:pPr>
              <w:jc w:val="center"/>
            </w:pPr>
            <w:r>
              <w:rPr>
                <w:rFonts w:eastAsiaTheme="minorEastAsia"/>
                <w:color w:val="000000" w:themeColor="text1"/>
                <w:sz w:val="24"/>
              </w:rPr>
              <w:t>1</w:t>
            </w:r>
          </w:p>
        </w:tc>
        <w:tc>
          <w:tcPr>
            <w:tcW w:w="1850" w:type="dxa"/>
            <w:vAlign w:val="center"/>
          </w:tcPr>
          <w:p w:rsidR="00081757" w:rsidRDefault="00A246CD">
            <w:pPr>
              <w:jc w:val="center"/>
            </w:pPr>
            <w:r>
              <w:rPr>
                <w:rFonts w:eastAsiaTheme="minorEastAsia"/>
                <w:color w:val="000000" w:themeColor="text1"/>
                <w:sz w:val="24"/>
              </w:rPr>
              <w:t>赎回</w:t>
            </w:r>
          </w:p>
        </w:tc>
        <w:tc>
          <w:tcPr>
            <w:tcW w:w="1369" w:type="dxa"/>
            <w:vAlign w:val="center"/>
          </w:tcPr>
          <w:p w:rsidR="00081757" w:rsidRDefault="00A246CD">
            <w:pPr>
              <w:jc w:val="center"/>
            </w:pPr>
            <w:r>
              <w:rPr>
                <w:rFonts w:eastAsiaTheme="minorEastAsia"/>
                <w:color w:val="000000" w:themeColor="text1"/>
                <w:sz w:val="24"/>
              </w:rPr>
              <w:t>2024-04-23</w:t>
            </w:r>
          </w:p>
        </w:tc>
        <w:tc>
          <w:tcPr>
            <w:tcW w:w="1700" w:type="dxa"/>
            <w:vAlign w:val="center"/>
          </w:tcPr>
          <w:p w:rsidR="00081757" w:rsidRDefault="00A246CD">
            <w:pPr>
              <w:jc w:val="right"/>
            </w:pPr>
            <w:r>
              <w:rPr>
                <w:rFonts w:eastAsiaTheme="minorEastAsia"/>
                <w:color w:val="000000" w:themeColor="text1"/>
                <w:sz w:val="24"/>
              </w:rPr>
              <w:t>24,186.46</w:t>
            </w:r>
          </w:p>
        </w:tc>
        <w:tc>
          <w:tcPr>
            <w:tcW w:w="1841" w:type="dxa"/>
            <w:vAlign w:val="center"/>
          </w:tcPr>
          <w:p w:rsidR="00081757" w:rsidRDefault="00A246CD">
            <w:pPr>
              <w:jc w:val="right"/>
            </w:pPr>
            <w:r>
              <w:rPr>
                <w:rFonts w:eastAsiaTheme="minorEastAsia"/>
                <w:color w:val="000000" w:themeColor="text1"/>
                <w:sz w:val="24"/>
              </w:rPr>
              <w:t>-24,931.40</w:t>
            </w:r>
          </w:p>
        </w:tc>
        <w:tc>
          <w:tcPr>
            <w:tcW w:w="1396" w:type="dxa"/>
            <w:vAlign w:val="center"/>
          </w:tcPr>
          <w:p w:rsidR="00081757" w:rsidRDefault="00A246CD">
            <w:pPr>
              <w:jc w:val="center"/>
            </w:pPr>
            <w:r>
              <w:rPr>
                <w:rFonts w:eastAsiaTheme="minorEastAsia"/>
                <w:color w:val="000000" w:themeColor="text1"/>
                <w:sz w:val="24"/>
              </w:rPr>
              <w:t>-</w:t>
            </w:r>
          </w:p>
        </w:tc>
      </w:tr>
      <w:tr w:rsidR="00A960A3" w:rsidRPr="00EE3DBC">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pStyle w:val="ab"/>
              <w:adjustRightInd w:val="0"/>
              <w:snapToGrid w:val="0"/>
              <w:spacing w:line="360" w:lineRule="exact"/>
              <w:jc w:val="center"/>
              <w:rPr>
                <w:color w:val="000000" w:themeColor="text1"/>
                <w:kern w:val="0"/>
                <w:szCs w:val="24"/>
              </w:rPr>
            </w:pPr>
            <w:r w:rsidRPr="00EE3DBC">
              <w:rPr>
                <w:color w:val="000000" w:themeColor="text1"/>
                <w:kern w:val="0"/>
                <w:szCs w:val="24"/>
              </w:rPr>
              <w:t>合计</w:t>
            </w:r>
          </w:p>
        </w:tc>
        <w:tc>
          <w:tcPr>
            <w:tcW w:w="1850" w:type="dxa"/>
            <w:tcBorders>
              <w:top w:val="single" w:sz="4" w:space="0" w:color="auto"/>
              <w:left w:val="single" w:sz="4" w:space="0" w:color="auto"/>
              <w:bottom w:val="single" w:sz="4" w:space="0" w:color="auto"/>
              <w:right w:val="single" w:sz="4" w:space="0" w:color="auto"/>
            </w:tcBorders>
          </w:tcPr>
          <w:p w:rsidR="00A960A3" w:rsidRPr="00EE3DBC" w:rsidRDefault="00A960A3">
            <w:pPr>
              <w:adjustRightInd w:val="0"/>
              <w:snapToGrid w:val="0"/>
              <w:spacing w:line="360" w:lineRule="exact"/>
              <w:jc w:val="right"/>
              <w:rPr>
                <w:color w:val="000000" w:themeColor="text1"/>
                <w:kern w:val="0"/>
                <w:sz w:val="18"/>
              </w:rPr>
            </w:pPr>
          </w:p>
        </w:tc>
        <w:tc>
          <w:tcPr>
            <w:tcW w:w="1369" w:type="dxa"/>
            <w:tcBorders>
              <w:top w:val="single" w:sz="4" w:space="0" w:color="auto"/>
              <w:left w:val="single" w:sz="4" w:space="0" w:color="auto"/>
              <w:bottom w:val="single" w:sz="4" w:space="0" w:color="auto"/>
              <w:right w:val="single" w:sz="4" w:space="0" w:color="auto"/>
            </w:tcBorders>
          </w:tcPr>
          <w:p w:rsidR="00A960A3" w:rsidRPr="00EE3DBC" w:rsidRDefault="00A960A3">
            <w:pPr>
              <w:adjustRightInd w:val="0"/>
              <w:snapToGrid w:val="0"/>
              <w:spacing w:line="360" w:lineRule="exact"/>
              <w:jc w:val="right"/>
              <w:rPr>
                <w:color w:val="000000" w:themeColor="text1"/>
                <w:kern w:val="0"/>
                <w:sz w:val="18"/>
              </w:rPr>
            </w:pPr>
          </w:p>
        </w:tc>
        <w:tc>
          <w:tcPr>
            <w:tcW w:w="1700"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sz w:val="24"/>
              </w:rPr>
            </w:pPr>
            <w:r w:rsidRPr="00EE3DBC">
              <w:rPr>
                <w:rFonts w:eastAsiaTheme="minorEastAsia"/>
                <w:color w:val="000000" w:themeColor="text1"/>
                <w:sz w:val="24"/>
              </w:rPr>
              <w:t>24,186.46</w:t>
            </w:r>
          </w:p>
        </w:tc>
        <w:tc>
          <w:tcPr>
            <w:tcW w:w="184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sz w:val="24"/>
              </w:rPr>
            </w:pPr>
            <w:r w:rsidRPr="00EE3DBC">
              <w:rPr>
                <w:rFonts w:eastAsiaTheme="minorEastAsia"/>
                <w:color w:val="000000" w:themeColor="text1"/>
                <w:sz w:val="24"/>
              </w:rPr>
              <w:t>-24,931.40</w:t>
            </w:r>
          </w:p>
        </w:tc>
        <w:tc>
          <w:tcPr>
            <w:tcW w:w="1396" w:type="dxa"/>
            <w:tcBorders>
              <w:top w:val="single" w:sz="4" w:space="0" w:color="auto"/>
              <w:left w:val="single" w:sz="4" w:space="0" w:color="auto"/>
              <w:bottom w:val="single" w:sz="4" w:space="0" w:color="auto"/>
              <w:right w:val="single" w:sz="4" w:space="0" w:color="auto"/>
            </w:tcBorders>
            <w:vAlign w:val="center"/>
          </w:tcPr>
          <w:p w:rsidR="00A960A3" w:rsidRPr="00EE3DBC" w:rsidRDefault="00A960A3">
            <w:pPr>
              <w:adjustRightInd w:val="0"/>
              <w:snapToGrid w:val="0"/>
              <w:spacing w:line="360" w:lineRule="exact"/>
              <w:jc w:val="right"/>
              <w:rPr>
                <w:color w:val="000000" w:themeColor="text1"/>
                <w:kern w:val="0"/>
                <w:sz w:val="18"/>
              </w:rPr>
            </w:pPr>
          </w:p>
        </w:tc>
      </w:tr>
    </w:tbl>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注：基金管理人运用固有资金投资本基金相关的费用符合基金招募说明书和相关公告的规定。</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8.1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081757">
        <w:tc>
          <w:tcPr>
            <w:tcW w:w="993" w:type="dxa"/>
            <w:vMerge w:val="restart"/>
            <w:vAlign w:val="center"/>
          </w:tcPr>
          <w:p w:rsidR="00081757" w:rsidRDefault="00A246CD">
            <w:r>
              <w:rPr>
                <w:bCs/>
                <w:color w:val="000000"/>
                <w:kern w:val="0"/>
                <w:sz w:val="24"/>
              </w:rPr>
              <w:t>机构</w:t>
            </w:r>
          </w:p>
        </w:tc>
        <w:tc>
          <w:tcPr>
            <w:tcW w:w="992" w:type="dxa"/>
            <w:vAlign w:val="center"/>
          </w:tcPr>
          <w:p w:rsidR="00081757" w:rsidRDefault="00A246CD">
            <w:pPr>
              <w:jc w:val="center"/>
            </w:pPr>
            <w:r>
              <w:rPr>
                <w:color w:val="000000"/>
                <w:kern w:val="0"/>
                <w:sz w:val="24"/>
              </w:rPr>
              <w:t>1</w:t>
            </w:r>
          </w:p>
        </w:tc>
        <w:tc>
          <w:tcPr>
            <w:tcW w:w="1843" w:type="dxa"/>
            <w:vAlign w:val="center"/>
          </w:tcPr>
          <w:p w:rsidR="00081757" w:rsidRDefault="00A246CD">
            <w:pPr>
              <w:jc w:val="center"/>
            </w:pPr>
            <w:r>
              <w:rPr>
                <w:color w:val="000000"/>
                <w:kern w:val="0"/>
                <w:sz w:val="24"/>
              </w:rPr>
              <w:t>20240401-20240630</w:t>
            </w:r>
          </w:p>
        </w:tc>
        <w:tc>
          <w:tcPr>
            <w:tcW w:w="851" w:type="dxa"/>
            <w:vAlign w:val="center"/>
          </w:tcPr>
          <w:p w:rsidR="00081757" w:rsidRDefault="00A246CD">
            <w:pPr>
              <w:jc w:val="center"/>
            </w:pPr>
            <w:r>
              <w:rPr>
                <w:color w:val="000000"/>
                <w:kern w:val="0"/>
                <w:sz w:val="24"/>
              </w:rPr>
              <w:t>97,332,100.45</w:t>
            </w:r>
          </w:p>
        </w:tc>
        <w:tc>
          <w:tcPr>
            <w:tcW w:w="850" w:type="dxa"/>
            <w:vAlign w:val="center"/>
          </w:tcPr>
          <w:p w:rsidR="00081757" w:rsidRDefault="00A246CD">
            <w:pPr>
              <w:jc w:val="center"/>
            </w:pPr>
            <w:r>
              <w:rPr>
                <w:color w:val="000000"/>
                <w:kern w:val="0"/>
                <w:sz w:val="24"/>
              </w:rPr>
              <w:t>0.00</w:t>
            </w:r>
          </w:p>
        </w:tc>
        <w:tc>
          <w:tcPr>
            <w:tcW w:w="1134" w:type="dxa"/>
            <w:vAlign w:val="center"/>
          </w:tcPr>
          <w:p w:rsidR="00081757" w:rsidRDefault="00A246CD">
            <w:pPr>
              <w:jc w:val="center"/>
            </w:pPr>
            <w:r>
              <w:rPr>
                <w:color w:val="000000"/>
                <w:kern w:val="0"/>
                <w:sz w:val="24"/>
              </w:rPr>
              <w:t>0.00</w:t>
            </w:r>
          </w:p>
        </w:tc>
        <w:tc>
          <w:tcPr>
            <w:tcW w:w="1419" w:type="dxa"/>
            <w:vAlign w:val="center"/>
          </w:tcPr>
          <w:p w:rsidR="00081757" w:rsidRDefault="00A246CD">
            <w:pPr>
              <w:jc w:val="center"/>
            </w:pPr>
            <w:r>
              <w:rPr>
                <w:color w:val="000000"/>
                <w:kern w:val="0"/>
                <w:sz w:val="24"/>
              </w:rPr>
              <w:t>97,332,100.45</w:t>
            </w:r>
          </w:p>
        </w:tc>
        <w:tc>
          <w:tcPr>
            <w:tcW w:w="1130" w:type="dxa"/>
            <w:vAlign w:val="center"/>
          </w:tcPr>
          <w:p w:rsidR="00081757" w:rsidRDefault="00A246CD">
            <w:pPr>
              <w:jc w:val="center"/>
            </w:pPr>
            <w:r>
              <w:rPr>
                <w:color w:val="000000"/>
                <w:kern w:val="0"/>
                <w:sz w:val="24"/>
              </w:rPr>
              <w:t>42.40%</w:t>
            </w:r>
          </w:p>
        </w:tc>
      </w:tr>
      <w:tr w:rsidR="00081757">
        <w:tc>
          <w:tcPr>
            <w:tcW w:w="993" w:type="dxa"/>
            <w:vMerge/>
          </w:tcPr>
          <w:p w:rsidR="00081757" w:rsidRDefault="00081757"/>
        </w:tc>
        <w:tc>
          <w:tcPr>
            <w:tcW w:w="992" w:type="dxa"/>
            <w:vAlign w:val="center"/>
          </w:tcPr>
          <w:p w:rsidR="00081757" w:rsidRDefault="00A246CD">
            <w:pPr>
              <w:jc w:val="center"/>
            </w:pPr>
            <w:r>
              <w:rPr>
                <w:color w:val="000000"/>
                <w:kern w:val="0"/>
                <w:sz w:val="24"/>
              </w:rPr>
              <w:t>2</w:t>
            </w:r>
          </w:p>
        </w:tc>
        <w:tc>
          <w:tcPr>
            <w:tcW w:w="1843" w:type="dxa"/>
            <w:vAlign w:val="center"/>
          </w:tcPr>
          <w:p w:rsidR="00081757" w:rsidRDefault="00A246CD">
            <w:pPr>
              <w:jc w:val="center"/>
            </w:pPr>
            <w:r>
              <w:rPr>
                <w:color w:val="000000"/>
                <w:kern w:val="0"/>
                <w:sz w:val="24"/>
              </w:rPr>
              <w:t>20240401-20240630</w:t>
            </w:r>
          </w:p>
        </w:tc>
        <w:tc>
          <w:tcPr>
            <w:tcW w:w="851" w:type="dxa"/>
            <w:vAlign w:val="center"/>
          </w:tcPr>
          <w:p w:rsidR="00081757" w:rsidRDefault="00A246CD">
            <w:pPr>
              <w:jc w:val="center"/>
            </w:pPr>
            <w:r>
              <w:rPr>
                <w:color w:val="000000"/>
                <w:kern w:val="0"/>
                <w:sz w:val="24"/>
              </w:rPr>
              <w:t>60,080,000.00</w:t>
            </w:r>
          </w:p>
        </w:tc>
        <w:tc>
          <w:tcPr>
            <w:tcW w:w="850" w:type="dxa"/>
            <w:vAlign w:val="center"/>
          </w:tcPr>
          <w:p w:rsidR="00081757" w:rsidRDefault="00A246CD">
            <w:pPr>
              <w:jc w:val="center"/>
            </w:pPr>
            <w:r>
              <w:rPr>
                <w:color w:val="000000"/>
                <w:kern w:val="0"/>
                <w:sz w:val="24"/>
              </w:rPr>
              <w:t>0.00</w:t>
            </w:r>
          </w:p>
        </w:tc>
        <w:tc>
          <w:tcPr>
            <w:tcW w:w="1134" w:type="dxa"/>
            <w:vAlign w:val="center"/>
          </w:tcPr>
          <w:p w:rsidR="00081757" w:rsidRDefault="00A246CD">
            <w:pPr>
              <w:jc w:val="center"/>
            </w:pPr>
            <w:r>
              <w:rPr>
                <w:color w:val="000000"/>
                <w:kern w:val="0"/>
                <w:sz w:val="24"/>
              </w:rPr>
              <w:t>0.00</w:t>
            </w:r>
          </w:p>
        </w:tc>
        <w:tc>
          <w:tcPr>
            <w:tcW w:w="1419" w:type="dxa"/>
            <w:vAlign w:val="center"/>
          </w:tcPr>
          <w:p w:rsidR="00081757" w:rsidRDefault="00A246CD">
            <w:pPr>
              <w:jc w:val="center"/>
            </w:pPr>
            <w:r>
              <w:rPr>
                <w:color w:val="000000"/>
                <w:kern w:val="0"/>
                <w:sz w:val="24"/>
              </w:rPr>
              <w:t>60,080,000.00</w:t>
            </w:r>
          </w:p>
        </w:tc>
        <w:tc>
          <w:tcPr>
            <w:tcW w:w="1130" w:type="dxa"/>
            <w:vAlign w:val="center"/>
          </w:tcPr>
          <w:p w:rsidR="00081757" w:rsidRDefault="00A246CD">
            <w:pPr>
              <w:jc w:val="center"/>
            </w:pPr>
            <w:r>
              <w:rPr>
                <w:color w:val="000000"/>
                <w:kern w:val="0"/>
                <w:sz w:val="24"/>
              </w:rPr>
              <w:t>26.17%</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§9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9.1 </w:t>
      </w:r>
      <w:r w:rsidRPr="00EE3DBC">
        <w:rPr>
          <w:rFonts w:eastAsiaTheme="minorEastAsia"/>
          <w:b/>
          <w:color w:val="000000" w:themeColor="text1"/>
          <w:sz w:val="24"/>
        </w:rPr>
        <w:t>备查文件目录</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年国开行债券指数证券投资基金基金合同</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年国开行债券指数证券投资基金托管协议</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081757" w:rsidRDefault="00A246C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二〇二四年七月十九日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B" w:rsidRDefault="00707FBB">
      <w:r>
        <w:separator/>
      </w:r>
    </w:p>
  </w:endnote>
  <w:endnote w:type="continuationSeparator" w:id="0">
    <w:p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246C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246CD">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246CD">
      <w:rPr>
        <w:rStyle w:val="af5"/>
        <w:noProof/>
      </w:rPr>
      <w:t>2</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B" w:rsidRDefault="00707FBB">
      <w:r>
        <w:separator/>
      </w:r>
    </w:p>
  </w:footnote>
  <w:footnote w:type="continuationSeparator" w:id="0">
    <w:p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摩根中债</w:t>
    </w:r>
    <w:r>
      <w:rPr>
        <w:sz w:val="21"/>
        <w:szCs w:val="21"/>
      </w:rPr>
      <w:t>1-3</w:t>
    </w:r>
    <w:r>
      <w:rPr>
        <w:sz w:val="21"/>
        <w:szCs w:val="21"/>
      </w:rPr>
      <w:t>年国开行债券指数证券投资基金</w:t>
    </w:r>
    <w:r>
      <w:rPr>
        <w:sz w:val="21"/>
        <w:szCs w:val="21"/>
      </w:rPr>
      <w:t>2024</w:t>
    </w:r>
    <w:r>
      <w:rPr>
        <w:sz w:val="21"/>
        <w:szCs w:val="21"/>
      </w:rPr>
      <w:t>年第</w:t>
    </w:r>
    <w:r>
      <w:rPr>
        <w:sz w:val="21"/>
        <w:szCs w:val="21"/>
      </w:rPr>
      <w:t>2</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757"/>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46CD"/>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1238</Words>
  <Characters>7063</Characters>
  <Application>Microsoft Office Word</Application>
  <DocSecurity>0</DocSecurity>
  <Lines>58</Lines>
  <Paragraphs>16</Paragraphs>
  <ScaleCrop>false</ScaleCrop>
  <Company>TRT. Ltd. Co.</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165</cp:revision>
  <cp:lastPrinted>2007-07-19T00:46:00Z</cp:lastPrinted>
  <dcterms:created xsi:type="dcterms:W3CDTF">2012-11-28T02:28:00Z</dcterms:created>
  <dcterms:modified xsi:type="dcterms:W3CDTF">2024-07-18T07:24:00Z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