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上投摩根</w:t>
      </w:r>
      <w:r w:rsidRPr="00D97CD7">
        <w:rPr>
          <w:rFonts w:eastAsiaTheme="minorEastAsia"/>
          <w:b/>
          <w:color w:val="000000" w:themeColor="text1"/>
          <w:sz w:val="36"/>
          <w:szCs w:val="36"/>
        </w:rPr>
        <w:t>MSCI</w:t>
      </w:r>
      <w:r w:rsidRPr="00D97CD7">
        <w:rPr>
          <w:rFonts w:eastAsiaTheme="minorEastAsia"/>
          <w:b/>
          <w:color w:val="000000" w:themeColor="text1"/>
          <w:sz w:val="36"/>
          <w:szCs w:val="36"/>
        </w:rPr>
        <w:t>中国</w:t>
      </w:r>
      <w:r w:rsidRPr="00D97CD7">
        <w:rPr>
          <w:rFonts w:eastAsiaTheme="minorEastAsia"/>
          <w:b/>
          <w:color w:val="000000" w:themeColor="text1"/>
          <w:sz w:val="36"/>
          <w:szCs w:val="36"/>
        </w:rPr>
        <w:t>A</w:t>
      </w:r>
      <w:r w:rsidRPr="00D97CD7">
        <w:rPr>
          <w:rFonts w:eastAsiaTheme="minorEastAsia"/>
          <w:b/>
          <w:color w:val="000000" w:themeColor="text1"/>
          <w:sz w:val="36"/>
          <w:szCs w:val="36"/>
        </w:rPr>
        <w:t>股交易型开放式指数证券投资基金联接基金</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2022</w:t>
      </w:r>
      <w:r w:rsidRPr="00D97CD7">
        <w:rPr>
          <w:rFonts w:eastAsiaTheme="minorEastAsia"/>
          <w:b/>
          <w:color w:val="000000" w:themeColor="text1"/>
          <w:sz w:val="36"/>
          <w:szCs w:val="36"/>
        </w:rPr>
        <w:t>年第</w:t>
      </w:r>
      <w:r w:rsidRPr="00D97CD7">
        <w:rPr>
          <w:rFonts w:eastAsiaTheme="minorEastAsia"/>
          <w:b/>
          <w:color w:val="000000" w:themeColor="text1"/>
          <w:sz w:val="36"/>
          <w:szCs w:val="36"/>
        </w:rPr>
        <w:t>1</w:t>
      </w:r>
      <w:r w:rsidRPr="00D97CD7">
        <w:rPr>
          <w:rFonts w:eastAsiaTheme="minorEastAsia"/>
          <w:b/>
          <w:color w:val="000000" w:themeColor="text1"/>
          <w:sz w:val="36"/>
          <w:szCs w:val="36"/>
        </w:rPr>
        <w:t>季度报告</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2022</w:t>
      </w:r>
      <w:r w:rsidRPr="00D97CD7">
        <w:rPr>
          <w:rFonts w:eastAsiaTheme="minorEastAsia"/>
          <w:b/>
          <w:color w:val="000000" w:themeColor="text1"/>
          <w:sz w:val="36"/>
          <w:szCs w:val="36"/>
        </w:rPr>
        <w:t>年</w:t>
      </w:r>
      <w:r w:rsidRPr="00D97CD7">
        <w:rPr>
          <w:rFonts w:eastAsiaTheme="minorEastAsia"/>
          <w:b/>
          <w:color w:val="000000" w:themeColor="text1"/>
          <w:sz w:val="36"/>
          <w:szCs w:val="36"/>
        </w:rPr>
        <w:t>3</w:t>
      </w:r>
      <w:r w:rsidRPr="00D97CD7">
        <w:rPr>
          <w:rFonts w:eastAsiaTheme="minorEastAsia"/>
          <w:b/>
          <w:color w:val="000000" w:themeColor="text1"/>
          <w:sz w:val="36"/>
          <w:szCs w:val="36"/>
        </w:rPr>
        <w:t>月</w:t>
      </w:r>
      <w:r w:rsidRPr="00D97CD7">
        <w:rPr>
          <w:rFonts w:eastAsiaTheme="minorEastAsia"/>
          <w:b/>
          <w:color w:val="000000" w:themeColor="text1"/>
          <w:sz w:val="36"/>
          <w:szCs w:val="36"/>
        </w:rPr>
        <w:t>31</w:t>
      </w:r>
      <w:r w:rsidRPr="00D97CD7">
        <w:rPr>
          <w:rFonts w:eastAsiaTheme="minorEastAsia"/>
          <w:b/>
          <w:color w:val="000000" w:themeColor="text1"/>
          <w:sz w:val="36"/>
          <w:szCs w:val="36"/>
        </w:rPr>
        <w:t>日</w:t>
      </w: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rPr>
          <w:rFonts w:eastAsiaTheme="minorEastAsia"/>
          <w:b/>
          <w:color w:val="000000" w:themeColor="text1"/>
          <w:szCs w:val="21"/>
        </w:rPr>
      </w:pP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基金管理人：上投摩根基金管理有限公司</w:t>
      </w: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基金托管人：平安银行股份有限公司</w:t>
      </w:r>
    </w:p>
    <w:p w:rsidR="00DB3887" w:rsidRPr="00D97CD7" w:rsidRDefault="00FC6961">
      <w:pPr>
        <w:spacing w:line="360" w:lineRule="auto"/>
        <w:ind w:firstLineChars="900" w:firstLine="2168"/>
        <w:rPr>
          <w:rFonts w:eastAsiaTheme="minorEastAsia"/>
          <w:color w:val="000000" w:themeColor="text1"/>
          <w:sz w:val="24"/>
        </w:rPr>
        <w:sectPr w:rsidR="00DB3887" w:rsidRPr="00D97CD7">
          <w:headerReference w:type="default" r:id="rId8"/>
          <w:footerReference w:type="default" r:id="rId9"/>
          <w:pgSz w:w="11926" w:h="15840"/>
          <w:pgMar w:top="1418" w:right="1418" w:bottom="851" w:left="1418" w:header="851" w:footer="992" w:gutter="0"/>
          <w:cols w:space="720"/>
        </w:sectPr>
      </w:pPr>
      <w:r w:rsidRPr="00D97CD7">
        <w:rPr>
          <w:rFonts w:eastAsiaTheme="minorEastAsia"/>
          <w:b/>
          <w:color w:val="000000" w:themeColor="text1"/>
          <w:sz w:val="24"/>
        </w:rPr>
        <w:t>报告送出日期：二〇二二年四月二十二日</w:t>
      </w:r>
    </w:p>
    <w:p w:rsidR="00DB3887" w:rsidRPr="00D97CD7" w:rsidRDefault="00FC6961">
      <w:pPr>
        <w:pStyle w:val="1"/>
        <w:spacing w:beforeLines="100" w:before="312" w:afterLines="100" w:after="312" w:line="360" w:lineRule="auto"/>
        <w:jc w:val="center"/>
        <w:rPr>
          <w:rFonts w:eastAsiaTheme="minorEastAsia"/>
          <w:b w:val="0"/>
          <w:color w:val="000000" w:themeColor="text1"/>
          <w:kern w:val="0"/>
          <w:sz w:val="21"/>
          <w:szCs w:val="21"/>
        </w:rPr>
      </w:pPr>
      <w:r w:rsidRPr="00D97CD7">
        <w:rPr>
          <w:rFonts w:eastAsiaTheme="minorEastAsia"/>
          <w:color w:val="000000" w:themeColor="text1"/>
          <w:kern w:val="0"/>
          <w:sz w:val="21"/>
          <w:szCs w:val="21"/>
        </w:rPr>
        <w:lastRenderedPageBreak/>
        <w:t xml:space="preserve">§1  </w:t>
      </w:r>
      <w:r w:rsidRPr="00D97CD7">
        <w:rPr>
          <w:rFonts w:eastAsiaTheme="minorEastAsia"/>
          <w:color w:val="000000" w:themeColor="text1"/>
          <w:kern w:val="0"/>
          <w:sz w:val="21"/>
          <w:szCs w:val="21"/>
        </w:rPr>
        <w:t>重要提示</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本报告期自</w:t>
      </w:r>
      <w:r w:rsidRPr="00D97CD7">
        <w:rPr>
          <w:rFonts w:eastAsiaTheme="minorEastAsia"/>
          <w:color w:val="000000" w:themeColor="text1"/>
          <w:szCs w:val="21"/>
        </w:rPr>
        <w:t>2022</w:t>
      </w:r>
      <w:r w:rsidRPr="00D97CD7">
        <w:rPr>
          <w:rFonts w:eastAsiaTheme="minorEastAsia"/>
          <w:color w:val="000000" w:themeColor="text1"/>
          <w:szCs w:val="21"/>
        </w:rPr>
        <w:t>年</w:t>
      </w:r>
      <w:r w:rsidRPr="00D97CD7">
        <w:rPr>
          <w:rFonts w:eastAsiaTheme="minorEastAsia"/>
          <w:color w:val="000000" w:themeColor="text1"/>
          <w:szCs w:val="21"/>
        </w:rPr>
        <w:t>1</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日起至</w:t>
      </w:r>
      <w:r w:rsidRPr="00D97CD7">
        <w:rPr>
          <w:rFonts w:eastAsiaTheme="minorEastAsia"/>
          <w:color w:val="000000" w:themeColor="text1"/>
          <w:szCs w:val="21"/>
        </w:rPr>
        <w:t>3</w:t>
      </w:r>
      <w:r w:rsidRPr="00D97CD7">
        <w:rPr>
          <w:rFonts w:eastAsiaTheme="minorEastAsia"/>
          <w:color w:val="000000" w:themeColor="text1"/>
          <w:szCs w:val="21"/>
        </w:rPr>
        <w:t>月</w:t>
      </w:r>
      <w:r w:rsidRPr="00D97CD7">
        <w:rPr>
          <w:rFonts w:eastAsiaTheme="minorEastAsia"/>
          <w:color w:val="000000" w:themeColor="text1"/>
          <w:szCs w:val="21"/>
        </w:rPr>
        <w:t>31</w:t>
      </w:r>
      <w:r w:rsidRPr="00D97CD7">
        <w:rPr>
          <w:rFonts w:eastAsiaTheme="minorEastAsia"/>
          <w:color w:val="000000" w:themeColor="text1"/>
          <w:szCs w:val="21"/>
        </w:rPr>
        <w:t>日止。</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§2  </w:t>
      </w:r>
      <w:r w:rsidRPr="00D97CD7">
        <w:rPr>
          <w:rFonts w:eastAsiaTheme="minorEastAsia"/>
          <w:color w:val="000000" w:themeColor="text1"/>
          <w:kern w:val="0"/>
          <w:sz w:val="21"/>
          <w:szCs w:val="21"/>
        </w:rPr>
        <w:t>基金产品概况</w:t>
      </w:r>
    </w:p>
    <w:p w:rsidR="00DB3887" w:rsidRPr="00D97CD7" w:rsidRDefault="00FC6961">
      <w:pPr>
        <w:pStyle w:val="2"/>
        <w:keepNext w:val="0"/>
        <w:keepLines w:val="0"/>
        <w:spacing w:before="0" w:after="0"/>
        <w:rPr>
          <w:rFonts w:ascii="Times New Roman" w:eastAsiaTheme="minorEastAsia" w:hAnsi="Times New Roman" w:cs="Times New Roman"/>
          <w:color w:val="000000" w:themeColor="text1"/>
          <w:sz w:val="21"/>
          <w:szCs w:val="21"/>
        </w:rPr>
      </w:pPr>
      <w:bookmarkStart w:id="1" w:name="_Toc245193810"/>
      <w:r w:rsidRPr="00D97CD7">
        <w:rPr>
          <w:rFonts w:ascii="Times New Roman" w:eastAsiaTheme="minorEastAsia" w:hAnsi="Times New Roman" w:cs="Times New Roman"/>
          <w:color w:val="000000" w:themeColor="text1"/>
          <w:sz w:val="21"/>
          <w:szCs w:val="21"/>
        </w:rPr>
        <w:t>2.1</w:t>
      </w:r>
      <w:r w:rsidRPr="00D97CD7">
        <w:rPr>
          <w:rFonts w:ascii="Times New Roman" w:eastAsiaTheme="minorEastAsia" w:hAnsi="Times New Roman" w:cs="Times New Roman"/>
          <w:color w:val="000000" w:themeColor="text1"/>
          <w:sz w:val="21"/>
          <w:szCs w:val="21"/>
        </w:rPr>
        <w:t>基金产品概况</w:t>
      </w:r>
      <w:bookmarkEnd w:id="1"/>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基金简称</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上投摩根</w:t>
            </w: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w:t>
            </w:r>
            <w:r w:rsidRPr="00D97CD7">
              <w:rPr>
                <w:rFonts w:eastAsiaTheme="minorEastAsia"/>
                <w:color w:val="000000" w:themeColor="text1"/>
                <w:kern w:val="0"/>
                <w:szCs w:val="21"/>
              </w:rPr>
              <w:t>ETF</w:t>
            </w:r>
            <w:r w:rsidRPr="00D97CD7">
              <w:rPr>
                <w:rFonts w:eastAsiaTheme="minorEastAsia"/>
                <w:color w:val="000000" w:themeColor="text1"/>
                <w:kern w:val="0"/>
                <w:szCs w:val="21"/>
              </w:rPr>
              <w:t>联接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479" w:type="dxa"/>
            <w:gridSpan w:val="2"/>
            <w:tcBorders>
              <w:bottom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008944</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基金运作方式</w:t>
            </w:r>
          </w:p>
        </w:tc>
        <w:tc>
          <w:tcPr>
            <w:tcW w:w="5479" w:type="dxa"/>
            <w:gridSpan w:val="2"/>
            <w:tcBorders>
              <w:top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契约型开放式</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基金合同生效日</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2020</w:t>
            </w:r>
            <w:r w:rsidRPr="00D97CD7">
              <w:rPr>
                <w:rFonts w:eastAsiaTheme="minorEastAsia"/>
                <w:color w:val="000000" w:themeColor="text1"/>
                <w:kern w:val="0"/>
                <w:szCs w:val="21"/>
              </w:rPr>
              <w:t>年</w:t>
            </w:r>
            <w:r w:rsidRPr="00D97CD7">
              <w:rPr>
                <w:rFonts w:eastAsiaTheme="minorEastAsia"/>
                <w:color w:val="000000" w:themeColor="text1"/>
                <w:kern w:val="0"/>
                <w:szCs w:val="21"/>
              </w:rPr>
              <w:t>7</w:t>
            </w:r>
            <w:r w:rsidRPr="00D97CD7">
              <w:rPr>
                <w:rFonts w:eastAsiaTheme="minorEastAsia"/>
                <w:color w:val="000000" w:themeColor="text1"/>
                <w:kern w:val="0"/>
                <w:szCs w:val="21"/>
              </w:rPr>
              <w:t>月</w:t>
            </w:r>
            <w:r w:rsidRPr="00D97CD7">
              <w:rPr>
                <w:rFonts w:eastAsiaTheme="minorEastAsia"/>
                <w:color w:val="000000" w:themeColor="text1"/>
                <w:kern w:val="0"/>
                <w:szCs w:val="21"/>
              </w:rPr>
              <w:t>22</w:t>
            </w:r>
            <w:r w:rsidRPr="00D97CD7">
              <w:rPr>
                <w:rFonts w:eastAsiaTheme="minorEastAsia"/>
                <w:color w:val="000000" w:themeColor="text1"/>
                <w:kern w:val="0"/>
                <w:szCs w:val="21"/>
              </w:rPr>
              <w:t>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报告期末基金份额总额</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40,627,473.72</w:t>
            </w:r>
            <w:r w:rsidRPr="00D97CD7">
              <w:rPr>
                <w:rFonts w:eastAsiaTheme="minorEastAsia"/>
                <w:color w:val="000000" w:themeColor="text1"/>
                <w:kern w:val="0"/>
                <w:szCs w:val="21"/>
              </w:rPr>
              <w:t>份</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投资目标</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通过对目标</w:t>
            </w:r>
            <w:r w:rsidRPr="00D97CD7">
              <w:rPr>
                <w:rFonts w:eastAsiaTheme="minorEastAsia"/>
                <w:color w:val="000000" w:themeColor="text1"/>
                <w:kern w:val="0"/>
                <w:szCs w:val="21"/>
              </w:rPr>
              <w:t>ETF</w:t>
            </w:r>
            <w:r w:rsidRPr="00D97CD7">
              <w:rPr>
                <w:rFonts w:eastAsiaTheme="minorEastAsia"/>
                <w:color w:val="000000" w:themeColor="text1"/>
                <w:kern w:val="0"/>
                <w:szCs w:val="21"/>
              </w:rPr>
              <w:t>基金份额的投资，追求跟踪标的指数，获得与指数收益相似的回报。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投资策略</w:t>
            </w:r>
          </w:p>
        </w:tc>
        <w:tc>
          <w:tcPr>
            <w:tcW w:w="5479" w:type="dxa"/>
            <w:gridSpan w:val="2"/>
          </w:tcPr>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本基金为上投摩根</w:t>
            </w:r>
            <w:r>
              <w:rPr>
                <w:rFonts w:eastAsiaTheme="minorEastAsia"/>
                <w:color w:val="000000" w:themeColor="text1"/>
                <w:kern w:val="0"/>
                <w:szCs w:val="21"/>
              </w:rPr>
              <w:t>MSCI</w:t>
            </w:r>
            <w:r>
              <w:rPr>
                <w:rFonts w:eastAsiaTheme="minorEastAsia"/>
                <w:color w:val="000000" w:themeColor="text1"/>
                <w:kern w:val="0"/>
                <w:szCs w:val="21"/>
              </w:rPr>
              <w:t>中国</w:t>
            </w:r>
            <w:r>
              <w:rPr>
                <w:rFonts w:eastAsiaTheme="minorEastAsia"/>
                <w:color w:val="000000" w:themeColor="text1"/>
                <w:kern w:val="0"/>
                <w:szCs w:val="21"/>
              </w:rPr>
              <w:t>A</w:t>
            </w:r>
            <w:r>
              <w:rPr>
                <w:rFonts w:eastAsiaTheme="minorEastAsia"/>
                <w:color w:val="000000" w:themeColor="text1"/>
                <w:kern w:val="0"/>
                <w:szCs w:val="21"/>
              </w:rPr>
              <w:t>股交易型开放式指数证券投资基金的联接基金，通过将基金资产主要投资于目标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。如因标的指数编制规则调整或其他因素导致跟踪误差超过上述范围，基金管理人应采取合理措施避免跟踪误差</w:t>
            </w:r>
            <w:r>
              <w:rPr>
                <w:rFonts w:eastAsiaTheme="minorEastAsia"/>
                <w:color w:val="000000" w:themeColor="text1"/>
                <w:kern w:val="0"/>
                <w:szCs w:val="21"/>
              </w:rPr>
              <w:lastRenderedPageBreak/>
              <w:t>进一步扩大。</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综合考虑市场利率、发行条款、支持资产的构成及质量等因素，对资产支持证券的风险与收益状况进行评估，在严格控制风险的情况下，确定资产合理配置比例。</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D80673" w:rsidRDefault="00BF6DE1">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lastRenderedPageBreak/>
              <w:t>业绩比较基准</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股人民币指数收益率</w:t>
            </w:r>
            <w:r w:rsidRPr="00D97CD7">
              <w:rPr>
                <w:rFonts w:eastAsiaTheme="minorEastAsia"/>
                <w:color w:val="000000" w:themeColor="text1"/>
                <w:kern w:val="0"/>
                <w:szCs w:val="21"/>
              </w:rPr>
              <w:t>×95%</w:t>
            </w:r>
            <w:r w:rsidRPr="00D97CD7">
              <w:rPr>
                <w:rFonts w:eastAsiaTheme="minorEastAsia"/>
                <w:color w:val="000000" w:themeColor="text1"/>
                <w:kern w:val="0"/>
                <w:szCs w:val="21"/>
              </w:rPr>
              <w:t>＋活期存款利率（税后）</w:t>
            </w:r>
            <w:r w:rsidRPr="00D97CD7">
              <w:rPr>
                <w:rFonts w:eastAsiaTheme="minorEastAsia"/>
                <w:color w:val="000000" w:themeColor="text1"/>
                <w:kern w:val="0"/>
                <w:szCs w:val="21"/>
              </w:rPr>
              <w:t>×5%</w:t>
            </w:r>
            <w:r w:rsidRPr="00D97CD7">
              <w:rPr>
                <w:rFonts w:eastAsiaTheme="minorEastAsia"/>
                <w:color w:val="000000" w:themeColor="text1"/>
                <w:kern w:val="0"/>
                <w:szCs w:val="21"/>
              </w:rPr>
              <w:t>。</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风险收益特征</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本基金为</w:t>
            </w:r>
            <w:r w:rsidRPr="00D97CD7">
              <w:rPr>
                <w:rFonts w:eastAsiaTheme="minorEastAsia"/>
                <w:color w:val="000000" w:themeColor="text1"/>
                <w:kern w:val="0"/>
                <w:szCs w:val="21"/>
              </w:rPr>
              <w:t>ETF</w:t>
            </w:r>
            <w:r w:rsidRPr="00D97CD7">
              <w:rPr>
                <w:rFonts w:eastAsiaTheme="minorEastAsia"/>
                <w:color w:val="000000" w:themeColor="text1"/>
                <w:kern w:val="0"/>
                <w:szCs w:val="21"/>
              </w:rPr>
              <w:t>联接基金，具有与目标</w:t>
            </w:r>
            <w:r w:rsidRPr="00D97CD7">
              <w:rPr>
                <w:rFonts w:eastAsiaTheme="minorEastAsia"/>
                <w:color w:val="000000" w:themeColor="text1"/>
                <w:kern w:val="0"/>
                <w:szCs w:val="21"/>
              </w:rPr>
              <w:t>ETF</w:t>
            </w:r>
            <w:r w:rsidRPr="00D97CD7">
              <w:rPr>
                <w:rFonts w:eastAsiaTheme="minorEastAsia"/>
                <w:color w:val="000000" w:themeColor="text1"/>
                <w:kern w:val="0"/>
                <w:szCs w:val="21"/>
              </w:rPr>
              <w:t>相似的风险收益特征。目标</w:t>
            </w:r>
            <w:r w:rsidRPr="00D97CD7">
              <w:rPr>
                <w:rFonts w:eastAsiaTheme="minorEastAsia"/>
                <w:color w:val="000000" w:themeColor="text1"/>
                <w:kern w:val="0"/>
                <w:szCs w:val="21"/>
              </w:rPr>
              <w:t>ETF</w:t>
            </w:r>
            <w:r w:rsidRPr="00D97CD7">
              <w:rPr>
                <w:rFonts w:eastAsiaTheme="minorEastAsia"/>
                <w:color w:val="000000" w:themeColor="text1"/>
                <w:kern w:val="0"/>
                <w:szCs w:val="21"/>
              </w:rPr>
              <w:t>为股票型指数基金，因此本基金的预期风险和预期收益高于货币市场基金、债券型基金和混合型基金，且具有与标的指数以及标的指数所代表的股票市场相似的风险收益特征。</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基金管理人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上投摩根基金管理有限公司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基金托管人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平安银行股份有限公司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szCs w:val="21"/>
              </w:rPr>
              <w:t>下属分级基金的基金简称</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下属分级基金的交易代码</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008944</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008945</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报告期末下属分级基金的份额总额</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29,516,924.98</w:t>
            </w:r>
            <w:r w:rsidRPr="00D97CD7">
              <w:rPr>
                <w:rFonts w:eastAsiaTheme="minorEastAsia"/>
                <w:color w:val="000000" w:themeColor="text1"/>
                <w:kern w:val="0"/>
                <w:szCs w:val="21"/>
              </w:rPr>
              <w:t>份</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11,110,548.74</w:t>
            </w:r>
            <w:r w:rsidRPr="00D97CD7">
              <w:rPr>
                <w:rFonts w:eastAsiaTheme="minorEastAsia"/>
                <w:color w:val="000000" w:themeColor="text1"/>
                <w:kern w:val="0"/>
                <w:szCs w:val="21"/>
              </w:rPr>
              <w:t>份</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2.1.1</w:t>
      </w:r>
      <w:r w:rsidRPr="00D97CD7">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4A0" w:firstRow="1" w:lastRow="0" w:firstColumn="1" w:lastColumn="0" w:noHBand="0" w:noVBand="1"/>
      </w:tblPr>
      <w:tblGrid>
        <w:gridCol w:w="2724"/>
        <w:gridCol w:w="5736"/>
      </w:tblGrid>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515770</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交易型开放式</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5</w:t>
            </w:r>
            <w:r w:rsidRPr="00D97CD7">
              <w:rPr>
                <w:rFonts w:eastAsiaTheme="minorEastAsia"/>
                <w:color w:val="000000" w:themeColor="text1"/>
                <w:szCs w:val="21"/>
              </w:rPr>
              <w:t>月</w:t>
            </w:r>
            <w:r w:rsidRPr="00D97CD7">
              <w:rPr>
                <w:rFonts w:eastAsiaTheme="minorEastAsia"/>
                <w:color w:val="000000" w:themeColor="text1"/>
                <w:szCs w:val="21"/>
              </w:rPr>
              <w:t>13</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上海证券交易所</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19</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上投摩根基金管理有限公司</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平安银行股份有限公司</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2.1.2</w:t>
      </w:r>
      <w:r w:rsidRPr="00D97CD7">
        <w:rPr>
          <w:rFonts w:ascii="Times New Roman" w:eastAsiaTheme="minorEastAsia" w:hAnsi="Times New Roman" w:cs="Times New Roman"/>
          <w:color w:val="000000" w:themeColor="text1"/>
          <w:sz w:val="21"/>
          <w:szCs w:val="21"/>
        </w:rPr>
        <w:t>目标基金产品说明</w:t>
      </w:r>
    </w:p>
    <w:tbl>
      <w:tblPr>
        <w:tblW w:w="8460" w:type="dxa"/>
        <w:tblInd w:w="108" w:type="dxa"/>
        <w:tblLayout w:type="fixed"/>
        <w:tblLook w:val="04A0" w:firstRow="1" w:lastRow="0" w:firstColumn="1" w:lastColumn="0" w:noHBand="0" w:noVBand="1"/>
      </w:tblPr>
      <w:tblGrid>
        <w:gridCol w:w="2820"/>
        <w:gridCol w:w="5640"/>
      </w:tblGrid>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本基金进行被动式指数化投资，紧密跟踪标的指数，追求跟踪偏离度和跟踪误差最小化。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本基金的业绩比较基准为标的指数，即</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股人民币指数收益率。</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DB3887" w:rsidRPr="00D97CD7" w:rsidRDefault="00FC6961" w:rsidP="00025CE3">
      <w:pPr>
        <w:pStyle w:val="1"/>
        <w:spacing w:beforeLines="100" w:before="312" w:afterLines="100" w:after="312" w:line="360" w:lineRule="auto"/>
        <w:rPr>
          <w:rFonts w:eastAsiaTheme="minorEastAsia"/>
          <w:color w:val="000000" w:themeColor="text1"/>
          <w:kern w:val="0"/>
          <w:sz w:val="21"/>
          <w:szCs w:val="21"/>
        </w:rPr>
      </w:pPr>
      <w:r w:rsidRPr="00D97CD7">
        <w:rPr>
          <w:rFonts w:eastAsiaTheme="minorEastAsia"/>
          <w:color w:val="000000" w:themeColor="text1"/>
          <w:kern w:val="0"/>
          <w:sz w:val="21"/>
          <w:szCs w:val="21"/>
        </w:rPr>
        <w:t xml:space="preserve">§3  </w:t>
      </w:r>
      <w:r w:rsidRPr="00D97CD7">
        <w:rPr>
          <w:rFonts w:eastAsiaTheme="minorEastAsia"/>
          <w:color w:val="000000" w:themeColor="text1"/>
          <w:kern w:val="0"/>
          <w:sz w:val="21"/>
          <w:szCs w:val="21"/>
        </w:rPr>
        <w:t>主要财务指标和基金净值表现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3.1 </w:t>
      </w:r>
      <w:r w:rsidRPr="00D97CD7">
        <w:rPr>
          <w:rFonts w:eastAsiaTheme="minorEastAsia"/>
          <w:b/>
          <w:color w:val="000000" w:themeColor="text1"/>
          <w:kern w:val="0"/>
          <w:szCs w:val="21"/>
        </w:rPr>
        <w:t>主要财务指标</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DB3887" w:rsidRPr="00D97CD7">
        <w:tc>
          <w:tcPr>
            <w:tcW w:w="3402" w:type="dxa"/>
            <w:vMerge w:val="restart"/>
            <w:vAlign w:val="center"/>
          </w:tcPr>
          <w:p w:rsidR="00DB3887" w:rsidRPr="00D97CD7" w:rsidRDefault="00FC6961">
            <w:pPr>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主要财务指标</w:t>
            </w:r>
          </w:p>
        </w:tc>
        <w:tc>
          <w:tcPr>
            <w:tcW w:w="4962" w:type="dxa"/>
            <w:gridSpan w:val="2"/>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报告期</w:t>
            </w:r>
          </w:p>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(2022</w:t>
            </w:r>
            <w:r w:rsidRPr="00D97CD7">
              <w:rPr>
                <w:rFonts w:eastAsiaTheme="minorEastAsia"/>
                <w:color w:val="000000" w:themeColor="text1"/>
                <w:szCs w:val="21"/>
              </w:rPr>
              <w:t>年</w:t>
            </w:r>
            <w:r w:rsidRPr="00D97CD7">
              <w:rPr>
                <w:rFonts w:eastAsiaTheme="minorEastAsia"/>
                <w:color w:val="000000" w:themeColor="text1"/>
                <w:szCs w:val="21"/>
              </w:rPr>
              <w:t>1</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w:t>
            </w:r>
            <w:r w:rsidRPr="00D97CD7">
              <w:rPr>
                <w:rFonts w:eastAsiaTheme="minorEastAsia"/>
                <w:color w:val="000000" w:themeColor="text1"/>
                <w:szCs w:val="21"/>
              </w:rPr>
              <w:t>-2022</w:t>
            </w:r>
            <w:r w:rsidRPr="00D97CD7">
              <w:rPr>
                <w:rFonts w:eastAsiaTheme="minorEastAsia"/>
                <w:color w:val="000000" w:themeColor="text1"/>
                <w:szCs w:val="21"/>
              </w:rPr>
              <w:t>年</w:t>
            </w:r>
            <w:r w:rsidRPr="00D97CD7">
              <w:rPr>
                <w:rFonts w:eastAsiaTheme="minorEastAsia"/>
                <w:color w:val="000000" w:themeColor="text1"/>
                <w:szCs w:val="21"/>
              </w:rPr>
              <w:t>3</w:t>
            </w:r>
            <w:r w:rsidRPr="00D97CD7">
              <w:rPr>
                <w:rFonts w:eastAsiaTheme="minorEastAsia"/>
                <w:color w:val="000000" w:themeColor="text1"/>
                <w:szCs w:val="21"/>
              </w:rPr>
              <w:t>月</w:t>
            </w:r>
            <w:r w:rsidRPr="00D97CD7">
              <w:rPr>
                <w:rFonts w:eastAsiaTheme="minorEastAsia"/>
                <w:color w:val="000000" w:themeColor="text1"/>
                <w:szCs w:val="21"/>
              </w:rPr>
              <w:t>31</w:t>
            </w:r>
            <w:r w:rsidRPr="00D97CD7">
              <w:rPr>
                <w:rFonts w:eastAsiaTheme="minorEastAsia"/>
                <w:color w:val="000000" w:themeColor="text1"/>
                <w:szCs w:val="21"/>
              </w:rPr>
              <w:t>日</w:t>
            </w:r>
            <w:r w:rsidRPr="00D97CD7">
              <w:rPr>
                <w:rFonts w:eastAsiaTheme="minorEastAsia"/>
                <w:color w:val="000000" w:themeColor="text1"/>
                <w:szCs w:val="21"/>
              </w:rPr>
              <w:t>)</w:t>
            </w:r>
          </w:p>
        </w:tc>
      </w:tr>
      <w:tr w:rsidR="00DB3887" w:rsidRPr="00D97CD7">
        <w:tc>
          <w:tcPr>
            <w:tcW w:w="3402" w:type="dxa"/>
            <w:vMerge/>
            <w:vAlign w:val="center"/>
          </w:tcPr>
          <w:p w:rsidR="00DB3887" w:rsidRPr="00D97CD7" w:rsidRDefault="00DB3887">
            <w:pPr>
              <w:adjustRightInd w:val="0"/>
              <w:spacing w:before="29" w:line="360" w:lineRule="auto"/>
              <w:ind w:left="17"/>
              <w:jc w:val="center"/>
              <w:rPr>
                <w:rFonts w:eastAsiaTheme="minorEastAsia"/>
                <w:color w:val="000000" w:themeColor="text1"/>
                <w:kern w:val="0"/>
                <w:szCs w:val="21"/>
              </w:rPr>
            </w:pP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1.</w:t>
            </w:r>
            <w:r w:rsidRPr="00D97CD7">
              <w:rPr>
                <w:rFonts w:eastAsiaTheme="minorEastAsia"/>
                <w:color w:val="000000" w:themeColor="text1"/>
                <w:kern w:val="0"/>
                <w:szCs w:val="21"/>
              </w:rPr>
              <w:t>本期已实现收益</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45,634.31</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12,845.94</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2.</w:t>
            </w:r>
            <w:r w:rsidRPr="00D97CD7">
              <w:rPr>
                <w:rFonts w:eastAsiaTheme="minorEastAsia"/>
                <w:color w:val="000000" w:themeColor="text1"/>
                <w:kern w:val="0"/>
                <w:szCs w:val="21"/>
              </w:rPr>
              <w:t>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-5,168,857.22</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-1,912,375.57</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加权平均基金份额本期利润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-0.1628</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-0.1619</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4.</w:t>
            </w:r>
            <w:r w:rsidRPr="00D97CD7">
              <w:rPr>
                <w:rFonts w:eastAsiaTheme="minorEastAsia"/>
                <w:color w:val="000000" w:themeColor="text1"/>
                <w:kern w:val="0"/>
                <w:szCs w:val="21"/>
              </w:rPr>
              <w:t>期末基金资产净值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29,352,625.24</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11,030,215.09</w:t>
            </w:r>
          </w:p>
        </w:tc>
      </w:tr>
      <w:tr w:rsidR="00DB3887" w:rsidRPr="00D97CD7">
        <w:trPr>
          <w:trHeight w:val="158"/>
        </w:trPr>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5.</w:t>
            </w:r>
            <w:r w:rsidRPr="00D97CD7">
              <w:rPr>
                <w:rFonts w:eastAsiaTheme="minorEastAsia"/>
                <w:color w:val="000000" w:themeColor="text1"/>
                <w:kern w:val="0"/>
                <w:szCs w:val="21"/>
              </w:rPr>
              <w:t>期末基金份额净值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0.9944</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0.9928</w:t>
            </w:r>
          </w:p>
        </w:tc>
      </w:tr>
    </w:tbl>
    <w:p w:rsidR="00D80673" w:rsidRDefault="00BF6D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3.2 </w:t>
      </w:r>
      <w:r w:rsidRPr="00D97CD7">
        <w:rPr>
          <w:rFonts w:eastAsiaTheme="minorEastAsia"/>
          <w:b/>
          <w:color w:val="000000" w:themeColor="text1"/>
          <w:kern w:val="0"/>
          <w:szCs w:val="21"/>
        </w:rPr>
        <w:t>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3.2.1</w:t>
      </w:r>
      <w:r w:rsidRPr="00D97CD7">
        <w:rPr>
          <w:rFonts w:eastAsiaTheme="minorEastAsia"/>
          <w:b/>
          <w:color w:val="000000" w:themeColor="text1"/>
          <w:kern w:val="0"/>
          <w:szCs w:val="21"/>
        </w:rPr>
        <w:t>本报告期基金份额净值增长率及其与同期业绩比较基准收益率的比较</w:t>
      </w:r>
    </w:p>
    <w:p w:rsidR="00DB3887" w:rsidRDefault="00FC6961">
      <w:pPr>
        <w:spacing w:line="360" w:lineRule="auto"/>
        <w:rPr>
          <w:rFonts w:eastAsiaTheme="minorEastAsia"/>
          <w:b/>
          <w:color w:val="000000" w:themeColor="text1"/>
          <w:szCs w:val="21"/>
        </w:rPr>
      </w:pPr>
      <w:r w:rsidRPr="00D97CD7">
        <w:rPr>
          <w:rFonts w:eastAsiaTheme="minorEastAsia"/>
          <w:b/>
          <w:color w:val="000000" w:themeColor="text1"/>
          <w:szCs w:val="21"/>
        </w:rPr>
        <w:t>1</w:t>
      </w:r>
      <w:r w:rsidRPr="00D97CD7">
        <w:rPr>
          <w:rFonts w:eastAsiaTheme="minorEastAsia"/>
          <w:b/>
          <w:color w:val="000000" w:themeColor="text1"/>
          <w:szCs w:val="21"/>
        </w:rPr>
        <w:t>、</w:t>
      </w:r>
      <w:r w:rsidRPr="00D97CD7">
        <w:rPr>
          <w:rFonts w:eastAsiaTheme="minorEastAsia"/>
          <w:b/>
          <w:color w:val="000000" w:themeColor="text1"/>
          <w:kern w:val="0"/>
          <w:szCs w:val="21"/>
        </w:rPr>
        <w:t>上投摩根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A</w:t>
      </w:r>
      <w:r w:rsidRPr="00D97CD7">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A63C1" w:rsidRPr="00D97CD7" w:rsidTr="00027393">
        <w:tc>
          <w:tcPr>
            <w:tcW w:w="1290" w:type="dxa"/>
            <w:vAlign w:val="center"/>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5A63C1" w:rsidTr="00027393">
        <w:tc>
          <w:tcPr>
            <w:tcW w:w="1290" w:type="dxa"/>
            <w:vAlign w:val="center"/>
          </w:tcPr>
          <w:p w:rsidR="005A63C1" w:rsidRDefault="005A63C1" w:rsidP="00027393">
            <w:pPr>
              <w:jc w:val="left"/>
            </w:pPr>
            <w:r>
              <w:rPr>
                <w:rFonts w:eastAsiaTheme="minorEastAsia"/>
                <w:color w:val="000000" w:themeColor="text1"/>
                <w:szCs w:val="21"/>
              </w:rPr>
              <w:t>过去三个月</w:t>
            </w:r>
          </w:p>
        </w:tc>
        <w:tc>
          <w:tcPr>
            <w:tcW w:w="1291" w:type="dxa"/>
            <w:vAlign w:val="center"/>
          </w:tcPr>
          <w:p w:rsidR="005A63C1" w:rsidRDefault="005A63C1" w:rsidP="00027393">
            <w:pPr>
              <w:jc w:val="right"/>
            </w:pPr>
            <w:r>
              <w:rPr>
                <w:rFonts w:eastAsiaTheme="minorEastAsia"/>
                <w:color w:val="000000" w:themeColor="text1"/>
                <w:szCs w:val="21"/>
              </w:rPr>
              <w:t>-13.98%</w:t>
            </w:r>
          </w:p>
        </w:tc>
        <w:tc>
          <w:tcPr>
            <w:tcW w:w="1291" w:type="dxa"/>
            <w:vAlign w:val="center"/>
          </w:tcPr>
          <w:p w:rsidR="005A63C1" w:rsidRDefault="005A63C1" w:rsidP="00027393">
            <w:pPr>
              <w:jc w:val="right"/>
            </w:pPr>
            <w:r>
              <w:rPr>
                <w:rFonts w:eastAsiaTheme="minorEastAsia"/>
                <w:color w:val="000000" w:themeColor="text1"/>
                <w:szCs w:val="21"/>
              </w:rPr>
              <w:t>1.36%</w:t>
            </w:r>
          </w:p>
        </w:tc>
        <w:tc>
          <w:tcPr>
            <w:tcW w:w="1291" w:type="dxa"/>
            <w:vAlign w:val="center"/>
          </w:tcPr>
          <w:p w:rsidR="005A63C1" w:rsidRDefault="005A63C1" w:rsidP="00027393">
            <w:pPr>
              <w:jc w:val="right"/>
            </w:pPr>
            <w:r>
              <w:rPr>
                <w:rFonts w:eastAsiaTheme="minorEastAsia"/>
                <w:color w:val="000000" w:themeColor="text1"/>
                <w:szCs w:val="21"/>
              </w:rPr>
              <w:t>-13.96%</w:t>
            </w:r>
          </w:p>
        </w:tc>
        <w:tc>
          <w:tcPr>
            <w:tcW w:w="1291" w:type="dxa"/>
            <w:vAlign w:val="center"/>
          </w:tcPr>
          <w:p w:rsidR="005A63C1" w:rsidRDefault="005A63C1" w:rsidP="00027393">
            <w:pPr>
              <w:jc w:val="right"/>
            </w:pPr>
            <w:r>
              <w:rPr>
                <w:rFonts w:eastAsiaTheme="minorEastAsia"/>
                <w:color w:val="000000" w:themeColor="text1"/>
                <w:szCs w:val="21"/>
              </w:rPr>
              <w:t>1.38%</w:t>
            </w:r>
          </w:p>
        </w:tc>
        <w:tc>
          <w:tcPr>
            <w:tcW w:w="1291" w:type="dxa"/>
            <w:vAlign w:val="center"/>
          </w:tcPr>
          <w:p w:rsidR="005A63C1" w:rsidRDefault="005A63C1" w:rsidP="00027393">
            <w:pPr>
              <w:jc w:val="right"/>
            </w:pPr>
            <w:r>
              <w:rPr>
                <w:rFonts w:eastAsiaTheme="minorEastAsia"/>
                <w:color w:val="000000" w:themeColor="text1"/>
                <w:szCs w:val="21"/>
              </w:rPr>
              <w:t>-0.02%</w:t>
            </w:r>
          </w:p>
        </w:tc>
        <w:tc>
          <w:tcPr>
            <w:tcW w:w="1291" w:type="dxa"/>
            <w:vAlign w:val="center"/>
          </w:tcPr>
          <w:p w:rsidR="005A63C1" w:rsidRDefault="005A63C1" w:rsidP="00027393">
            <w:pPr>
              <w:jc w:val="right"/>
            </w:pPr>
            <w:r>
              <w:rPr>
                <w:rFonts w:eastAsiaTheme="minorEastAsia"/>
                <w:color w:val="000000" w:themeColor="text1"/>
                <w:szCs w:val="21"/>
              </w:rPr>
              <w:t>-0.02%</w:t>
            </w:r>
          </w:p>
        </w:tc>
      </w:tr>
      <w:tr w:rsidR="005A63C1" w:rsidTr="00027393">
        <w:tc>
          <w:tcPr>
            <w:tcW w:w="1290" w:type="dxa"/>
            <w:vAlign w:val="center"/>
          </w:tcPr>
          <w:p w:rsidR="005A63C1" w:rsidRDefault="005A63C1" w:rsidP="00027393">
            <w:pPr>
              <w:jc w:val="left"/>
            </w:pPr>
            <w:r>
              <w:rPr>
                <w:rFonts w:eastAsiaTheme="minorEastAsia"/>
                <w:color w:val="000000" w:themeColor="text1"/>
                <w:szCs w:val="21"/>
              </w:rPr>
              <w:t>过去六个月</w:t>
            </w:r>
          </w:p>
        </w:tc>
        <w:tc>
          <w:tcPr>
            <w:tcW w:w="1291" w:type="dxa"/>
            <w:vAlign w:val="center"/>
          </w:tcPr>
          <w:p w:rsidR="005A63C1" w:rsidRDefault="005A63C1" w:rsidP="00027393">
            <w:pPr>
              <w:jc w:val="right"/>
            </w:pPr>
            <w:r>
              <w:rPr>
                <w:rFonts w:eastAsiaTheme="minorEastAsia"/>
                <w:color w:val="000000" w:themeColor="text1"/>
                <w:szCs w:val="21"/>
              </w:rPr>
              <w:t>-12.33%</w:t>
            </w:r>
          </w:p>
        </w:tc>
        <w:tc>
          <w:tcPr>
            <w:tcW w:w="1291" w:type="dxa"/>
            <w:vAlign w:val="center"/>
          </w:tcPr>
          <w:p w:rsidR="005A63C1" w:rsidRDefault="005A63C1" w:rsidP="00027393">
            <w:pPr>
              <w:jc w:val="right"/>
            </w:pPr>
            <w:r>
              <w:rPr>
                <w:rFonts w:eastAsiaTheme="minorEastAsia"/>
                <w:color w:val="000000" w:themeColor="text1"/>
                <w:szCs w:val="21"/>
              </w:rPr>
              <w:t>1.08%</w:t>
            </w:r>
          </w:p>
        </w:tc>
        <w:tc>
          <w:tcPr>
            <w:tcW w:w="1291" w:type="dxa"/>
            <w:vAlign w:val="center"/>
          </w:tcPr>
          <w:p w:rsidR="005A63C1" w:rsidRDefault="005A63C1" w:rsidP="00027393">
            <w:pPr>
              <w:jc w:val="right"/>
            </w:pPr>
            <w:r>
              <w:rPr>
                <w:rFonts w:eastAsiaTheme="minorEastAsia"/>
                <w:color w:val="000000" w:themeColor="text1"/>
                <w:szCs w:val="21"/>
              </w:rPr>
              <w:t>-12.68%</w:t>
            </w:r>
          </w:p>
        </w:tc>
        <w:tc>
          <w:tcPr>
            <w:tcW w:w="1291" w:type="dxa"/>
            <w:vAlign w:val="center"/>
          </w:tcPr>
          <w:p w:rsidR="005A63C1" w:rsidRDefault="005A63C1" w:rsidP="00027393">
            <w:pPr>
              <w:jc w:val="right"/>
            </w:pPr>
            <w:r>
              <w:rPr>
                <w:rFonts w:eastAsiaTheme="minorEastAsia"/>
                <w:color w:val="000000" w:themeColor="text1"/>
                <w:szCs w:val="21"/>
              </w:rPr>
              <w:t>1.10%</w:t>
            </w:r>
          </w:p>
        </w:tc>
        <w:tc>
          <w:tcPr>
            <w:tcW w:w="1291" w:type="dxa"/>
            <w:vAlign w:val="center"/>
          </w:tcPr>
          <w:p w:rsidR="005A63C1" w:rsidRDefault="005A63C1" w:rsidP="00027393">
            <w:pPr>
              <w:jc w:val="right"/>
            </w:pPr>
            <w:r>
              <w:rPr>
                <w:rFonts w:eastAsiaTheme="minorEastAsia"/>
                <w:color w:val="000000" w:themeColor="text1"/>
                <w:szCs w:val="21"/>
              </w:rPr>
              <w:t>0.35%</w:t>
            </w:r>
          </w:p>
        </w:tc>
        <w:tc>
          <w:tcPr>
            <w:tcW w:w="1291" w:type="dxa"/>
            <w:vAlign w:val="center"/>
          </w:tcPr>
          <w:p w:rsidR="005A63C1" w:rsidRDefault="005A63C1" w:rsidP="00027393">
            <w:pPr>
              <w:jc w:val="right"/>
            </w:pPr>
            <w:r>
              <w:rPr>
                <w:rFonts w:eastAsiaTheme="minorEastAsia"/>
                <w:color w:val="000000" w:themeColor="text1"/>
                <w:szCs w:val="21"/>
              </w:rPr>
              <w:t>-0.02%</w:t>
            </w:r>
          </w:p>
        </w:tc>
      </w:tr>
      <w:tr w:rsidR="005A63C1" w:rsidTr="00027393">
        <w:tc>
          <w:tcPr>
            <w:tcW w:w="1290" w:type="dxa"/>
            <w:vAlign w:val="center"/>
          </w:tcPr>
          <w:p w:rsidR="005A63C1" w:rsidRDefault="005A63C1" w:rsidP="00027393">
            <w:pPr>
              <w:jc w:val="left"/>
            </w:pPr>
            <w:r>
              <w:rPr>
                <w:rFonts w:eastAsiaTheme="minorEastAsia"/>
                <w:color w:val="000000" w:themeColor="text1"/>
                <w:szCs w:val="21"/>
              </w:rPr>
              <w:t>过去一年</w:t>
            </w:r>
          </w:p>
        </w:tc>
        <w:tc>
          <w:tcPr>
            <w:tcW w:w="1291" w:type="dxa"/>
            <w:vAlign w:val="center"/>
          </w:tcPr>
          <w:p w:rsidR="005A63C1" w:rsidRDefault="005A63C1" w:rsidP="00027393">
            <w:pPr>
              <w:jc w:val="right"/>
            </w:pPr>
            <w:r>
              <w:rPr>
                <w:rFonts w:eastAsiaTheme="minorEastAsia"/>
                <w:color w:val="000000" w:themeColor="text1"/>
                <w:szCs w:val="21"/>
              </w:rPr>
              <w:t>-7.43%</w:t>
            </w:r>
          </w:p>
        </w:tc>
        <w:tc>
          <w:tcPr>
            <w:tcW w:w="1291" w:type="dxa"/>
            <w:vAlign w:val="center"/>
          </w:tcPr>
          <w:p w:rsidR="005A63C1" w:rsidRDefault="005A63C1" w:rsidP="00027393">
            <w:pPr>
              <w:jc w:val="right"/>
            </w:pPr>
            <w:r>
              <w:rPr>
                <w:rFonts w:eastAsiaTheme="minorEastAsia"/>
                <w:color w:val="000000" w:themeColor="text1"/>
                <w:szCs w:val="21"/>
              </w:rPr>
              <w:t>1.04%</w:t>
            </w:r>
          </w:p>
        </w:tc>
        <w:tc>
          <w:tcPr>
            <w:tcW w:w="1291" w:type="dxa"/>
            <w:vAlign w:val="center"/>
          </w:tcPr>
          <w:p w:rsidR="005A63C1" w:rsidRDefault="005A63C1" w:rsidP="00027393">
            <w:pPr>
              <w:jc w:val="right"/>
            </w:pPr>
            <w:r>
              <w:rPr>
                <w:rFonts w:eastAsiaTheme="minorEastAsia"/>
                <w:color w:val="000000" w:themeColor="text1"/>
                <w:szCs w:val="21"/>
              </w:rPr>
              <w:t>-11.56%</w:t>
            </w:r>
          </w:p>
        </w:tc>
        <w:tc>
          <w:tcPr>
            <w:tcW w:w="1291" w:type="dxa"/>
            <w:vAlign w:val="center"/>
          </w:tcPr>
          <w:p w:rsidR="005A63C1" w:rsidRDefault="005A63C1" w:rsidP="00027393">
            <w:pPr>
              <w:jc w:val="right"/>
            </w:pPr>
            <w:r>
              <w:rPr>
                <w:rFonts w:eastAsiaTheme="minorEastAsia"/>
                <w:color w:val="000000" w:themeColor="text1"/>
                <w:szCs w:val="21"/>
              </w:rPr>
              <w:t>1.06%</w:t>
            </w:r>
          </w:p>
        </w:tc>
        <w:tc>
          <w:tcPr>
            <w:tcW w:w="1291" w:type="dxa"/>
            <w:vAlign w:val="center"/>
          </w:tcPr>
          <w:p w:rsidR="005A63C1" w:rsidRDefault="005A63C1" w:rsidP="00027393">
            <w:pPr>
              <w:jc w:val="right"/>
            </w:pPr>
            <w:r>
              <w:rPr>
                <w:rFonts w:eastAsiaTheme="minorEastAsia"/>
                <w:color w:val="000000" w:themeColor="text1"/>
                <w:szCs w:val="21"/>
              </w:rPr>
              <w:t>4.13%</w:t>
            </w:r>
          </w:p>
        </w:tc>
        <w:tc>
          <w:tcPr>
            <w:tcW w:w="1291" w:type="dxa"/>
            <w:vAlign w:val="center"/>
          </w:tcPr>
          <w:p w:rsidR="005A63C1" w:rsidRDefault="005A63C1" w:rsidP="00027393">
            <w:pPr>
              <w:jc w:val="right"/>
            </w:pPr>
            <w:r>
              <w:rPr>
                <w:rFonts w:eastAsiaTheme="minorEastAsia"/>
                <w:color w:val="000000" w:themeColor="text1"/>
                <w:szCs w:val="21"/>
              </w:rPr>
              <w:t>-0.02%</w:t>
            </w:r>
          </w:p>
        </w:tc>
      </w:tr>
      <w:tr w:rsidR="005A63C1" w:rsidTr="00027393">
        <w:tc>
          <w:tcPr>
            <w:tcW w:w="1290" w:type="dxa"/>
            <w:vAlign w:val="center"/>
          </w:tcPr>
          <w:p w:rsidR="005A63C1" w:rsidRDefault="005A63C1" w:rsidP="00027393">
            <w:pPr>
              <w:jc w:val="left"/>
            </w:pPr>
            <w:r>
              <w:rPr>
                <w:rFonts w:eastAsiaTheme="minorEastAsia"/>
                <w:color w:val="000000" w:themeColor="text1"/>
                <w:szCs w:val="21"/>
              </w:rPr>
              <w:t>过去三年</w:t>
            </w:r>
          </w:p>
        </w:tc>
        <w:tc>
          <w:tcPr>
            <w:tcW w:w="1291" w:type="dxa"/>
            <w:vAlign w:val="center"/>
          </w:tcPr>
          <w:p w:rsidR="005A63C1" w:rsidRDefault="005A63C1" w:rsidP="00027393">
            <w:pPr>
              <w:jc w:val="right"/>
            </w:pPr>
            <w:r>
              <w:rPr>
                <w:rFonts w:eastAsiaTheme="minorEastAsia"/>
                <w:color w:val="000000" w:themeColor="text1"/>
                <w:szCs w:val="21"/>
              </w:rPr>
              <w:t>-</w:t>
            </w:r>
          </w:p>
        </w:tc>
        <w:tc>
          <w:tcPr>
            <w:tcW w:w="1291" w:type="dxa"/>
            <w:vAlign w:val="center"/>
          </w:tcPr>
          <w:p w:rsidR="005A63C1" w:rsidRDefault="005A63C1" w:rsidP="00027393">
            <w:pPr>
              <w:jc w:val="right"/>
            </w:pPr>
            <w:r>
              <w:rPr>
                <w:rFonts w:eastAsiaTheme="minorEastAsia"/>
                <w:color w:val="000000" w:themeColor="text1"/>
                <w:szCs w:val="21"/>
              </w:rPr>
              <w:t>-</w:t>
            </w:r>
          </w:p>
        </w:tc>
        <w:tc>
          <w:tcPr>
            <w:tcW w:w="1291" w:type="dxa"/>
            <w:vAlign w:val="center"/>
          </w:tcPr>
          <w:p w:rsidR="005A63C1" w:rsidRDefault="005A63C1" w:rsidP="00027393">
            <w:pPr>
              <w:jc w:val="right"/>
            </w:pPr>
            <w:r>
              <w:rPr>
                <w:rFonts w:eastAsiaTheme="minorEastAsia"/>
                <w:color w:val="000000" w:themeColor="text1"/>
                <w:szCs w:val="21"/>
              </w:rPr>
              <w:t>-</w:t>
            </w:r>
          </w:p>
        </w:tc>
        <w:tc>
          <w:tcPr>
            <w:tcW w:w="1291" w:type="dxa"/>
            <w:vAlign w:val="center"/>
          </w:tcPr>
          <w:p w:rsidR="005A63C1" w:rsidRDefault="005A63C1" w:rsidP="00027393">
            <w:pPr>
              <w:jc w:val="right"/>
            </w:pPr>
            <w:r>
              <w:rPr>
                <w:rFonts w:eastAsiaTheme="minorEastAsia"/>
                <w:color w:val="000000" w:themeColor="text1"/>
                <w:szCs w:val="21"/>
              </w:rPr>
              <w:t>-</w:t>
            </w:r>
          </w:p>
        </w:tc>
        <w:tc>
          <w:tcPr>
            <w:tcW w:w="1291" w:type="dxa"/>
            <w:vAlign w:val="center"/>
          </w:tcPr>
          <w:p w:rsidR="005A63C1" w:rsidRDefault="005A63C1" w:rsidP="00027393">
            <w:pPr>
              <w:jc w:val="right"/>
            </w:pPr>
            <w:r>
              <w:rPr>
                <w:rFonts w:eastAsiaTheme="minorEastAsia"/>
                <w:color w:val="000000" w:themeColor="text1"/>
                <w:szCs w:val="21"/>
              </w:rPr>
              <w:t>-</w:t>
            </w:r>
          </w:p>
        </w:tc>
        <w:tc>
          <w:tcPr>
            <w:tcW w:w="1291" w:type="dxa"/>
            <w:vAlign w:val="center"/>
          </w:tcPr>
          <w:p w:rsidR="005A63C1" w:rsidRDefault="005A63C1" w:rsidP="00027393">
            <w:pPr>
              <w:jc w:val="right"/>
            </w:pPr>
            <w:r>
              <w:rPr>
                <w:rFonts w:eastAsiaTheme="minorEastAsia"/>
                <w:color w:val="000000" w:themeColor="text1"/>
                <w:szCs w:val="21"/>
              </w:rPr>
              <w:t>-</w:t>
            </w:r>
          </w:p>
        </w:tc>
      </w:tr>
      <w:tr w:rsidR="005A63C1" w:rsidTr="00027393">
        <w:tc>
          <w:tcPr>
            <w:tcW w:w="1290" w:type="dxa"/>
            <w:vAlign w:val="center"/>
          </w:tcPr>
          <w:p w:rsidR="005A63C1" w:rsidRDefault="005A63C1" w:rsidP="00027393">
            <w:pPr>
              <w:jc w:val="left"/>
            </w:pPr>
            <w:r>
              <w:rPr>
                <w:rFonts w:eastAsiaTheme="minorEastAsia"/>
                <w:color w:val="000000" w:themeColor="text1"/>
                <w:szCs w:val="21"/>
              </w:rPr>
              <w:t>过去五年</w:t>
            </w:r>
          </w:p>
        </w:tc>
        <w:tc>
          <w:tcPr>
            <w:tcW w:w="1291" w:type="dxa"/>
            <w:vAlign w:val="center"/>
          </w:tcPr>
          <w:p w:rsidR="005A63C1" w:rsidRDefault="005A63C1" w:rsidP="00027393">
            <w:pPr>
              <w:jc w:val="right"/>
            </w:pPr>
            <w:r>
              <w:rPr>
                <w:rFonts w:eastAsiaTheme="minorEastAsia"/>
                <w:color w:val="000000" w:themeColor="text1"/>
                <w:szCs w:val="21"/>
              </w:rPr>
              <w:t>-</w:t>
            </w:r>
          </w:p>
        </w:tc>
        <w:tc>
          <w:tcPr>
            <w:tcW w:w="1291" w:type="dxa"/>
            <w:vAlign w:val="center"/>
          </w:tcPr>
          <w:p w:rsidR="005A63C1" w:rsidRDefault="005A63C1" w:rsidP="00027393">
            <w:pPr>
              <w:jc w:val="right"/>
            </w:pPr>
            <w:r>
              <w:rPr>
                <w:rFonts w:eastAsiaTheme="minorEastAsia"/>
                <w:color w:val="000000" w:themeColor="text1"/>
                <w:szCs w:val="21"/>
              </w:rPr>
              <w:t>-</w:t>
            </w:r>
          </w:p>
        </w:tc>
        <w:tc>
          <w:tcPr>
            <w:tcW w:w="1291" w:type="dxa"/>
            <w:vAlign w:val="center"/>
          </w:tcPr>
          <w:p w:rsidR="005A63C1" w:rsidRDefault="005A63C1" w:rsidP="00027393">
            <w:pPr>
              <w:jc w:val="right"/>
            </w:pPr>
            <w:r>
              <w:rPr>
                <w:rFonts w:eastAsiaTheme="minorEastAsia"/>
                <w:color w:val="000000" w:themeColor="text1"/>
                <w:szCs w:val="21"/>
              </w:rPr>
              <w:t>-</w:t>
            </w:r>
          </w:p>
        </w:tc>
        <w:tc>
          <w:tcPr>
            <w:tcW w:w="1291" w:type="dxa"/>
            <w:vAlign w:val="center"/>
          </w:tcPr>
          <w:p w:rsidR="005A63C1" w:rsidRDefault="005A63C1" w:rsidP="00027393">
            <w:pPr>
              <w:jc w:val="right"/>
            </w:pPr>
            <w:r>
              <w:rPr>
                <w:rFonts w:eastAsiaTheme="minorEastAsia"/>
                <w:color w:val="000000" w:themeColor="text1"/>
                <w:szCs w:val="21"/>
              </w:rPr>
              <w:t>-</w:t>
            </w:r>
          </w:p>
        </w:tc>
        <w:tc>
          <w:tcPr>
            <w:tcW w:w="1291" w:type="dxa"/>
            <w:vAlign w:val="center"/>
          </w:tcPr>
          <w:p w:rsidR="005A63C1" w:rsidRDefault="005A63C1" w:rsidP="00027393">
            <w:pPr>
              <w:jc w:val="right"/>
            </w:pPr>
            <w:r>
              <w:rPr>
                <w:rFonts w:eastAsiaTheme="minorEastAsia"/>
                <w:color w:val="000000" w:themeColor="text1"/>
                <w:szCs w:val="21"/>
              </w:rPr>
              <w:t>-</w:t>
            </w:r>
          </w:p>
        </w:tc>
        <w:tc>
          <w:tcPr>
            <w:tcW w:w="1291" w:type="dxa"/>
            <w:vAlign w:val="center"/>
          </w:tcPr>
          <w:p w:rsidR="005A63C1" w:rsidRDefault="005A63C1" w:rsidP="00027393">
            <w:pPr>
              <w:jc w:val="right"/>
            </w:pPr>
            <w:r>
              <w:rPr>
                <w:rFonts w:eastAsiaTheme="minorEastAsia"/>
                <w:color w:val="000000" w:themeColor="text1"/>
                <w:szCs w:val="21"/>
              </w:rPr>
              <w:t>-</w:t>
            </w:r>
          </w:p>
        </w:tc>
      </w:tr>
      <w:tr w:rsidR="005A63C1" w:rsidTr="00027393">
        <w:tc>
          <w:tcPr>
            <w:tcW w:w="1290" w:type="dxa"/>
            <w:vAlign w:val="center"/>
          </w:tcPr>
          <w:p w:rsidR="005A63C1" w:rsidRDefault="005A63C1" w:rsidP="00027393">
            <w:pPr>
              <w:jc w:val="left"/>
            </w:pPr>
            <w:r>
              <w:rPr>
                <w:rFonts w:eastAsiaTheme="minorEastAsia"/>
                <w:color w:val="000000" w:themeColor="text1"/>
                <w:szCs w:val="21"/>
              </w:rPr>
              <w:t>自基金合同生效起至今</w:t>
            </w:r>
          </w:p>
        </w:tc>
        <w:tc>
          <w:tcPr>
            <w:tcW w:w="1291" w:type="dxa"/>
            <w:vAlign w:val="center"/>
          </w:tcPr>
          <w:p w:rsidR="005A63C1" w:rsidRDefault="005A63C1" w:rsidP="00027393">
            <w:pPr>
              <w:jc w:val="right"/>
            </w:pPr>
            <w:r>
              <w:rPr>
                <w:rFonts w:eastAsiaTheme="minorEastAsia"/>
                <w:color w:val="000000" w:themeColor="text1"/>
                <w:szCs w:val="21"/>
              </w:rPr>
              <w:t>-0.56%</w:t>
            </w:r>
          </w:p>
        </w:tc>
        <w:tc>
          <w:tcPr>
            <w:tcW w:w="1291" w:type="dxa"/>
            <w:vAlign w:val="center"/>
          </w:tcPr>
          <w:p w:rsidR="005A63C1" w:rsidRDefault="005A63C1" w:rsidP="00027393">
            <w:pPr>
              <w:jc w:val="right"/>
            </w:pPr>
            <w:r>
              <w:rPr>
                <w:rFonts w:eastAsiaTheme="minorEastAsia"/>
                <w:color w:val="000000" w:themeColor="text1"/>
                <w:szCs w:val="21"/>
              </w:rPr>
              <w:t>1.09%</w:t>
            </w:r>
          </w:p>
        </w:tc>
        <w:tc>
          <w:tcPr>
            <w:tcW w:w="1291" w:type="dxa"/>
            <w:vAlign w:val="center"/>
          </w:tcPr>
          <w:p w:rsidR="005A63C1" w:rsidRDefault="005A63C1" w:rsidP="00027393">
            <w:pPr>
              <w:jc w:val="right"/>
            </w:pPr>
            <w:r>
              <w:rPr>
                <w:rFonts w:eastAsiaTheme="minorEastAsia"/>
                <w:color w:val="000000" w:themeColor="text1"/>
                <w:szCs w:val="21"/>
              </w:rPr>
              <w:t>-5.87%</w:t>
            </w:r>
          </w:p>
        </w:tc>
        <w:tc>
          <w:tcPr>
            <w:tcW w:w="1291" w:type="dxa"/>
            <w:vAlign w:val="center"/>
          </w:tcPr>
          <w:p w:rsidR="005A63C1" w:rsidRDefault="005A63C1" w:rsidP="00027393">
            <w:pPr>
              <w:jc w:val="right"/>
            </w:pPr>
            <w:r>
              <w:rPr>
                <w:rFonts w:eastAsiaTheme="minorEastAsia"/>
                <w:color w:val="000000" w:themeColor="text1"/>
                <w:szCs w:val="21"/>
              </w:rPr>
              <w:t>1.15%</w:t>
            </w:r>
          </w:p>
        </w:tc>
        <w:tc>
          <w:tcPr>
            <w:tcW w:w="1291" w:type="dxa"/>
            <w:vAlign w:val="center"/>
          </w:tcPr>
          <w:p w:rsidR="005A63C1" w:rsidRDefault="005A63C1" w:rsidP="00027393">
            <w:pPr>
              <w:jc w:val="right"/>
            </w:pPr>
            <w:r>
              <w:rPr>
                <w:rFonts w:eastAsiaTheme="minorEastAsia"/>
                <w:color w:val="000000" w:themeColor="text1"/>
                <w:szCs w:val="21"/>
              </w:rPr>
              <w:t>5.31%</w:t>
            </w:r>
          </w:p>
        </w:tc>
        <w:tc>
          <w:tcPr>
            <w:tcW w:w="1291" w:type="dxa"/>
            <w:vAlign w:val="center"/>
          </w:tcPr>
          <w:p w:rsidR="005A63C1" w:rsidRDefault="005A63C1" w:rsidP="00027393">
            <w:pPr>
              <w:jc w:val="right"/>
            </w:pPr>
            <w:r>
              <w:rPr>
                <w:rFonts w:eastAsiaTheme="minorEastAsia"/>
                <w:color w:val="000000" w:themeColor="text1"/>
                <w:szCs w:val="21"/>
              </w:rPr>
              <w:t>-0.06%</w:t>
            </w:r>
          </w:p>
        </w:tc>
      </w:tr>
    </w:tbl>
    <w:p w:rsidR="005A63C1" w:rsidRPr="00D97CD7" w:rsidRDefault="005A63C1">
      <w:pPr>
        <w:spacing w:line="360" w:lineRule="auto"/>
        <w:rPr>
          <w:rFonts w:eastAsiaTheme="minorEastAsia"/>
          <w:b/>
          <w:color w:val="000000" w:themeColor="text1"/>
          <w:szCs w:val="21"/>
        </w:rPr>
      </w:pPr>
    </w:p>
    <w:p w:rsidR="00DB3887" w:rsidRDefault="00FC6961">
      <w:pPr>
        <w:adjustRightInd w:val="0"/>
        <w:spacing w:beforeLines="100" w:before="312" w:line="360" w:lineRule="auto"/>
        <w:rPr>
          <w:rFonts w:eastAsiaTheme="minorEastAsia"/>
          <w:b/>
          <w:color w:val="000000" w:themeColor="text1"/>
          <w:kern w:val="0"/>
          <w:szCs w:val="21"/>
        </w:rPr>
      </w:pPr>
      <w:r w:rsidRPr="00D97CD7">
        <w:rPr>
          <w:rFonts w:eastAsiaTheme="minorEastAsia"/>
          <w:b/>
          <w:color w:val="000000" w:themeColor="text1"/>
          <w:szCs w:val="21"/>
        </w:rPr>
        <w:t>2</w:t>
      </w:r>
      <w:r w:rsidRPr="00D97CD7">
        <w:rPr>
          <w:rFonts w:eastAsiaTheme="minorEastAsia"/>
          <w:b/>
          <w:color w:val="000000" w:themeColor="text1"/>
          <w:szCs w:val="21"/>
        </w:rPr>
        <w:t>、</w:t>
      </w:r>
      <w:r w:rsidRPr="00D97CD7">
        <w:rPr>
          <w:rFonts w:eastAsiaTheme="minorEastAsia"/>
          <w:b/>
          <w:color w:val="000000" w:themeColor="text1"/>
          <w:kern w:val="0"/>
          <w:szCs w:val="21"/>
        </w:rPr>
        <w:t>上投摩根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C</w:t>
      </w:r>
      <w:r w:rsidRPr="00D97CD7">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A63C1" w:rsidRPr="00D97CD7" w:rsidTr="005A63C1">
        <w:tc>
          <w:tcPr>
            <w:tcW w:w="1290" w:type="dxa"/>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tcPr>
          <w:p w:rsidR="005A63C1" w:rsidRPr="00D97CD7" w:rsidRDefault="005A63C1" w:rsidP="00027393">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tcPr>
          <w:p w:rsidR="005A63C1" w:rsidRPr="00D97CD7" w:rsidRDefault="005A63C1" w:rsidP="00027393">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tcPr>
          <w:p w:rsidR="005A63C1" w:rsidRPr="00D97CD7" w:rsidRDefault="005A63C1" w:rsidP="00027393">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5A63C1" w:rsidTr="005A63C1">
        <w:tc>
          <w:tcPr>
            <w:tcW w:w="1290" w:type="dxa"/>
          </w:tcPr>
          <w:p w:rsidR="005A63C1" w:rsidRDefault="005A63C1" w:rsidP="00027393">
            <w:pPr>
              <w:jc w:val="left"/>
            </w:pPr>
            <w:r>
              <w:rPr>
                <w:rFonts w:eastAsiaTheme="minorEastAsia"/>
                <w:color w:val="000000" w:themeColor="text1"/>
                <w:szCs w:val="21"/>
              </w:rPr>
              <w:t>过去三个月</w:t>
            </w:r>
          </w:p>
        </w:tc>
        <w:tc>
          <w:tcPr>
            <w:tcW w:w="1291" w:type="dxa"/>
          </w:tcPr>
          <w:p w:rsidR="005A63C1" w:rsidRDefault="005A63C1" w:rsidP="00027393">
            <w:pPr>
              <w:jc w:val="right"/>
            </w:pPr>
            <w:r>
              <w:rPr>
                <w:rFonts w:eastAsiaTheme="minorEastAsia"/>
                <w:color w:val="000000" w:themeColor="text1"/>
                <w:szCs w:val="21"/>
              </w:rPr>
              <w:t>-13.99%</w:t>
            </w:r>
          </w:p>
        </w:tc>
        <w:tc>
          <w:tcPr>
            <w:tcW w:w="1291" w:type="dxa"/>
          </w:tcPr>
          <w:p w:rsidR="005A63C1" w:rsidRDefault="005A63C1" w:rsidP="00027393">
            <w:pPr>
              <w:jc w:val="right"/>
            </w:pPr>
            <w:r>
              <w:rPr>
                <w:rFonts w:eastAsiaTheme="minorEastAsia"/>
                <w:color w:val="000000" w:themeColor="text1"/>
                <w:szCs w:val="21"/>
              </w:rPr>
              <w:t>1.36%</w:t>
            </w:r>
          </w:p>
        </w:tc>
        <w:tc>
          <w:tcPr>
            <w:tcW w:w="1291" w:type="dxa"/>
          </w:tcPr>
          <w:p w:rsidR="005A63C1" w:rsidRDefault="005A63C1" w:rsidP="00027393">
            <w:pPr>
              <w:jc w:val="right"/>
            </w:pPr>
            <w:r>
              <w:rPr>
                <w:rFonts w:eastAsiaTheme="minorEastAsia"/>
                <w:color w:val="000000" w:themeColor="text1"/>
                <w:szCs w:val="21"/>
              </w:rPr>
              <w:t>-13.96%</w:t>
            </w:r>
          </w:p>
        </w:tc>
        <w:tc>
          <w:tcPr>
            <w:tcW w:w="1291" w:type="dxa"/>
          </w:tcPr>
          <w:p w:rsidR="005A63C1" w:rsidRDefault="005A63C1" w:rsidP="00027393">
            <w:pPr>
              <w:jc w:val="right"/>
            </w:pPr>
            <w:r>
              <w:rPr>
                <w:rFonts w:eastAsiaTheme="minorEastAsia"/>
                <w:color w:val="000000" w:themeColor="text1"/>
                <w:szCs w:val="21"/>
              </w:rPr>
              <w:t>1.38%</w:t>
            </w:r>
          </w:p>
        </w:tc>
        <w:tc>
          <w:tcPr>
            <w:tcW w:w="1291" w:type="dxa"/>
          </w:tcPr>
          <w:p w:rsidR="005A63C1" w:rsidRDefault="005A63C1" w:rsidP="00027393">
            <w:pPr>
              <w:jc w:val="right"/>
            </w:pPr>
            <w:r>
              <w:rPr>
                <w:rFonts w:eastAsiaTheme="minorEastAsia"/>
                <w:color w:val="000000" w:themeColor="text1"/>
                <w:szCs w:val="21"/>
              </w:rPr>
              <w:t>-0.03%</w:t>
            </w:r>
          </w:p>
        </w:tc>
        <w:tc>
          <w:tcPr>
            <w:tcW w:w="1291" w:type="dxa"/>
          </w:tcPr>
          <w:p w:rsidR="005A63C1" w:rsidRDefault="005A63C1" w:rsidP="00027393">
            <w:pPr>
              <w:jc w:val="right"/>
            </w:pPr>
            <w:r>
              <w:rPr>
                <w:rFonts w:eastAsiaTheme="minorEastAsia"/>
                <w:color w:val="000000" w:themeColor="text1"/>
                <w:szCs w:val="21"/>
              </w:rPr>
              <w:t>-0.02%</w:t>
            </w:r>
          </w:p>
        </w:tc>
      </w:tr>
      <w:tr w:rsidR="005A63C1" w:rsidTr="005A63C1">
        <w:tc>
          <w:tcPr>
            <w:tcW w:w="1290" w:type="dxa"/>
          </w:tcPr>
          <w:p w:rsidR="005A63C1" w:rsidRDefault="005A63C1" w:rsidP="00027393">
            <w:pPr>
              <w:jc w:val="left"/>
            </w:pPr>
            <w:r>
              <w:rPr>
                <w:rFonts w:eastAsiaTheme="minorEastAsia"/>
                <w:color w:val="000000" w:themeColor="text1"/>
                <w:szCs w:val="21"/>
              </w:rPr>
              <w:t>过去六个月</w:t>
            </w:r>
          </w:p>
        </w:tc>
        <w:tc>
          <w:tcPr>
            <w:tcW w:w="1291" w:type="dxa"/>
          </w:tcPr>
          <w:p w:rsidR="005A63C1" w:rsidRDefault="005A63C1" w:rsidP="00027393">
            <w:pPr>
              <w:jc w:val="right"/>
            </w:pPr>
            <w:r>
              <w:rPr>
                <w:rFonts w:eastAsiaTheme="minorEastAsia"/>
                <w:color w:val="000000" w:themeColor="text1"/>
                <w:szCs w:val="21"/>
              </w:rPr>
              <w:t>-12.37%</w:t>
            </w:r>
          </w:p>
        </w:tc>
        <w:tc>
          <w:tcPr>
            <w:tcW w:w="1291" w:type="dxa"/>
          </w:tcPr>
          <w:p w:rsidR="005A63C1" w:rsidRDefault="005A63C1" w:rsidP="00027393">
            <w:pPr>
              <w:jc w:val="right"/>
            </w:pPr>
            <w:r>
              <w:rPr>
                <w:rFonts w:eastAsiaTheme="minorEastAsia"/>
                <w:color w:val="000000" w:themeColor="text1"/>
                <w:szCs w:val="21"/>
              </w:rPr>
              <w:t>1.08%</w:t>
            </w:r>
          </w:p>
        </w:tc>
        <w:tc>
          <w:tcPr>
            <w:tcW w:w="1291" w:type="dxa"/>
          </w:tcPr>
          <w:p w:rsidR="005A63C1" w:rsidRDefault="005A63C1" w:rsidP="00027393">
            <w:pPr>
              <w:jc w:val="right"/>
            </w:pPr>
            <w:r>
              <w:rPr>
                <w:rFonts w:eastAsiaTheme="minorEastAsia"/>
                <w:color w:val="000000" w:themeColor="text1"/>
                <w:szCs w:val="21"/>
              </w:rPr>
              <w:t>-12.68%</w:t>
            </w:r>
          </w:p>
        </w:tc>
        <w:tc>
          <w:tcPr>
            <w:tcW w:w="1291" w:type="dxa"/>
          </w:tcPr>
          <w:p w:rsidR="005A63C1" w:rsidRDefault="005A63C1" w:rsidP="00027393">
            <w:pPr>
              <w:jc w:val="right"/>
            </w:pPr>
            <w:r>
              <w:rPr>
                <w:rFonts w:eastAsiaTheme="minorEastAsia"/>
                <w:color w:val="000000" w:themeColor="text1"/>
                <w:szCs w:val="21"/>
              </w:rPr>
              <w:t>1.10%</w:t>
            </w:r>
          </w:p>
        </w:tc>
        <w:tc>
          <w:tcPr>
            <w:tcW w:w="1291" w:type="dxa"/>
          </w:tcPr>
          <w:p w:rsidR="005A63C1" w:rsidRDefault="005A63C1" w:rsidP="00027393">
            <w:pPr>
              <w:jc w:val="right"/>
            </w:pPr>
            <w:r>
              <w:rPr>
                <w:rFonts w:eastAsiaTheme="minorEastAsia"/>
                <w:color w:val="000000" w:themeColor="text1"/>
                <w:szCs w:val="21"/>
              </w:rPr>
              <w:t>0.31%</w:t>
            </w:r>
          </w:p>
        </w:tc>
        <w:tc>
          <w:tcPr>
            <w:tcW w:w="1291" w:type="dxa"/>
          </w:tcPr>
          <w:p w:rsidR="005A63C1" w:rsidRDefault="005A63C1" w:rsidP="00027393">
            <w:pPr>
              <w:jc w:val="right"/>
            </w:pPr>
            <w:r>
              <w:rPr>
                <w:rFonts w:eastAsiaTheme="minorEastAsia"/>
                <w:color w:val="000000" w:themeColor="text1"/>
                <w:szCs w:val="21"/>
              </w:rPr>
              <w:t>-0.02%</w:t>
            </w:r>
          </w:p>
        </w:tc>
      </w:tr>
      <w:tr w:rsidR="005A63C1" w:rsidTr="005A63C1">
        <w:tc>
          <w:tcPr>
            <w:tcW w:w="1290" w:type="dxa"/>
          </w:tcPr>
          <w:p w:rsidR="005A63C1" w:rsidRDefault="005A63C1" w:rsidP="00027393">
            <w:pPr>
              <w:jc w:val="left"/>
            </w:pPr>
            <w:r>
              <w:rPr>
                <w:rFonts w:eastAsiaTheme="minorEastAsia"/>
                <w:color w:val="000000" w:themeColor="text1"/>
                <w:szCs w:val="21"/>
              </w:rPr>
              <w:t>过去一年</w:t>
            </w:r>
          </w:p>
        </w:tc>
        <w:tc>
          <w:tcPr>
            <w:tcW w:w="1291" w:type="dxa"/>
          </w:tcPr>
          <w:p w:rsidR="005A63C1" w:rsidRDefault="005A63C1" w:rsidP="00027393">
            <w:pPr>
              <w:jc w:val="right"/>
            </w:pPr>
            <w:r>
              <w:rPr>
                <w:rFonts w:eastAsiaTheme="minorEastAsia"/>
                <w:color w:val="000000" w:themeColor="text1"/>
                <w:szCs w:val="21"/>
              </w:rPr>
              <w:t>-7.51%</w:t>
            </w:r>
          </w:p>
        </w:tc>
        <w:tc>
          <w:tcPr>
            <w:tcW w:w="1291" w:type="dxa"/>
          </w:tcPr>
          <w:p w:rsidR="005A63C1" w:rsidRDefault="005A63C1" w:rsidP="00027393">
            <w:pPr>
              <w:jc w:val="right"/>
            </w:pPr>
            <w:r>
              <w:rPr>
                <w:rFonts w:eastAsiaTheme="minorEastAsia"/>
                <w:color w:val="000000" w:themeColor="text1"/>
                <w:szCs w:val="21"/>
              </w:rPr>
              <w:t>1.04%</w:t>
            </w:r>
          </w:p>
        </w:tc>
        <w:tc>
          <w:tcPr>
            <w:tcW w:w="1291" w:type="dxa"/>
          </w:tcPr>
          <w:p w:rsidR="005A63C1" w:rsidRDefault="005A63C1" w:rsidP="00027393">
            <w:pPr>
              <w:jc w:val="right"/>
            </w:pPr>
            <w:r>
              <w:rPr>
                <w:rFonts w:eastAsiaTheme="minorEastAsia"/>
                <w:color w:val="000000" w:themeColor="text1"/>
                <w:szCs w:val="21"/>
              </w:rPr>
              <w:t>-11.56%</w:t>
            </w:r>
          </w:p>
        </w:tc>
        <w:tc>
          <w:tcPr>
            <w:tcW w:w="1291" w:type="dxa"/>
          </w:tcPr>
          <w:p w:rsidR="005A63C1" w:rsidRDefault="005A63C1" w:rsidP="00027393">
            <w:pPr>
              <w:jc w:val="right"/>
            </w:pPr>
            <w:r>
              <w:rPr>
                <w:rFonts w:eastAsiaTheme="minorEastAsia"/>
                <w:color w:val="000000" w:themeColor="text1"/>
                <w:szCs w:val="21"/>
              </w:rPr>
              <w:t>1.06%</w:t>
            </w:r>
          </w:p>
        </w:tc>
        <w:tc>
          <w:tcPr>
            <w:tcW w:w="1291" w:type="dxa"/>
          </w:tcPr>
          <w:p w:rsidR="005A63C1" w:rsidRDefault="005A63C1" w:rsidP="00027393">
            <w:pPr>
              <w:jc w:val="right"/>
            </w:pPr>
            <w:r>
              <w:rPr>
                <w:rFonts w:eastAsiaTheme="minorEastAsia"/>
                <w:color w:val="000000" w:themeColor="text1"/>
                <w:szCs w:val="21"/>
              </w:rPr>
              <w:t>4.05%</w:t>
            </w:r>
          </w:p>
        </w:tc>
        <w:tc>
          <w:tcPr>
            <w:tcW w:w="1291" w:type="dxa"/>
          </w:tcPr>
          <w:p w:rsidR="005A63C1" w:rsidRDefault="005A63C1" w:rsidP="00027393">
            <w:pPr>
              <w:jc w:val="right"/>
            </w:pPr>
            <w:r>
              <w:rPr>
                <w:rFonts w:eastAsiaTheme="minorEastAsia"/>
                <w:color w:val="000000" w:themeColor="text1"/>
                <w:szCs w:val="21"/>
              </w:rPr>
              <w:t>-0.02%</w:t>
            </w:r>
          </w:p>
        </w:tc>
      </w:tr>
      <w:tr w:rsidR="005A63C1" w:rsidTr="005A63C1">
        <w:tc>
          <w:tcPr>
            <w:tcW w:w="1290" w:type="dxa"/>
          </w:tcPr>
          <w:p w:rsidR="005A63C1" w:rsidRDefault="005A63C1" w:rsidP="00027393">
            <w:pPr>
              <w:jc w:val="left"/>
            </w:pPr>
            <w:r>
              <w:rPr>
                <w:rFonts w:eastAsiaTheme="minorEastAsia"/>
                <w:color w:val="000000" w:themeColor="text1"/>
                <w:szCs w:val="21"/>
              </w:rPr>
              <w:t>过去三年</w:t>
            </w:r>
          </w:p>
        </w:tc>
        <w:tc>
          <w:tcPr>
            <w:tcW w:w="1291" w:type="dxa"/>
          </w:tcPr>
          <w:p w:rsidR="005A63C1" w:rsidRDefault="005A63C1" w:rsidP="00027393">
            <w:pPr>
              <w:jc w:val="right"/>
            </w:pPr>
            <w:r>
              <w:rPr>
                <w:rFonts w:eastAsiaTheme="minorEastAsia"/>
                <w:color w:val="000000" w:themeColor="text1"/>
                <w:szCs w:val="21"/>
              </w:rPr>
              <w:t>-</w:t>
            </w:r>
          </w:p>
        </w:tc>
        <w:tc>
          <w:tcPr>
            <w:tcW w:w="1291" w:type="dxa"/>
          </w:tcPr>
          <w:p w:rsidR="005A63C1" w:rsidRDefault="005A63C1" w:rsidP="00027393">
            <w:pPr>
              <w:jc w:val="right"/>
            </w:pPr>
            <w:r>
              <w:rPr>
                <w:rFonts w:eastAsiaTheme="minorEastAsia"/>
                <w:color w:val="000000" w:themeColor="text1"/>
                <w:szCs w:val="21"/>
              </w:rPr>
              <w:t>-</w:t>
            </w:r>
          </w:p>
        </w:tc>
        <w:tc>
          <w:tcPr>
            <w:tcW w:w="1291" w:type="dxa"/>
          </w:tcPr>
          <w:p w:rsidR="005A63C1" w:rsidRDefault="005A63C1" w:rsidP="00027393">
            <w:pPr>
              <w:jc w:val="right"/>
            </w:pPr>
            <w:r>
              <w:rPr>
                <w:rFonts w:eastAsiaTheme="minorEastAsia"/>
                <w:color w:val="000000" w:themeColor="text1"/>
                <w:szCs w:val="21"/>
              </w:rPr>
              <w:t>-</w:t>
            </w:r>
          </w:p>
        </w:tc>
        <w:tc>
          <w:tcPr>
            <w:tcW w:w="1291" w:type="dxa"/>
          </w:tcPr>
          <w:p w:rsidR="005A63C1" w:rsidRDefault="005A63C1" w:rsidP="00027393">
            <w:pPr>
              <w:jc w:val="right"/>
            </w:pPr>
            <w:r>
              <w:rPr>
                <w:rFonts w:eastAsiaTheme="minorEastAsia"/>
                <w:color w:val="000000" w:themeColor="text1"/>
                <w:szCs w:val="21"/>
              </w:rPr>
              <w:t>-</w:t>
            </w:r>
          </w:p>
        </w:tc>
        <w:tc>
          <w:tcPr>
            <w:tcW w:w="1291" w:type="dxa"/>
          </w:tcPr>
          <w:p w:rsidR="005A63C1" w:rsidRDefault="005A63C1" w:rsidP="00027393">
            <w:pPr>
              <w:jc w:val="right"/>
            </w:pPr>
            <w:r>
              <w:rPr>
                <w:rFonts w:eastAsiaTheme="minorEastAsia"/>
                <w:color w:val="000000" w:themeColor="text1"/>
                <w:szCs w:val="21"/>
              </w:rPr>
              <w:t>-</w:t>
            </w:r>
          </w:p>
        </w:tc>
        <w:tc>
          <w:tcPr>
            <w:tcW w:w="1291" w:type="dxa"/>
          </w:tcPr>
          <w:p w:rsidR="005A63C1" w:rsidRDefault="005A63C1" w:rsidP="00027393">
            <w:pPr>
              <w:jc w:val="right"/>
            </w:pPr>
            <w:r>
              <w:rPr>
                <w:rFonts w:eastAsiaTheme="minorEastAsia"/>
                <w:color w:val="000000" w:themeColor="text1"/>
                <w:szCs w:val="21"/>
              </w:rPr>
              <w:t>-</w:t>
            </w:r>
          </w:p>
        </w:tc>
      </w:tr>
      <w:tr w:rsidR="005A63C1" w:rsidTr="005A63C1">
        <w:tc>
          <w:tcPr>
            <w:tcW w:w="1290" w:type="dxa"/>
          </w:tcPr>
          <w:p w:rsidR="005A63C1" w:rsidRDefault="005A63C1" w:rsidP="00027393">
            <w:pPr>
              <w:jc w:val="left"/>
            </w:pPr>
            <w:r>
              <w:rPr>
                <w:rFonts w:eastAsiaTheme="minorEastAsia"/>
                <w:color w:val="000000" w:themeColor="text1"/>
                <w:szCs w:val="21"/>
              </w:rPr>
              <w:t>过去五年</w:t>
            </w:r>
          </w:p>
        </w:tc>
        <w:tc>
          <w:tcPr>
            <w:tcW w:w="1291" w:type="dxa"/>
          </w:tcPr>
          <w:p w:rsidR="005A63C1" w:rsidRDefault="005A63C1" w:rsidP="00027393">
            <w:pPr>
              <w:jc w:val="right"/>
            </w:pPr>
            <w:r>
              <w:rPr>
                <w:rFonts w:eastAsiaTheme="minorEastAsia"/>
                <w:color w:val="000000" w:themeColor="text1"/>
                <w:szCs w:val="21"/>
              </w:rPr>
              <w:t>-</w:t>
            </w:r>
          </w:p>
        </w:tc>
        <w:tc>
          <w:tcPr>
            <w:tcW w:w="1291" w:type="dxa"/>
          </w:tcPr>
          <w:p w:rsidR="005A63C1" w:rsidRDefault="005A63C1" w:rsidP="00027393">
            <w:pPr>
              <w:jc w:val="right"/>
            </w:pPr>
            <w:r>
              <w:rPr>
                <w:rFonts w:eastAsiaTheme="minorEastAsia"/>
                <w:color w:val="000000" w:themeColor="text1"/>
                <w:szCs w:val="21"/>
              </w:rPr>
              <w:t>-</w:t>
            </w:r>
          </w:p>
        </w:tc>
        <w:tc>
          <w:tcPr>
            <w:tcW w:w="1291" w:type="dxa"/>
          </w:tcPr>
          <w:p w:rsidR="005A63C1" w:rsidRDefault="005A63C1" w:rsidP="00027393">
            <w:pPr>
              <w:jc w:val="right"/>
            </w:pPr>
            <w:r>
              <w:rPr>
                <w:rFonts w:eastAsiaTheme="minorEastAsia"/>
                <w:color w:val="000000" w:themeColor="text1"/>
                <w:szCs w:val="21"/>
              </w:rPr>
              <w:t>-</w:t>
            </w:r>
          </w:p>
        </w:tc>
        <w:tc>
          <w:tcPr>
            <w:tcW w:w="1291" w:type="dxa"/>
          </w:tcPr>
          <w:p w:rsidR="005A63C1" w:rsidRDefault="005A63C1" w:rsidP="00027393">
            <w:pPr>
              <w:jc w:val="right"/>
            </w:pPr>
            <w:r>
              <w:rPr>
                <w:rFonts w:eastAsiaTheme="minorEastAsia"/>
                <w:color w:val="000000" w:themeColor="text1"/>
                <w:szCs w:val="21"/>
              </w:rPr>
              <w:t>-</w:t>
            </w:r>
          </w:p>
        </w:tc>
        <w:tc>
          <w:tcPr>
            <w:tcW w:w="1291" w:type="dxa"/>
          </w:tcPr>
          <w:p w:rsidR="005A63C1" w:rsidRDefault="005A63C1" w:rsidP="00027393">
            <w:pPr>
              <w:jc w:val="right"/>
            </w:pPr>
            <w:r>
              <w:rPr>
                <w:rFonts w:eastAsiaTheme="minorEastAsia"/>
                <w:color w:val="000000" w:themeColor="text1"/>
                <w:szCs w:val="21"/>
              </w:rPr>
              <w:t>-</w:t>
            </w:r>
          </w:p>
        </w:tc>
        <w:tc>
          <w:tcPr>
            <w:tcW w:w="1291" w:type="dxa"/>
          </w:tcPr>
          <w:p w:rsidR="005A63C1" w:rsidRDefault="005A63C1" w:rsidP="00027393">
            <w:pPr>
              <w:jc w:val="right"/>
            </w:pPr>
            <w:r>
              <w:rPr>
                <w:rFonts w:eastAsiaTheme="minorEastAsia"/>
                <w:color w:val="000000" w:themeColor="text1"/>
                <w:szCs w:val="21"/>
              </w:rPr>
              <w:t>-</w:t>
            </w:r>
          </w:p>
        </w:tc>
      </w:tr>
      <w:tr w:rsidR="005A63C1" w:rsidTr="005A63C1">
        <w:tc>
          <w:tcPr>
            <w:tcW w:w="1290" w:type="dxa"/>
          </w:tcPr>
          <w:p w:rsidR="005A63C1" w:rsidRDefault="005A63C1" w:rsidP="00027393">
            <w:pPr>
              <w:jc w:val="left"/>
            </w:pPr>
            <w:r>
              <w:rPr>
                <w:rFonts w:eastAsiaTheme="minorEastAsia"/>
                <w:color w:val="000000" w:themeColor="text1"/>
                <w:szCs w:val="21"/>
              </w:rPr>
              <w:t>自基金合同生效起至今</w:t>
            </w:r>
          </w:p>
        </w:tc>
        <w:tc>
          <w:tcPr>
            <w:tcW w:w="1291" w:type="dxa"/>
          </w:tcPr>
          <w:p w:rsidR="005A63C1" w:rsidRDefault="005A63C1" w:rsidP="00027393">
            <w:pPr>
              <w:jc w:val="right"/>
            </w:pPr>
            <w:r>
              <w:rPr>
                <w:rFonts w:eastAsiaTheme="minorEastAsia"/>
                <w:color w:val="000000" w:themeColor="text1"/>
                <w:szCs w:val="21"/>
              </w:rPr>
              <w:t>-0.72%</w:t>
            </w:r>
          </w:p>
        </w:tc>
        <w:tc>
          <w:tcPr>
            <w:tcW w:w="1291" w:type="dxa"/>
          </w:tcPr>
          <w:p w:rsidR="005A63C1" w:rsidRDefault="005A63C1" w:rsidP="00027393">
            <w:pPr>
              <w:jc w:val="right"/>
            </w:pPr>
            <w:r>
              <w:rPr>
                <w:rFonts w:eastAsiaTheme="minorEastAsia"/>
                <w:color w:val="000000" w:themeColor="text1"/>
                <w:szCs w:val="21"/>
              </w:rPr>
              <w:t>1.09%</w:t>
            </w:r>
          </w:p>
        </w:tc>
        <w:tc>
          <w:tcPr>
            <w:tcW w:w="1291" w:type="dxa"/>
          </w:tcPr>
          <w:p w:rsidR="005A63C1" w:rsidRDefault="005A63C1" w:rsidP="00027393">
            <w:pPr>
              <w:jc w:val="right"/>
            </w:pPr>
            <w:r>
              <w:rPr>
                <w:rFonts w:eastAsiaTheme="minorEastAsia"/>
                <w:color w:val="000000" w:themeColor="text1"/>
                <w:szCs w:val="21"/>
              </w:rPr>
              <w:t>-5.87%</w:t>
            </w:r>
          </w:p>
        </w:tc>
        <w:tc>
          <w:tcPr>
            <w:tcW w:w="1291" w:type="dxa"/>
          </w:tcPr>
          <w:p w:rsidR="005A63C1" w:rsidRDefault="005A63C1" w:rsidP="00027393">
            <w:pPr>
              <w:jc w:val="right"/>
            </w:pPr>
            <w:r>
              <w:rPr>
                <w:rFonts w:eastAsiaTheme="minorEastAsia"/>
                <w:color w:val="000000" w:themeColor="text1"/>
                <w:szCs w:val="21"/>
              </w:rPr>
              <w:t>1.15%</w:t>
            </w:r>
          </w:p>
        </w:tc>
        <w:tc>
          <w:tcPr>
            <w:tcW w:w="1291" w:type="dxa"/>
          </w:tcPr>
          <w:p w:rsidR="005A63C1" w:rsidRDefault="005A63C1" w:rsidP="00027393">
            <w:pPr>
              <w:jc w:val="right"/>
            </w:pPr>
            <w:r>
              <w:rPr>
                <w:rFonts w:eastAsiaTheme="minorEastAsia"/>
                <w:color w:val="000000" w:themeColor="text1"/>
                <w:szCs w:val="21"/>
              </w:rPr>
              <w:t>5.15%</w:t>
            </w:r>
          </w:p>
        </w:tc>
        <w:tc>
          <w:tcPr>
            <w:tcW w:w="1291" w:type="dxa"/>
          </w:tcPr>
          <w:p w:rsidR="005A63C1" w:rsidRDefault="005A63C1" w:rsidP="00027393">
            <w:pPr>
              <w:jc w:val="right"/>
            </w:pPr>
            <w:r>
              <w:rPr>
                <w:rFonts w:eastAsiaTheme="minorEastAsia"/>
                <w:color w:val="000000" w:themeColor="text1"/>
                <w:szCs w:val="21"/>
              </w:rPr>
              <w:t>-0.06%</w:t>
            </w:r>
          </w:p>
        </w:tc>
      </w:tr>
    </w:tbl>
    <w:p w:rsidR="00DB3887" w:rsidRPr="00D97CD7" w:rsidRDefault="00FC6961">
      <w:pPr>
        <w:spacing w:beforeLines="100" w:before="312" w:line="360" w:lineRule="auto"/>
        <w:rPr>
          <w:rFonts w:eastAsiaTheme="minorEastAsia"/>
          <w:b/>
          <w:color w:val="000000" w:themeColor="text1"/>
          <w:kern w:val="0"/>
          <w:szCs w:val="21"/>
        </w:rPr>
      </w:pPr>
      <w:r w:rsidRPr="00D97CD7">
        <w:rPr>
          <w:rFonts w:eastAsiaTheme="minorEastAsia"/>
          <w:b/>
          <w:color w:val="000000" w:themeColor="text1"/>
          <w:kern w:val="0"/>
          <w:szCs w:val="21"/>
        </w:rPr>
        <w:t>3.2.2</w:t>
      </w:r>
      <w:r w:rsidRPr="00D97CD7">
        <w:rPr>
          <w:rFonts w:eastAsiaTheme="minorEastAsia"/>
          <w:b/>
          <w:color w:val="000000" w:themeColor="text1"/>
          <w:kern w:val="0"/>
          <w:szCs w:val="21"/>
        </w:rPr>
        <w:t xml:space="preserve">　</w:t>
      </w:r>
      <w:r w:rsidRPr="00D97CD7">
        <w:rPr>
          <w:rStyle w:val="af5"/>
          <w:rFonts w:eastAsiaTheme="minorEastAsia"/>
          <w:color w:val="000000" w:themeColor="text1"/>
          <w:szCs w:val="21"/>
          <w:shd w:val="clear" w:color="auto" w:fill="FFFFFF"/>
        </w:rPr>
        <w:t>自基金合同生效以来</w:t>
      </w:r>
      <w:r w:rsidRPr="00D97CD7">
        <w:rPr>
          <w:rFonts w:eastAsiaTheme="minorEastAsia"/>
          <w:b/>
          <w:color w:val="000000" w:themeColor="text1"/>
          <w:szCs w:val="21"/>
        </w:rPr>
        <w:t>基金累计净值增长率变动及其与同期业绩比较基准收益率变动的比较</w:t>
      </w:r>
    </w:p>
    <w:p w:rsidR="00DB3887" w:rsidRPr="00D97CD7" w:rsidRDefault="00FC6961">
      <w:pPr>
        <w:spacing w:line="360" w:lineRule="auto"/>
        <w:jc w:val="center"/>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w:t>
      </w:r>
    </w:p>
    <w:p w:rsidR="00DB3887" w:rsidRPr="00D97CD7" w:rsidRDefault="00FC6961">
      <w:pPr>
        <w:pStyle w:val="a9"/>
        <w:snapToGrid w:val="0"/>
        <w:spacing w:line="360" w:lineRule="auto"/>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累计净值增长率与业绩比较基准收益率的历史走势对比图</w:t>
      </w:r>
    </w:p>
    <w:p w:rsidR="00DB3887" w:rsidRPr="00D97CD7" w:rsidRDefault="00FC6961">
      <w:pPr>
        <w:pStyle w:val="a9"/>
        <w:snapToGrid w:val="0"/>
        <w:spacing w:line="360" w:lineRule="auto"/>
        <w:ind w:firstLine="480"/>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(2020</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7</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22</w:t>
      </w:r>
      <w:r w:rsidRPr="00D97CD7">
        <w:rPr>
          <w:rFonts w:ascii="Times New Roman" w:eastAsiaTheme="minorEastAsia" w:hAnsi="Times New Roman"/>
          <w:color w:val="000000" w:themeColor="text1"/>
        </w:rPr>
        <w:t>日至</w:t>
      </w:r>
      <w:r w:rsidRPr="00D97CD7">
        <w:rPr>
          <w:rFonts w:ascii="Times New Roman" w:eastAsiaTheme="minorEastAsia" w:hAnsi="Times New Roman"/>
          <w:color w:val="000000" w:themeColor="text1"/>
        </w:rPr>
        <w:t>2022</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3</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31</w:t>
      </w:r>
      <w:r w:rsidRPr="00D97CD7">
        <w:rPr>
          <w:rFonts w:ascii="Times New Roman" w:eastAsiaTheme="minorEastAsia" w:hAnsi="Times New Roman"/>
          <w:color w:val="000000" w:themeColor="text1"/>
        </w:rPr>
        <w:t>日</w:t>
      </w:r>
      <w:r w:rsidRPr="00D97CD7">
        <w:rPr>
          <w:rFonts w:ascii="Times New Roman" w:eastAsiaTheme="minorEastAsia" w:hAnsi="Times New Roman"/>
          <w:color w:val="000000" w:themeColor="text1"/>
        </w:rPr>
        <w:t>)</w:t>
      </w:r>
    </w:p>
    <w:p w:rsidR="00DB3887" w:rsidRPr="00D97CD7" w:rsidRDefault="00FC6961">
      <w:pPr>
        <w:snapToGrid w:val="0"/>
        <w:spacing w:line="360" w:lineRule="auto"/>
        <w:rPr>
          <w:rFonts w:eastAsiaTheme="minorEastAsia"/>
          <w:color w:val="000000" w:themeColor="text1"/>
          <w:szCs w:val="21"/>
        </w:rPr>
      </w:pPr>
      <w:r w:rsidRPr="00D97CD7">
        <w:rPr>
          <w:rFonts w:eastAsiaTheme="minorEastAsia"/>
          <w:color w:val="000000" w:themeColor="text1"/>
          <w:szCs w:val="21"/>
        </w:rPr>
        <w:t>1</w:t>
      </w: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r w:rsidRPr="00D97CD7">
        <w:rPr>
          <w:rFonts w:eastAsiaTheme="minorEastAsia"/>
          <w:color w:val="000000" w:themeColor="text1"/>
          <w:szCs w:val="21"/>
        </w:rPr>
        <w:t>：</w:t>
      </w:r>
    </w:p>
    <w:p w:rsidR="00DB3887" w:rsidRPr="00D97CD7" w:rsidRDefault="004E1A2B">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2D38D1BB" wp14:editId="77D2C1D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FC6961">
      <w:pPr>
        <w:snapToGrid w:val="0"/>
        <w:spacing w:beforeLines="100" w:before="312" w:line="360" w:lineRule="auto"/>
        <w:rPr>
          <w:rFonts w:eastAsiaTheme="minorEastAsia"/>
          <w:color w:val="000000" w:themeColor="text1"/>
          <w:szCs w:val="21"/>
        </w:rPr>
      </w:pPr>
      <w:r w:rsidRPr="00D97CD7">
        <w:rPr>
          <w:rFonts w:eastAsiaTheme="minorEastAsia"/>
          <w:color w:val="000000" w:themeColor="text1"/>
          <w:szCs w:val="21"/>
        </w:rPr>
        <w:t>2</w:t>
      </w: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w:t>
      </w:r>
    </w:p>
    <w:p w:rsidR="00DB3887" w:rsidRPr="00D97CD7" w:rsidRDefault="004E1A2B">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0AF22DF1" wp14:editId="07D9325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DB3887">
      <w:pPr>
        <w:tabs>
          <w:tab w:val="left" w:pos="1800"/>
        </w:tabs>
        <w:spacing w:line="288" w:lineRule="auto"/>
        <w:rPr>
          <w:rFonts w:eastAsiaTheme="minorEastAsia"/>
          <w:color w:val="000000" w:themeColor="text1"/>
          <w:szCs w:val="21"/>
        </w:rPr>
      </w:pP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§4  </w:t>
      </w:r>
      <w:r w:rsidRPr="00D97CD7">
        <w:rPr>
          <w:rFonts w:eastAsiaTheme="minorEastAsia"/>
          <w:color w:val="000000" w:themeColor="text1"/>
          <w:kern w:val="0"/>
          <w:sz w:val="21"/>
          <w:szCs w:val="21"/>
        </w:rPr>
        <w:t>管理人报告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4.1 </w:t>
      </w:r>
      <w:r w:rsidRPr="00D97CD7">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B3887" w:rsidRPr="00D97CD7">
        <w:tc>
          <w:tcPr>
            <w:tcW w:w="952"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姓名</w:t>
            </w:r>
          </w:p>
        </w:tc>
        <w:tc>
          <w:tcPr>
            <w:tcW w:w="930"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职务</w:t>
            </w:r>
          </w:p>
        </w:tc>
        <w:tc>
          <w:tcPr>
            <w:tcW w:w="2519" w:type="dxa"/>
            <w:gridSpan w:val="2"/>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任本基金的基金经理期限</w:t>
            </w:r>
          </w:p>
        </w:tc>
        <w:tc>
          <w:tcPr>
            <w:tcW w:w="1254"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证券从业年限</w:t>
            </w:r>
          </w:p>
        </w:tc>
        <w:tc>
          <w:tcPr>
            <w:tcW w:w="3276"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说明</w:t>
            </w:r>
          </w:p>
        </w:tc>
      </w:tr>
      <w:tr w:rsidR="00DB3887" w:rsidRPr="00D97CD7">
        <w:tc>
          <w:tcPr>
            <w:tcW w:w="952"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任职日期</w:t>
            </w:r>
          </w:p>
        </w:tc>
        <w:tc>
          <w:tcPr>
            <w:tcW w:w="1309"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离任日期</w:t>
            </w:r>
          </w:p>
        </w:tc>
        <w:tc>
          <w:tcPr>
            <w:tcW w:w="1254"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r>
      <w:tr w:rsidR="00D80673">
        <w:tc>
          <w:tcPr>
            <w:tcW w:w="952" w:type="dxa"/>
            <w:vAlign w:val="center"/>
          </w:tcPr>
          <w:p w:rsidR="00D80673" w:rsidRDefault="00BF6DE1">
            <w:pPr>
              <w:jc w:val="center"/>
            </w:pPr>
            <w:r>
              <w:rPr>
                <w:rFonts w:eastAsiaTheme="minorEastAsia"/>
                <w:color w:val="000000" w:themeColor="text1"/>
                <w:szCs w:val="21"/>
              </w:rPr>
              <w:t>胡迪</w:t>
            </w:r>
          </w:p>
        </w:tc>
        <w:tc>
          <w:tcPr>
            <w:tcW w:w="930" w:type="dxa"/>
            <w:vAlign w:val="center"/>
          </w:tcPr>
          <w:p w:rsidR="00D80673" w:rsidRDefault="00BF6DE1">
            <w:pPr>
              <w:jc w:val="center"/>
            </w:pPr>
            <w:r>
              <w:rPr>
                <w:rFonts w:eastAsiaTheme="minorEastAsia"/>
                <w:color w:val="000000" w:themeColor="text1"/>
                <w:szCs w:val="21"/>
              </w:rPr>
              <w:t>本基金基金经理、指数及量化投资部总监</w:t>
            </w:r>
          </w:p>
        </w:tc>
        <w:tc>
          <w:tcPr>
            <w:tcW w:w="1210" w:type="dxa"/>
            <w:vAlign w:val="center"/>
          </w:tcPr>
          <w:p w:rsidR="00D80673" w:rsidRDefault="00BF6DE1">
            <w:pPr>
              <w:jc w:val="center"/>
            </w:pPr>
            <w:r>
              <w:rPr>
                <w:rFonts w:eastAsiaTheme="minorEastAsia"/>
                <w:color w:val="000000" w:themeColor="text1"/>
                <w:szCs w:val="21"/>
              </w:rPr>
              <w:t>2021-01-07</w:t>
            </w:r>
          </w:p>
        </w:tc>
        <w:tc>
          <w:tcPr>
            <w:tcW w:w="1309" w:type="dxa"/>
            <w:vAlign w:val="center"/>
          </w:tcPr>
          <w:p w:rsidR="00D80673" w:rsidRDefault="00BF6DE1">
            <w:pPr>
              <w:jc w:val="center"/>
            </w:pPr>
            <w:r>
              <w:rPr>
                <w:rFonts w:eastAsiaTheme="minorEastAsia"/>
                <w:color w:val="000000" w:themeColor="text1"/>
                <w:szCs w:val="21"/>
              </w:rPr>
              <w:t>-</w:t>
            </w:r>
          </w:p>
        </w:tc>
        <w:tc>
          <w:tcPr>
            <w:tcW w:w="1254" w:type="dxa"/>
            <w:vAlign w:val="center"/>
          </w:tcPr>
          <w:p w:rsidR="00D80673" w:rsidRDefault="00BF6DE1">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D80673" w:rsidRDefault="00BF6DE1">
            <w:r>
              <w:rPr>
                <w:rFonts w:eastAsiaTheme="minorEastAsia"/>
                <w:color w:val="000000" w:themeColor="text1"/>
                <w:szCs w:val="21"/>
              </w:rPr>
              <w:t>胡迪女士，</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FRM</w:t>
            </w:r>
            <w:r>
              <w:rPr>
                <w:rFonts w:eastAsiaTheme="minorEastAsia"/>
                <w:color w:val="000000" w:themeColor="text1"/>
                <w:szCs w:val="21"/>
              </w:rPr>
              <w:t>，美国哥伦比亚大学金融工程硕士，现任指数及量化投资部总监。胡迪女士自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月在纽约美林证券担任全球资产管理部高级经理；自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月在纽约标准普尔担任量化投资主管；自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月在中国国际金融股份有限公司担任资产管理部执行总经理；自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月加入上投摩根基金管理有限公司，现任指数及量化投资部总监，自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量化多因子灵活配置混合型证券投资基金、上投摩根优选多因子股票型证券投资基金、上投摩根动态多因子策略灵活配置混合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w:t>
            </w:r>
            <w:r>
              <w:rPr>
                <w:rFonts w:eastAsiaTheme="minorEastAsia"/>
                <w:color w:val="000000" w:themeColor="text1"/>
                <w:szCs w:val="21"/>
              </w:rPr>
              <w:t>,</w:t>
            </w:r>
            <w:r>
              <w:rPr>
                <w:rFonts w:eastAsiaTheme="minorEastAsia"/>
                <w:color w:val="000000" w:themeColor="text1"/>
                <w:szCs w:val="21"/>
              </w:rPr>
              <w:t>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r w:rsidR="00D80673">
        <w:tc>
          <w:tcPr>
            <w:tcW w:w="952" w:type="dxa"/>
            <w:vAlign w:val="center"/>
          </w:tcPr>
          <w:p w:rsidR="00D80673" w:rsidRDefault="00BF6DE1">
            <w:pPr>
              <w:jc w:val="center"/>
            </w:pPr>
            <w:r>
              <w:rPr>
                <w:rFonts w:eastAsiaTheme="minorEastAsia"/>
                <w:color w:val="000000" w:themeColor="text1"/>
                <w:szCs w:val="21"/>
              </w:rPr>
              <w:t>何智豪</w:t>
            </w:r>
          </w:p>
        </w:tc>
        <w:tc>
          <w:tcPr>
            <w:tcW w:w="930" w:type="dxa"/>
            <w:vAlign w:val="center"/>
          </w:tcPr>
          <w:p w:rsidR="00D80673" w:rsidRDefault="00BF6DE1">
            <w:pPr>
              <w:jc w:val="center"/>
            </w:pPr>
            <w:r>
              <w:rPr>
                <w:rFonts w:eastAsiaTheme="minorEastAsia"/>
                <w:color w:val="000000" w:themeColor="text1"/>
                <w:szCs w:val="21"/>
              </w:rPr>
              <w:t>本基金基金经理</w:t>
            </w:r>
          </w:p>
        </w:tc>
        <w:tc>
          <w:tcPr>
            <w:tcW w:w="1210" w:type="dxa"/>
            <w:vAlign w:val="center"/>
          </w:tcPr>
          <w:p w:rsidR="00D80673" w:rsidRDefault="00BF6DE1">
            <w:pPr>
              <w:jc w:val="center"/>
            </w:pPr>
            <w:r>
              <w:rPr>
                <w:rFonts w:eastAsiaTheme="minorEastAsia"/>
                <w:color w:val="000000" w:themeColor="text1"/>
                <w:szCs w:val="21"/>
              </w:rPr>
              <w:t>2021-02-19</w:t>
            </w:r>
          </w:p>
        </w:tc>
        <w:tc>
          <w:tcPr>
            <w:tcW w:w="1309" w:type="dxa"/>
            <w:vAlign w:val="center"/>
          </w:tcPr>
          <w:p w:rsidR="00D80673" w:rsidRDefault="00BF6DE1">
            <w:pPr>
              <w:jc w:val="center"/>
            </w:pPr>
            <w:r>
              <w:rPr>
                <w:rFonts w:eastAsiaTheme="minorEastAsia"/>
                <w:color w:val="000000" w:themeColor="text1"/>
                <w:szCs w:val="21"/>
              </w:rPr>
              <w:t>-</w:t>
            </w:r>
          </w:p>
        </w:tc>
        <w:tc>
          <w:tcPr>
            <w:tcW w:w="1254" w:type="dxa"/>
            <w:vAlign w:val="center"/>
          </w:tcPr>
          <w:p w:rsidR="00D80673" w:rsidRDefault="00BF6DE1">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D80673" w:rsidRDefault="00BF6DE1">
            <w:r>
              <w:rPr>
                <w:rFonts w:eastAsiaTheme="minorEastAsia"/>
                <w:color w:val="000000" w:themeColor="text1"/>
                <w:szCs w:val="21"/>
              </w:rPr>
              <w:t>何智豪先生，复旦大学应用数学硕士，现任指数及量化投资部基金经理。何智豪先生自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月，在中国国际金融股份有限公司担任组合与量化策略研究员、资产管理部高级经理；自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月起同时担任上投摩根量化多因子灵活配置混合型证券投资基金、上投摩根优选多因子股票型证券投资基金、上投摩根中证消费服务领先指数证券投资基金、上投摩根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D80673" w:rsidRDefault="00BF6D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 xml:space="preserve">2. </w:t>
      </w:r>
      <w:r w:rsidRPr="00D97CD7">
        <w:rPr>
          <w:rFonts w:eastAsiaTheme="minorEastAsia"/>
          <w:color w:val="000000" w:themeColor="text1"/>
          <w:szCs w:val="21"/>
        </w:rPr>
        <w:t>证券从业的含义遵从行业协会《证券业从业人员资格管理办法》的相关规定。</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4.2</w:t>
      </w:r>
      <w:r w:rsidRPr="00D97CD7">
        <w:rPr>
          <w:rFonts w:eastAsiaTheme="minorEastAsia"/>
          <w:b/>
          <w:color w:val="000000" w:themeColor="text1"/>
          <w:kern w:val="0"/>
          <w:szCs w:val="21"/>
        </w:rPr>
        <w:t>管理人对报告期内本基金运作遵规守信情况的说明</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4.3 </w:t>
      </w:r>
      <w:r w:rsidRPr="00D97CD7">
        <w:rPr>
          <w:rFonts w:eastAsiaTheme="minorEastAsia"/>
          <w:b/>
          <w:color w:val="000000" w:themeColor="text1"/>
          <w:kern w:val="0"/>
          <w:szCs w:val="21"/>
        </w:rPr>
        <w:t>公平交易专项说明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4.3.1 </w:t>
      </w:r>
      <w:r w:rsidRPr="00D97CD7">
        <w:rPr>
          <w:rFonts w:eastAsiaTheme="minorEastAsia"/>
          <w:color w:val="000000" w:themeColor="text1"/>
          <w:szCs w:val="21"/>
        </w:rPr>
        <w:t>公平交易制度的执行情况</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4.3.2 </w:t>
      </w:r>
      <w:r w:rsidRPr="00D97CD7">
        <w:rPr>
          <w:rFonts w:eastAsiaTheme="minorEastAsia"/>
          <w:color w:val="000000" w:themeColor="text1"/>
          <w:szCs w:val="21"/>
        </w:rPr>
        <w:t>异常交易行为的专项说明</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所有投资组合参与的交易所公开竞价同日反向交易成交较少的单边交易量超过该证券当日成交量的</w:t>
      </w:r>
      <w:r w:rsidRPr="00D97CD7">
        <w:rPr>
          <w:rFonts w:eastAsiaTheme="minorEastAsia"/>
          <w:color w:val="000000" w:themeColor="text1"/>
          <w:szCs w:val="21"/>
        </w:rPr>
        <w:t>5%</w:t>
      </w:r>
      <w:r w:rsidRPr="00D97CD7">
        <w:rPr>
          <w:rFonts w:eastAsiaTheme="minorEastAsia"/>
          <w:color w:val="000000" w:themeColor="text1"/>
          <w:szCs w:val="21"/>
        </w:rPr>
        <w:t>的情形：无。</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4.4 </w:t>
      </w:r>
      <w:r w:rsidRPr="00D97CD7">
        <w:rPr>
          <w:rFonts w:eastAsiaTheme="minorEastAsia"/>
          <w:b/>
          <w:color w:val="000000" w:themeColor="text1"/>
          <w:kern w:val="0"/>
          <w:szCs w:val="21"/>
        </w:rPr>
        <w:t>报告期内基金的投资策略和业绩表现说明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4.4.1</w:t>
      </w:r>
      <w:r w:rsidRPr="00D97CD7">
        <w:rPr>
          <w:rFonts w:eastAsiaTheme="minorEastAsia"/>
          <w:color w:val="000000" w:themeColor="text1"/>
          <w:szCs w:val="21"/>
        </w:rPr>
        <w:t>报告期内基金投资策略和运作分析</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股指数显著回调，当季收跌</w:t>
      </w:r>
      <w:r>
        <w:rPr>
          <w:rFonts w:eastAsiaTheme="minorEastAsia"/>
          <w:color w:val="000000" w:themeColor="text1"/>
          <w:szCs w:val="21"/>
        </w:rPr>
        <w:t>14.69%</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指数收跌</w:t>
      </w:r>
      <w:r>
        <w:rPr>
          <w:rFonts w:eastAsiaTheme="minorEastAsia"/>
          <w:color w:val="000000" w:themeColor="text1"/>
          <w:szCs w:val="21"/>
        </w:rPr>
        <w:t>14.53%</w:t>
      </w:r>
      <w:r>
        <w:rPr>
          <w:rFonts w:eastAsiaTheme="minorEastAsia"/>
          <w:color w:val="000000" w:themeColor="text1"/>
          <w:szCs w:val="21"/>
        </w:rPr>
        <w:t>。季度内，在贸易、企业投资、财政支持下，年初经济增长超预期。但随着新一轮的疫情再起，消费和服务业反弹乏力。</w:t>
      </w:r>
      <w:r>
        <w:rPr>
          <w:rFonts w:eastAsiaTheme="minorEastAsia"/>
          <w:color w:val="000000" w:themeColor="text1"/>
          <w:szCs w:val="21"/>
        </w:rPr>
        <w:t>3</w:t>
      </w:r>
      <w:r>
        <w:rPr>
          <w:rFonts w:eastAsiaTheme="minorEastAsia"/>
          <w:color w:val="000000" w:themeColor="text1"/>
          <w:szCs w:val="21"/>
        </w:rPr>
        <w:t>月国务院金融委会议传达出稳定宏观经济和金融市场的明确信号，市场出现反弹。但地产销售疲弱，叠加北上资金流出、俄乌危机的发展，共同压制了</w:t>
      </w:r>
      <w:r>
        <w:rPr>
          <w:rFonts w:eastAsiaTheme="minorEastAsia"/>
          <w:color w:val="000000" w:themeColor="text1"/>
          <w:szCs w:val="21"/>
        </w:rPr>
        <w:t>A</w:t>
      </w:r>
      <w:r>
        <w:rPr>
          <w:rFonts w:eastAsiaTheme="minorEastAsia"/>
          <w:color w:val="000000" w:themeColor="text1"/>
          <w:szCs w:val="21"/>
        </w:rPr>
        <w:t>股市场。季度内，申万一级行业中，除了银行（</w:t>
      </w:r>
      <w:r>
        <w:rPr>
          <w:rFonts w:eastAsiaTheme="minorEastAsia"/>
          <w:color w:val="000000" w:themeColor="text1"/>
          <w:szCs w:val="21"/>
        </w:rPr>
        <w:t>+1.66%</w:t>
      </w:r>
      <w:r>
        <w:rPr>
          <w:rFonts w:eastAsiaTheme="minorEastAsia"/>
          <w:color w:val="000000" w:themeColor="text1"/>
          <w:szCs w:val="21"/>
        </w:rPr>
        <w:t>）、地产</w:t>
      </w:r>
      <w:r>
        <w:rPr>
          <w:rFonts w:eastAsiaTheme="minorEastAsia"/>
          <w:color w:val="000000" w:themeColor="text1"/>
          <w:szCs w:val="21"/>
        </w:rPr>
        <w:t>(+7.27%)</w:t>
      </w:r>
      <w:r>
        <w:rPr>
          <w:rFonts w:eastAsiaTheme="minorEastAsia"/>
          <w:color w:val="000000" w:themeColor="text1"/>
          <w:szCs w:val="21"/>
        </w:rPr>
        <w:t>以外的板块几乎都收跌，其中，电子、国防军工、汽车、家电领跌，分别下跌</w:t>
      </w:r>
      <w:r>
        <w:rPr>
          <w:rFonts w:eastAsiaTheme="minorEastAsia"/>
          <w:color w:val="000000" w:themeColor="text1"/>
          <w:szCs w:val="21"/>
        </w:rPr>
        <w:t>25.46%</w:t>
      </w:r>
      <w:r>
        <w:rPr>
          <w:rFonts w:eastAsiaTheme="minorEastAsia"/>
          <w:color w:val="000000" w:themeColor="text1"/>
          <w:szCs w:val="21"/>
        </w:rPr>
        <w:t>、</w:t>
      </w:r>
      <w:r>
        <w:rPr>
          <w:rFonts w:eastAsiaTheme="minorEastAsia"/>
          <w:color w:val="000000" w:themeColor="text1"/>
          <w:szCs w:val="21"/>
        </w:rPr>
        <w:t>23.30%</w:t>
      </w:r>
      <w:r>
        <w:rPr>
          <w:rFonts w:eastAsiaTheme="minorEastAsia"/>
          <w:color w:val="000000" w:themeColor="text1"/>
          <w:szCs w:val="21"/>
        </w:rPr>
        <w:t>、</w:t>
      </w:r>
      <w:r>
        <w:rPr>
          <w:rFonts w:eastAsiaTheme="minorEastAsia"/>
          <w:color w:val="000000" w:themeColor="text1"/>
          <w:szCs w:val="21"/>
        </w:rPr>
        <w:t>21.40%</w:t>
      </w:r>
      <w:r>
        <w:rPr>
          <w:rFonts w:eastAsiaTheme="minorEastAsia"/>
          <w:color w:val="000000" w:themeColor="text1"/>
          <w:szCs w:val="21"/>
        </w:rPr>
        <w:t>、</w:t>
      </w:r>
      <w:r>
        <w:rPr>
          <w:rFonts w:eastAsiaTheme="minorEastAsia"/>
          <w:color w:val="000000" w:themeColor="text1"/>
          <w:szCs w:val="21"/>
        </w:rPr>
        <w:t>20.49%</w:t>
      </w:r>
      <w:r>
        <w:rPr>
          <w:rFonts w:eastAsiaTheme="minorEastAsia"/>
          <w:color w:val="000000" w:themeColor="text1"/>
          <w:szCs w:val="21"/>
        </w:rPr>
        <w:t>。本基金继续采用完全复制的方法跟踪标的指数，跟踪误差保持在合理范围内。</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展望</w:t>
      </w:r>
      <w:r w:rsidRPr="00D97CD7">
        <w:rPr>
          <w:rFonts w:eastAsiaTheme="minorEastAsia"/>
          <w:color w:val="000000" w:themeColor="text1"/>
          <w:szCs w:val="21"/>
        </w:rPr>
        <w:t>2022</w:t>
      </w:r>
      <w:r w:rsidRPr="00D97CD7">
        <w:rPr>
          <w:rFonts w:eastAsiaTheme="minorEastAsia"/>
          <w:color w:val="000000" w:themeColor="text1"/>
          <w:szCs w:val="21"/>
        </w:rPr>
        <w:t>年二季度，随着疫情的缓解、稳增长政策逐步落地，有望扭转对于企业盈利的悲观预期，同时，压制</w:t>
      </w:r>
      <w:r w:rsidRPr="00D97CD7">
        <w:rPr>
          <w:rFonts w:eastAsiaTheme="minorEastAsia"/>
          <w:color w:val="000000" w:themeColor="text1"/>
          <w:szCs w:val="21"/>
        </w:rPr>
        <w:t>A</w:t>
      </w:r>
      <w:r w:rsidRPr="00D97CD7">
        <w:rPr>
          <w:rFonts w:eastAsiaTheme="minorEastAsia"/>
          <w:color w:val="000000" w:themeColor="text1"/>
          <w:szCs w:val="21"/>
        </w:rPr>
        <w:t>股表现的负面因素有望逐步落地，</w:t>
      </w:r>
      <w:r w:rsidRPr="00D97CD7">
        <w:rPr>
          <w:rFonts w:eastAsiaTheme="minorEastAsia"/>
          <w:color w:val="000000" w:themeColor="text1"/>
          <w:szCs w:val="21"/>
        </w:rPr>
        <w:t>A</w:t>
      </w:r>
      <w:r w:rsidRPr="00D97CD7">
        <w:rPr>
          <w:rFonts w:eastAsiaTheme="minorEastAsia"/>
          <w:color w:val="000000" w:themeColor="text1"/>
          <w:szCs w:val="21"/>
        </w:rPr>
        <w:t>股预计将会逐步扭转下跌趋势。主要的风险来自于：</w:t>
      </w:r>
      <w:r w:rsidRPr="00D97CD7">
        <w:rPr>
          <w:rFonts w:eastAsiaTheme="minorEastAsia"/>
          <w:color w:val="000000" w:themeColor="text1"/>
          <w:szCs w:val="21"/>
        </w:rPr>
        <w:t>Omicron</w:t>
      </w:r>
      <w:r w:rsidRPr="00D97CD7">
        <w:rPr>
          <w:rFonts w:eastAsiaTheme="minorEastAsia"/>
          <w:color w:val="000000" w:themeColor="text1"/>
          <w:szCs w:val="21"/>
        </w:rPr>
        <w:t>疫情的反复，国内稳增长政策不达预期，以及美联储加息节奏的变化。</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4.4.2</w:t>
      </w:r>
      <w:r w:rsidRPr="00D97CD7">
        <w:rPr>
          <w:rFonts w:eastAsiaTheme="minorEastAsia"/>
          <w:color w:val="000000" w:themeColor="text1"/>
          <w:szCs w:val="21"/>
        </w:rPr>
        <w:t>报告期内基金的业绩表现</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:-13.98%</w:t>
      </w:r>
      <w:r>
        <w:rPr>
          <w:rFonts w:eastAsiaTheme="minorEastAsia"/>
          <w:color w:val="000000" w:themeColor="text1"/>
          <w:szCs w:val="21"/>
        </w:rPr>
        <w:t>，同期业绩比较基准收益率为</w:t>
      </w:r>
      <w:r w:rsidR="00672983">
        <w:rPr>
          <w:rFonts w:eastAsiaTheme="minorEastAsia"/>
          <w:color w:val="000000" w:themeColor="text1"/>
          <w:szCs w:val="21"/>
        </w:rPr>
        <w:t>:</w:t>
      </w:r>
      <w:r w:rsidR="00672983">
        <w:rPr>
          <w:rFonts w:eastAsiaTheme="minorEastAsia" w:hint="eastAsia"/>
          <w:color w:val="000000" w:themeColor="text1"/>
          <w:szCs w:val="21"/>
        </w:rPr>
        <w:t>-</w:t>
      </w:r>
      <w:r w:rsidR="00672983">
        <w:rPr>
          <w:rFonts w:eastAsiaTheme="minorEastAsia"/>
          <w:color w:val="000000" w:themeColor="text1"/>
          <w:szCs w:val="21"/>
        </w:rPr>
        <w:t>13.96</w:t>
      </w:r>
      <w:r>
        <w:rPr>
          <w:rFonts w:eastAsiaTheme="minorEastAsia"/>
          <w:color w:val="000000" w:themeColor="text1"/>
          <w:szCs w:val="21"/>
        </w:rPr>
        <w:t>%,</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份额净值增长率为</w:t>
      </w:r>
      <w:r w:rsidRPr="00D97CD7">
        <w:rPr>
          <w:rFonts w:eastAsiaTheme="minorEastAsia"/>
          <w:color w:val="000000" w:themeColor="text1"/>
          <w:szCs w:val="21"/>
        </w:rPr>
        <w:t>:-13.99%</w:t>
      </w:r>
      <w:r w:rsidRPr="00D97CD7">
        <w:rPr>
          <w:rFonts w:eastAsiaTheme="minorEastAsia"/>
          <w:color w:val="000000" w:themeColor="text1"/>
          <w:szCs w:val="21"/>
        </w:rPr>
        <w:t>，同期业绩比较基准收益率为</w:t>
      </w:r>
      <w:r w:rsidR="00672983">
        <w:rPr>
          <w:rFonts w:eastAsiaTheme="minorEastAsia"/>
          <w:color w:val="000000" w:themeColor="text1"/>
          <w:szCs w:val="21"/>
        </w:rPr>
        <w:t>:</w:t>
      </w:r>
      <w:r w:rsidR="00672983">
        <w:rPr>
          <w:rFonts w:eastAsiaTheme="minorEastAsia" w:hint="eastAsia"/>
          <w:color w:val="000000" w:themeColor="text1"/>
          <w:szCs w:val="21"/>
        </w:rPr>
        <w:t>-</w:t>
      </w:r>
      <w:r w:rsidR="00672983">
        <w:rPr>
          <w:rFonts w:eastAsiaTheme="minorEastAsia"/>
          <w:color w:val="000000" w:themeColor="text1"/>
          <w:szCs w:val="21"/>
        </w:rPr>
        <w:t>13.96</w:t>
      </w:r>
      <w:r w:rsidRPr="00D97CD7">
        <w:rPr>
          <w:rFonts w:eastAsiaTheme="minorEastAsia"/>
          <w:color w:val="000000" w:themeColor="text1"/>
          <w:szCs w:val="21"/>
        </w:rPr>
        <w:t>%</w:t>
      </w:r>
      <w:r w:rsidRPr="00D97CD7">
        <w:rPr>
          <w:rFonts w:eastAsiaTheme="minorEastAsia"/>
          <w:color w:val="000000" w:themeColor="text1"/>
          <w:szCs w:val="21"/>
        </w:rPr>
        <w:t>。</w:t>
      </w:r>
    </w:p>
    <w:p w:rsidR="00DB3887" w:rsidRPr="00D97CD7" w:rsidRDefault="00DB3887">
      <w:pPr>
        <w:spacing w:line="360" w:lineRule="auto"/>
        <w:ind w:firstLineChars="200" w:firstLine="420"/>
        <w:rPr>
          <w:rFonts w:eastAsiaTheme="minorEastAsia"/>
          <w:color w:val="000000" w:themeColor="text1"/>
          <w:szCs w:val="21"/>
        </w:rPr>
      </w:pPr>
    </w:p>
    <w:p w:rsidR="00DB3887" w:rsidRPr="00D97CD7" w:rsidRDefault="00FC6961">
      <w:pPr>
        <w:spacing w:line="360" w:lineRule="auto"/>
        <w:rPr>
          <w:rFonts w:eastAsiaTheme="minorEastAsia"/>
          <w:color w:val="000000" w:themeColor="text1"/>
          <w:szCs w:val="21"/>
        </w:rPr>
      </w:pPr>
      <w:r w:rsidRPr="00D97CD7">
        <w:rPr>
          <w:rFonts w:eastAsiaTheme="minorEastAsia"/>
          <w:b/>
          <w:color w:val="000000" w:themeColor="text1"/>
          <w:kern w:val="0"/>
          <w:szCs w:val="21"/>
        </w:rPr>
        <w:t>4.5</w:t>
      </w:r>
      <w:r w:rsidRPr="00D97CD7">
        <w:rPr>
          <w:rFonts w:eastAsiaTheme="minorEastAsia"/>
          <w:b/>
          <w:color w:val="000000" w:themeColor="text1"/>
          <w:kern w:val="0"/>
          <w:szCs w:val="21"/>
        </w:rPr>
        <w:t>报告期内基金持有人数或基金资产净值预警说明</w:t>
      </w:r>
    </w:p>
    <w:p w:rsidR="00D80673" w:rsidRDefault="00BF6DE1">
      <w:pPr>
        <w:spacing w:line="360" w:lineRule="auto"/>
        <w:rPr>
          <w:rFonts w:eastAsiaTheme="minorEastAsia"/>
          <w:color w:val="000000" w:themeColor="text1"/>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日至</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kern w:val="0"/>
          <w:szCs w:val="21"/>
        </w:rPr>
        <w:t>基金管理人拟调整本基金运作方式，加大营销力度，提升基金规模，方案已报监管机关。</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§5  </w:t>
      </w:r>
      <w:r w:rsidRPr="00D97CD7">
        <w:rPr>
          <w:rFonts w:eastAsiaTheme="minorEastAsia"/>
          <w:color w:val="000000" w:themeColor="text1"/>
          <w:kern w:val="0"/>
          <w:sz w:val="21"/>
          <w:szCs w:val="21"/>
        </w:rPr>
        <w:t>投资组合报告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5.1 </w:t>
      </w:r>
      <w:r w:rsidRPr="00D97CD7">
        <w:rPr>
          <w:rFonts w:eastAsiaTheme="minorEastAsia"/>
          <w:b/>
          <w:color w:val="000000" w:themeColor="text1"/>
          <w:kern w:val="0"/>
          <w:szCs w:val="21"/>
        </w:rPr>
        <w:t>报告期末基金资产组合情况</w:t>
      </w:r>
    </w:p>
    <w:tbl>
      <w:tblPr>
        <w:tblStyle w:val="afa"/>
        <w:tblW w:w="8528" w:type="dxa"/>
        <w:tblInd w:w="108" w:type="dxa"/>
        <w:tblLayout w:type="fixed"/>
        <w:tblLook w:val="04A0" w:firstRow="1" w:lastRow="0" w:firstColumn="1" w:lastColumn="0" w:noHBand="0" w:noVBand="1"/>
      </w:tblPr>
      <w:tblGrid>
        <w:gridCol w:w="720"/>
        <w:gridCol w:w="3357"/>
        <w:gridCol w:w="2694"/>
        <w:gridCol w:w="1757"/>
      </w:tblGrid>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序号</w:t>
            </w:r>
          </w:p>
        </w:tc>
        <w:tc>
          <w:tcPr>
            <w:tcW w:w="33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项目</w:t>
            </w:r>
          </w:p>
        </w:tc>
        <w:tc>
          <w:tcPr>
            <w:tcW w:w="2694"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金额</w:t>
            </w:r>
            <w:r w:rsidRPr="00D97CD7">
              <w:rPr>
                <w:rFonts w:eastAsiaTheme="minorEastAsia"/>
                <w:color w:val="000000" w:themeColor="text1"/>
                <w:szCs w:val="21"/>
              </w:rPr>
              <w:t>(</w:t>
            </w:r>
            <w:r w:rsidRPr="00D97CD7">
              <w:rPr>
                <w:rFonts w:eastAsiaTheme="minorEastAsia"/>
                <w:color w:val="000000" w:themeColor="text1"/>
                <w:szCs w:val="21"/>
              </w:rPr>
              <w:t>元</w:t>
            </w: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占基金总资产的比例</w:t>
            </w: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1</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权益投资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其中：股票</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基金投资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38,121,183.18</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92.42</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3</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固定收益投资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其中：债券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97CD7">
              <w:rPr>
                <w:rFonts w:eastAsiaTheme="minorEastAsia"/>
                <w:color w:val="000000" w:themeColor="text1"/>
                <w:szCs w:val="21"/>
              </w:rPr>
              <w:t>资产支持证券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4</w:t>
            </w:r>
          </w:p>
        </w:tc>
        <w:tc>
          <w:tcPr>
            <w:tcW w:w="3357" w:type="dxa"/>
          </w:tcPr>
          <w:p w:rsidR="00DB3887" w:rsidRPr="00D97CD7" w:rsidRDefault="00FC6961">
            <w:pPr>
              <w:spacing w:before="29" w:line="360" w:lineRule="auto"/>
              <w:ind w:leftChars="50" w:left="105"/>
              <w:rPr>
                <w:rFonts w:eastAsiaTheme="minorEastAsia"/>
                <w:color w:val="000000" w:themeColor="text1"/>
                <w:szCs w:val="21"/>
              </w:rPr>
            </w:pPr>
            <w:r w:rsidRPr="00D97CD7">
              <w:rPr>
                <w:rFonts w:eastAsiaTheme="minorEastAsia"/>
                <w:color w:val="000000" w:themeColor="text1"/>
                <w:szCs w:val="21"/>
              </w:rPr>
              <w:t>贵金属投资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5</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金融衍生品投资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6</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其中：买断式回购的买入返售金融资产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7</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银行存款和结算备付金合计</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2,730,527.77</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6.62</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8</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其他各项资产</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396,902.74</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0.96</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9</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合计</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41,248,613.69</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100.00</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5.2</w:t>
      </w:r>
      <w:r w:rsidRPr="00D97CD7">
        <w:rPr>
          <w:rFonts w:eastAsiaTheme="minorEastAsia"/>
          <w:b/>
          <w:color w:val="000000" w:themeColor="text1"/>
          <w:kern w:val="0"/>
          <w:szCs w:val="21"/>
        </w:rPr>
        <w:t>期末投资目标基金明细</w:t>
      </w:r>
    </w:p>
    <w:tbl>
      <w:tblPr>
        <w:tblStyle w:val="afa"/>
        <w:tblW w:w="8928" w:type="dxa"/>
        <w:tblInd w:w="108" w:type="dxa"/>
        <w:tblLayout w:type="fixed"/>
        <w:tblLook w:val="04A0" w:firstRow="1" w:lastRow="0" w:firstColumn="1" w:lastColumn="0" w:noHBand="0" w:noVBand="1"/>
      </w:tblPr>
      <w:tblGrid>
        <w:gridCol w:w="1238"/>
        <w:gridCol w:w="1239"/>
        <w:gridCol w:w="1240"/>
        <w:gridCol w:w="1240"/>
        <w:gridCol w:w="1240"/>
        <w:gridCol w:w="1241"/>
        <w:gridCol w:w="1490"/>
      </w:tblGrid>
      <w:tr w:rsidR="00DB3887" w:rsidRPr="00D97CD7">
        <w:tc>
          <w:tcPr>
            <w:tcW w:w="1238"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1239"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基金类型</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运作方式</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管理人</w:t>
            </w:r>
          </w:p>
        </w:tc>
        <w:tc>
          <w:tcPr>
            <w:tcW w:w="1241"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公允价值</w:t>
            </w:r>
          </w:p>
        </w:tc>
        <w:tc>
          <w:tcPr>
            <w:tcW w:w="149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占基金资产净值比例（</w:t>
            </w:r>
            <w:r w:rsidRPr="00D97CD7">
              <w:rPr>
                <w:rFonts w:eastAsiaTheme="minorEastAsia"/>
                <w:color w:val="000000" w:themeColor="text1"/>
                <w:kern w:val="0"/>
                <w:szCs w:val="21"/>
              </w:rPr>
              <w:t>%</w:t>
            </w:r>
            <w:r w:rsidRPr="00D97CD7">
              <w:rPr>
                <w:rFonts w:eastAsiaTheme="minorEastAsia"/>
                <w:color w:val="000000" w:themeColor="text1"/>
                <w:kern w:val="0"/>
                <w:szCs w:val="21"/>
              </w:rPr>
              <w:t>）</w:t>
            </w:r>
          </w:p>
        </w:tc>
      </w:tr>
      <w:tr w:rsidR="00D80673">
        <w:tc>
          <w:tcPr>
            <w:tcW w:w="1238" w:type="dxa"/>
            <w:vAlign w:val="center"/>
          </w:tcPr>
          <w:p w:rsidR="00D80673" w:rsidRDefault="00BF6DE1">
            <w:pPr>
              <w:jc w:val="center"/>
            </w:pPr>
            <w:r>
              <w:rPr>
                <w:rFonts w:eastAsiaTheme="minorEastAsia"/>
                <w:color w:val="000000" w:themeColor="text1"/>
                <w:szCs w:val="21"/>
              </w:rPr>
              <w:t>1</w:t>
            </w:r>
          </w:p>
        </w:tc>
        <w:tc>
          <w:tcPr>
            <w:tcW w:w="1239" w:type="dxa"/>
            <w:vAlign w:val="center"/>
          </w:tcPr>
          <w:p w:rsidR="00D80673" w:rsidRDefault="00BF6DE1">
            <w:pPr>
              <w:jc w:val="center"/>
            </w:pP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240" w:type="dxa"/>
            <w:vAlign w:val="center"/>
          </w:tcPr>
          <w:p w:rsidR="00D80673" w:rsidRDefault="00BF6DE1">
            <w:pPr>
              <w:jc w:val="center"/>
            </w:pPr>
            <w:r>
              <w:rPr>
                <w:rFonts w:eastAsiaTheme="minorEastAsia"/>
                <w:color w:val="000000" w:themeColor="text1"/>
                <w:szCs w:val="21"/>
              </w:rPr>
              <w:t>股票型</w:t>
            </w:r>
          </w:p>
        </w:tc>
        <w:tc>
          <w:tcPr>
            <w:tcW w:w="1240" w:type="dxa"/>
            <w:vAlign w:val="center"/>
          </w:tcPr>
          <w:p w:rsidR="00D80673" w:rsidRDefault="00BF6DE1">
            <w:pPr>
              <w:jc w:val="center"/>
            </w:pPr>
            <w:r>
              <w:rPr>
                <w:rFonts w:eastAsiaTheme="minorEastAsia"/>
                <w:color w:val="000000" w:themeColor="text1"/>
                <w:szCs w:val="21"/>
              </w:rPr>
              <w:t>交易型开放式</w:t>
            </w:r>
          </w:p>
        </w:tc>
        <w:tc>
          <w:tcPr>
            <w:tcW w:w="1240" w:type="dxa"/>
            <w:vAlign w:val="center"/>
          </w:tcPr>
          <w:p w:rsidR="00D80673" w:rsidRDefault="00BF6DE1">
            <w:pPr>
              <w:jc w:val="center"/>
            </w:pPr>
            <w:r>
              <w:rPr>
                <w:rFonts w:eastAsiaTheme="minorEastAsia"/>
                <w:color w:val="000000" w:themeColor="text1"/>
                <w:szCs w:val="21"/>
              </w:rPr>
              <w:t>上投摩根基金管理有限公司</w:t>
            </w:r>
          </w:p>
        </w:tc>
        <w:tc>
          <w:tcPr>
            <w:tcW w:w="1241" w:type="dxa"/>
            <w:vAlign w:val="center"/>
          </w:tcPr>
          <w:p w:rsidR="00D80673" w:rsidRDefault="00BF6DE1">
            <w:pPr>
              <w:jc w:val="right"/>
            </w:pPr>
            <w:r>
              <w:rPr>
                <w:rFonts w:eastAsiaTheme="minorEastAsia"/>
                <w:color w:val="000000" w:themeColor="text1"/>
                <w:szCs w:val="21"/>
              </w:rPr>
              <w:t>38,121,183.18</w:t>
            </w:r>
          </w:p>
        </w:tc>
        <w:tc>
          <w:tcPr>
            <w:tcW w:w="1490" w:type="dxa"/>
            <w:vAlign w:val="center"/>
          </w:tcPr>
          <w:p w:rsidR="00D80673" w:rsidRDefault="00BF6DE1">
            <w:pPr>
              <w:jc w:val="right"/>
            </w:pPr>
            <w:r>
              <w:rPr>
                <w:rFonts w:eastAsiaTheme="minorEastAsia"/>
                <w:color w:val="000000" w:themeColor="text1"/>
                <w:szCs w:val="21"/>
              </w:rPr>
              <w:t>94.40</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5.3 </w:t>
      </w:r>
      <w:r w:rsidRPr="00D97CD7">
        <w:rPr>
          <w:rFonts w:eastAsiaTheme="minorEastAsia"/>
          <w:b/>
          <w:color w:val="000000" w:themeColor="text1"/>
          <w:kern w:val="0"/>
          <w:szCs w:val="21"/>
        </w:rPr>
        <w:t>报告期末按行业分类的股票投资组合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本基金本报告期末未持有股票。</w:t>
      </w:r>
    </w:p>
    <w:p w:rsidR="00DB3887" w:rsidRPr="00D97CD7" w:rsidRDefault="00DB3887">
      <w:pPr>
        <w:autoSpaceDE w:val="0"/>
        <w:autoSpaceDN w:val="0"/>
        <w:adjustRightInd w:val="0"/>
        <w:spacing w:line="360" w:lineRule="auto"/>
        <w:ind w:firstLineChars="200" w:firstLine="420"/>
        <w:jc w:val="left"/>
        <w:rPr>
          <w:rFonts w:eastAsiaTheme="minorEastAsia"/>
          <w:color w:val="000000" w:themeColor="text1"/>
          <w:szCs w:val="21"/>
        </w:rPr>
      </w:pPr>
    </w:p>
    <w:p w:rsidR="00D97CD7" w:rsidRPr="007A4E67" w:rsidRDefault="00D97CD7" w:rsidP="00BF6DE1">
      <w:pPr>
        <w:spacing w:line="360" w:lineRule="auto"/>
        <w:ind w:left="422" w:hangingChars="200" w:hanging="422"/>
        <w:rPr>
          <w:rFonts w:eastAsiaTheme="minorEastAsia"/>
          <w:szCs w:val="21"/>
        </w:rPr>
      </w:pPr>
      <w:bookmarkStart w:id="2" w:name="_Hlk73460790"/>
      <w:r w:rsidRPr="007A4E67">
        <w:rPr>
          <w:rFonts w:eastAsiaTheme="minorEastAsia"/>
          <w:b/>
          <w:bCs/>
          <w:kern w:val="0"/>
          <w:szCs w:val="21"/>
        </w:rPr>
        <w:t>5.4</w:t>
      </w:r>
      <w:r w:rsidRPr="007A4E67">
        <w:rPr>
          <w:rFonts w:asciiTheme="minorEastAsia" w:eastAsiaTheme="minorEastAsia" w:hAnsiTheme="minorEastAsia" w:hint="eastAsia"/>
          <w:b/>
          <w:bCs/>
          <w:kern w:val="0"/>
          <w:szCs w:val="21"/>
        </w:rPr>
        <w:t>期末按公允价值占基金资产净值比例大小排序的股票投资明细</w:t>
      </w:r>
      <w:r w:rsidRPr="007A4E67">
        <w:rPr>
          <w:rFonts w:asciiTheme="minorEastAsia" w:eastAsiaTheme="minorEastAsia" w:hAnsiTheme="minorEastAsia" w:hint="eastAsia"/>
          <w:b/>
          <w:bCs/>
          <w:kern w:val="0"/>
          <w:szCs w:val="21"/>
        </w:rPr>
        <w:cr/>
      </w:r>
      <w:r w:rsidRPr="007A4E67">
        <w:rPr>
          <w:rFonts w:eastAsiaTheme="minorEastAsia"/>
          <w:szCs w:val="21"/>
        </w:rPr>
        <w:t>本基金本报告期末未持有股票。</w:t>
      </w:r>
    </w:p>
    <w:bookmarkEnd w:id="2"/>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5.5 </w:t>
      </w:r>
      <w:r w:rsidRPr="00D97CD7">
        <w:rPr>
          <w:rFonts w:eastAsiaTheme="minorEastAsia"/>
          <w:b/>
          <w:color w:val="000000" w:themeColor="text1"/>
          <w:kern w:val="0"/>
          <w:szCs w:val="21"/>
        </w:rPr>
        <w:t>报告期末按债券品种分类的债券投资组合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5.6 </w:t>
      </w:r>
      <w:r w:rsidRPr="00D97CD7">
        <w:rPr>
          <w:rFonts w:eastAsiaTheme="minorEastAsia"/>
          <w:b/>
          <w:color w:val="000000" w:themeColor="text1"/>
          <w:kern w:val="0"/>
          <w:szCs w:val="21"/>
        </w:rPr>
        <w:t>报告期末按公允价值占基金资产净值比例大小排序的前五名债券投资明细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5.7</w:t>
      </w:r>
      <w:r w:rsidRPr="00D97CD7">
        <w:rPr>
          <w:rFonts w:eastAsiaTheme="minorEastAsia"/>
          <w:b/>
          <w:color w:val="000000" w:themeColor="text1"/>
          <w:kern w:val="0"/>
          <w:szCs w:val="21"/>
        </w:rPr>
        <w:t xml:space="preserve">　报告期末按公允价值占基金资产净值比例大小排序的前十名资产支持证券投资明细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本基金本报告期末未持有资产支持证券。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 xml:space="preserve">5.8 </w:t>
      </w:r>
      <w:r w:rsidRPr="00D97CD7">
        <w:rPr>
          <w:rFonts w:eastAsiaTheme="minorEastAsia"/>
          <w:b/>
          <w:bCs/>
          <w:color w:val="000000" w:themeColor="text1"/>
          <w:kern w:val="0"/>
          <w:szCs w:val="21"/>
        </w:rPr>
        <w:t>报告期末按公允价值占基金资产净值比例大小排序的前五名贵金属投资明细</w:t>
      </w:r>
    </w:p>
    <w:p w:rsidR="00DB3887" w:rsidRPr="00D97CD7" w:rsidRDefault="00FC6961">
      <w:pPr>
        <w:widowControl/>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本基金本报告期末未持有贵金属。</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5.9 </w:t>
      </w:r>
      <w:r w:rsidRPr="00D97CD7">
        <w:rPr>
          <w:rFonts w:eastAsiaTheme="minorEastAsia"/>
          <w:b/>
          <w:color w:val="000000" w:themeColor="text1"/>
          <w:kern w:val="0"/>
          <w:szCs w:val="21"/>
        </w:rPr>
        <w:t>报告</w:t>
      </w:r>
      <w:r w:rsidRPr="00D97CD7">
        <w:rPr>
          <w:rFonts w:eastAsiaTheme="minorEastAsia"/>
          <w:b/>
          <w:bCs/>
          <w:color w:val="000000" w:themeColor="text1"/>
          <w:kern w:val="0"/>
          <w:szCs w:val="21"/>
        </w:rPr>
        <w:t>期末</w:t>
      </w:r>
      <w:r w:rsidRPr="00D97CD7">
        <w:rPr>
          <w:rFonts w:eastAsiaTheme="minorEastAsia"/>
          <w:b/>
          <w:color w:val="000000" w:themeColor="text1"/>
          <w:kern w:val="0"/>
          <w:szCs w:val="21"/>
        </w:rPr>
        <w:t>按公允价值占基金资产净值比例大小排序的前五名权证投资明细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本基金本报告期末未持有权证。</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szCs w:val="21"/>
        </w:rPr>
      </w:pPr>
      <w:r w:rsidRPr="00D97CD7">
        <w:rPr>
          <w:rFonts w:eastAsiaTheme="minorEastAsia"/>
          <w:b/>
          <w:color w:val="000000" w:themeColor="text1"/>
          <w:szCs w:val="21"/>
        </w:rPr>
        <w:t xml:space="preserve">5.10 </w:t>
      </w:r>
      <w:r w:rsidRPr="00D97CD7">
        <w:rPr>
          <w:rFonts w:eastAsiaTheme="minorEastAsia"/>
          <w:b/>
          <w:color w:val="000000" w:themeColor="text1"/>
          <w:szCs w:val="21"/>
        </w:rPr>
        <w:t>报告期末本基金投资的股指期货交易情况说明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本基金本报告期末未持有股指期货。</w:t>
      </w:r>
    </w:p>
    <w:p w:rsidR="00DB3887" w:rsidRPr="00D97CD7" w:rsidRDefault="00FC6961">
      <w:pPr>
        <w:adjustRightInd w:val="0"/>
        <w:snapToGrid w:val="0"/>
        <w:spacing w:beforeLines="100" w:before="312" w:line="360" w:lineRule="auto"/>
        <w:rPr>
          <w:rFonts w:eastAsiaTheme="minorEastAsia"/>
          <w:b/>
          <w:color w:val="000000" w:themeColor="text1"/>
          <w:szCs w:val="21"/>
        </w:rPr>
      </w:pPr>
      <w:r w:rsidRPr="00D97CD7">
        <w:rPr>
          <w:rFonts w:eastAsiaTheme="minorEastAsia"/>
          <w:b/>
          <w:color w:val="000000" w:themeColor="text1"/>
          <w:szCs w:val="21"/>
        </w:rPr>
        <w:t>5.11</w:t>
      </w:r>
      <w:r w:rsidRPr="00D97CD7">
        <w:rPr>
          <w:rFonts w:eastAsiaTheme="minorEastAsia"/>
          <w:b/>
          <w:color w:val="000000" w:themeColor="text1"/>
          <w:szCs w:val="21"/>
        </w:rPr>
        <w:t>报告期末本基金投资的国债期货交易情况说明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本基金本报告期末未持有国债期货。</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w:t>
      </w:r>
      <w:r w:rsidRPr="00D97CD7">
        <w:rPr>
          <w:rFonts w:eastAsiaTheme="minorEastAsia"/>
          <w:b/>
          <w:color w:val="000000" w:themeColor="text1"/>
          <w:kern w:val="0"/>
          <w:szCs w:val="21"/>
        </w:rPr>
        <w:t>投资组合报告附注</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5.12.1</w:t>
      </w:r>
      <w:r w:rsidRPr="00D97CD7">
        <w:rPr>
          <w:rFonts w:eastAsiaTheme="minorEastAsia"/>
          <w:color w:val="000000" w:themeColor="text1"/>
          <w:szCs w:val="21"/>
        </w:rPr>
        <w:t>本基金投资的前十名证券的发行主体本期未出现被监管部门立案调查，或在报告编制日前一年内受到公开谴责、处罚的情形。</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5.12.2</w:t>
      </w:r>
      <w:r w:rsidRPr="00D97CD7">
        <w:rPr>
          <w:rFonts w:eastAsiaTheme="minorEastAsia"/>
          <w:color w:val="000000" w:themeColor="text1"/>
          <w:szCs w:val="21"/>
        </w:rPr>
        <w:t>报告期内本基金投资的前十名股票中没有在基金合同规定备选股票库之外的股票。</w:t>
      </w:r>
    </w:p>
    <w:p w:rsidR="00DB3887" w:rsidRPr="00D97CD7" w:rsidRDefault="00FC6961">
      <w:pPr>
        <w:autoSpaceDE w:val="0"/>
        <w:autoSpaceDN w:val="0"/>
        <w:adjustRightInd w:val="0"/>
        <w:spacing w:line="360" w:lineRule="auto"/>
        <w:rPr>
          <w:rFonts w:eastAsiaTheme="minorEastAsia"/>
          <w:b/>
          <w:color w:val="000000" w:themeColor="text1"/>
          <w:kern w:val="0"/>
          <w:szCs w:val="21"/>
        </w:rPr>
      </w:pPr>
      <w:r w:rsidRPr="00D97CD7">
        <w:rPr>
          <w:rFonts w:eastAsiaTheme="minorEastAsia"/>
          <w:b/>
          <w:color w:val="000000" w:themeColor="text1"/>
          <w:kern w:val="0"/>
          <w:szCs w:val="21"/>
        </w:rPr>
        <w:t>5.12.3</w:t>
      </w:r>
      <w:r w:rsidRPr="00D97CD7">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DB3887" w:rsidRPr="00D97CD7">
        <w:tc>
          <w:tcPr>
            <w:tcW w:w="1110"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2761"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名称</w:t>
            </w:r>
          </w:p>
        </w:tc>
        <w:tc>
          <w:tcPr>
            <w:tcW w:w="4808"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金额</w:t>
            </w:r>
            <w:r w:rsidRPr="00D97CD7">
              <w:rPr>
                <w:rFonts w:eastAsiaTheme="minorEastAsia"/>
                <w:color w:val="000000" w:themeColor="text1"/>
                <w:kern w:val="0"/>
                <w:szCs w:val="21"/>
              </w:rPr>
              <w:t>(</w:t>
            </w:r>
            <w:r w:rsidRPr="00D97CD7">
              <w:rPr>
                <w:rFonts w:eastAsiaTheme="minorEastAsia"/>
                <w:color w:val="000000" w:themeColor="text1"/>
                <w:kern w:val="0"/>
                <w:szCs w:val="21"/>
              </w:rPr>
              <w:t>元</w:t>
            </w: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szCs w:val="21"/>
              </w:rPr>
              <w:t>1</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存出保证金</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5,475.16</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2</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应收证券清算款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3</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应收股利</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4</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应收利息</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5</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应收申购款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391,427.58</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6</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其他应收款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7</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szCs w:val="21"/>
              </w:rPr>
            </w:pPr>
            <w:r w:rsidRPr="00D97CD7">
              <w:rPr>
                <w:rFonts w:eastAsiaTheme="minorEastAsia"/>
                <w:color w:val="000000" w:themeColor="text1"/>
                <w:szCs w:val="21"/>
              </w:rPr>
              <w:t>待摊费用</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8</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9</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合计</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396,902.74</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5.12.4</w:t>
      </w:r>
      <w:r w:rsidRPr="00D97CD7">
        <w:rPr>
          <w:rFonts w:eastAsiaTheme="minorEastAsia"/>
          <w:b/>
          <w:color w:val="000000" w:themeColor="text1"/>
          <w:kern w:val="0"/>
          <w:szCs w:val="21"/>
        </w:rPr>
        <w:t>报告期末持有的处于转股期的可转换债券明细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本基金本报告期末未持有处于转股期的可转换债券。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szCs w:val="21"/>
        </w:rPr>
      </w:pPr>
      <w:r w:rsidRPr="00D97CD7">
        <w:rPr>
          <w:rFonts w:eastAsiaTheme="minorEastAsia"/>
          <w:b/>
          <w:color w:val="000000" w:themeColor="text1"/>
          <w:kern w:val="0"/>
          <w:szCs w:val="21"/>
        </w:rPr>
        <w:t>5.12.5</w:t>
      </w:r>
      <w:r w:rsidRPr="00D97CD7">
        <w:rPr>
          <w:rFonts w:eastAsiaTheme="minorEastAsia"/>
          <w:b/>
          <w:bCs/>
          <w:color w:val="000000" w:themeColor="text1"/>
          <w:szCs w:val="21"/>
        </w:rPr>
        <w:t>报告期末前十名股票中存在流通受限情况的说明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本基金本报告期末前十名股票中不存在流通受限情况。</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5.12.6</w:t>
      </w:r>
      <w:r w:rsidRPr="00D97CD7">
        <w:rPr>
          <w:rFonts w:eastAsiaTheme="minorEastAsia"/>
          <w:b/>
          <w:color w:val="000000" w:themeColor="text1"/>
          <w:kern w:val="0"/>
          <w:szCs w:val="21"/>
        </w:rPr>
        <w:t>投资组合报告附注的其他文字描述部分</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因四舍五入的原因，投资组合报告中分项之和与合计数可能存在尾差。</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§6  </w:t>
      </w:r>
      <w:r w:rsidRPr="00D97CD7">
        <w:rPr>
          <w:rFonts w:eastAsiaTheme="minorEastAsia"/>
          <w:color w:val="000000" w:themeColor="text1"/>
          <w:kern w:val="0"/>
          <w:sz w:val="21"/>
          <w:szCs w:val="21"/>
        </w:rPr>
        <w:t>开放式基金份额变动</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上投摩根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33,220,244.61</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11,921,846.13</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599,908.65</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12,637,709.14</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4,303,228.28</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13,449,006.53</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29,516,924.98</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11,110,548.74</w:t>
            </w:r>
          </w:p>
        </w:tc>
      </w:tr>
    </w:tbl>
    <w:p w:rsidR="00DB3887" w:rsidRPr="00D97CD7" w:rsidRDefault="00FC6961">
      <w:pPr>
        <w:pStyle w:val="1"/>
        <w:tabs>
          <w:tab w:val="center" w:pos="4156"/>
          <w:tab w:val="right" w:pos="8312"/>
        </w:tabs>
        <w:spacing w:beforeLines="100" w:before="312" w:afterLines="100" w:after="312" w:line="360" w:lineRule="auto"/>
        <w:jc w:val="center"/>
        <w:rPr>
          <w:rFonts w:eastAsiaTheme="minorEastAsia"/>
          <w:color w:val="000000" w:themeColor="text1"/>
          <w:sz w:val="21"/>
          <w:szCs w:val="21"/>
        </w:rPr>
      </w:pPr>
      <w:r w:rsidRPr="00D97CD7">
        <w:rPr>
          <w:rFonts w:eastAsiaTheme="minorEastAsia"/>
          <w:color w:val="000000" w:themeColor="text1"/>
          <w:kern w:val="0"/>
          <w:sz w:val="21"/>
          <w:szCs w:val="21"/>
        </w:rPr>
        <w:t xml:space="preserve">§7  </w:t>
      </w:r>
      <w:r w:rsidRPr="00D97CD7">
        <w:rPr>
          <w:rFonts w:eastAsiaTheme="minorEastAsia"/>
          <w:color w:val="000000" w:themeColor="text1"/>
          <w:sz w:val="21"/>
          <w:szCs w:val="21"/>
        </w:rPr>
        <w:t>基金管理人运用固有资金投资本基金情况</w:t>
      </w:r>
    </w:p>
    <w:p w:rsidR="00DB3887" w:rsidRPr="00D97CD7" w:rsidRDefault="00FC6961">
      <w:pPr>
        <w:spacing w:line="360" w:lineRule="auto"/>
        <w:jc w:val="left"/>
        <w:rPr>
          <w:rFonts w:eastAsiaTheme="minorEastAsia"/>
          <w:color w:val="000000" w:themeColor="text1"/>
          <w:szCs w:val="21"/>
        </w:rPr>
      </w:pPr>
      <w:r w:rsidRPr="00D97CD7">
        <w:rPr>
          <w:rFonts w:eastAsiaTheme="minorEastAsia"/>
          <w:b/>
          <w:color w:val="000000" w:themeColor="text1"/>
          <w:szCs w:val="21"/>
        </w:rPr>
        <w:t xml:space="preserve">7.1 </w:t>
      </w:r>
      <w:r w:rsidRPr="00D97CD7">
        <w:rPr>
          <w:rFonts w:eastAsiaTheme="minorEastAsia"/>
          <w:b/>
          <w:bCs/>
          <w:color w:val="000000" w:themeColor="text1"/>
          <w:kern w:val="44"/>
          <w:szCs w:val="21"/>
        </w:rPr>
        <w:t>基金管理人持有本基金份额变动情况</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无。</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§8</w:t>
      </w:r>
      <w:r w:rsidRPr="00D97CD7">
        <w:rPr>
          <w:rFonts w:eastAsiaTheme="minorEastAsia"/>
          <w:color w:val="000000" w:themeColor="text1"/>
          <w:kern w:val="0"/>
          <w:sz w:val="21"/>
          <w:szCs w:val="21"/>
        </w:rPr>
        <w:t>备查文件目录</w:t>
      </w:r>
    </w:p>
    <w:p w:rsidR="00DB3887" w:rsidRPr="00D97CD7" w:rsidRDefault="00FC6961">
      <w:pPr>
        <w:autoSpaceDE w:val="0"/>
        <w:autoSpaceDN w:val="0"/>
        <w:adjustRightInd w:val="0"/>
        <w:spacing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8.1</w:t>
      </w:r>
      <w:r w:rsidRPr="00D97CD7">
        <w:rPr>
          <w:rFonts w:eastAsiaTheme="minorEastAsia"/>
          <w:b/>
          <w:bCs/>
          <w:color w:val="000000" w:themeColor="text1"/>
          <w:kern w:val="0"/>
          <w:szCs w:val="21"/>
        </w:rPr>
        <w:t>备查文件目录</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股交易型开放式指数证券投资基金联接基金募集注册的文件</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股交易型开放式指数证券投资基金联接基金基金合同</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股交易型开放式指数证券投资基金联接基金托管协议</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D80673" w:rsidRDefault="00BF6DE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w:t>
      </w:r>
      <w:r w:rsidRPr="00D97CD7">
        <w:rPr>
          <w:rFonts w:eastAsiaTheme="minorEastAsia"/>
          <w:color w:val="000000" w:themeColor="text1"/>
          <w:szCs w:val="21"/>
        </w:rPr>
        <w:t>八</w:t>
      </w:r>
      <w:r w:rsidRPr="00D97CD7">
        <w:rPr>
          <w:rFonts w:eastAsiaTheme="minorEastAsia"/>
          <w:color w:val="000000" w:themeColor="text1"/>
          <w:szCs w:val="21"/>
        </w:rPr>
        <w:t>)</w:t>
      </w:r>
      <w:r w:rsidRPr="00D97CD7">
        <w:rPr>
          <w:rFonts w:eastAsiaTheme="minorEastAsia"/>
          <w:color w:val="000000" w:themeColor="text1"/>
          <w:szCs w:val="21"/>
        </w:rPr>
        <w:t>中国证监会要求的其他文件</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8.2</w:t>
      </w:r>
      <w:r w:rsidRPr="00D97CD7">
        <w:rPr>
          <w:rFonts w:eastAsiaTheme="minorEastAsia"/>
          <w:b/>
          <w:bCs/>
          <w:color w:val="000000" w:themeColor="text1"/>
          <w:kern w:val="0"/>
          <w:szCs w:val="21"/>
        </w:rPr>
        <w:t>存放地点</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基金管理人或基金托管人住所。</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8.3</w:t>
      </w:r>
      <w:r w:rsidRPr="00D97CD7">
        <w:rPr>
          <w:rFonts w:eastAsiaTheme="minorEastAsia"/>
          <w:b/>
          <w:bCs/>
          <w:color w:val="000000" w:themeColor="text1"/>
          <w:kern w:val="0"/>
          <w:szCs w:val="21"/>
        </w:rPr>
        <w:t>查阅方式</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投资者可在营业时间免费查阅，也可按工本费购买复印件。</w:t>
      </w:r>
    </w:p>
    <w:p w:rsidR="00DB3887" w:rsidRPr="00D97CD7" w:rsidRDefault="00DB3887">
      <w:pPr>
        <w:spacing w:line="360" w:lineRule="auto"/>
        <w:ind w:left="840"/>
        <w:jc w:val="right"/>
        <w:rPr>
          <w:rFonts w:eastAsiaTheme="minorEastAsia"/>
          <w:color w:val="000000" w:themeColor="text1"/>
          <w:szCs w:val="21"/>
        </w:rPr>
      </w:pPr>
    </w:p>
    <w:p w:rsidR="00DB3887" w:rsidRPr="00D97CD7" w:rsidRDefault="00DB3887">
      <w:pPr>
        <w:spacing w:line="360" w:lineRule="auto"/>
        <w:ind w:left="840"/>
        <w:jc w:val="center"/>
        <w:rPr>
          <w:rFonts w:eastAsiaTheme="minorEastAsia"/>
          <w:b/>
          <w:color w:val="000000" w:themeColor="text1"/>
          <w:szCs w:val="21"/>
        </w:rPr>
      </w:pP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上投摩根基金管理有限公司</w:t>
      </w: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二〇二二年四月二十二日</w:t>
      </w:r>
    </w:p>
    <w:sectPr w:rsidR="00DB3887" w:rsidRPr="00D97CD7">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CA1" w:rsidRDefault="008B6CA1">
      <w:r>
        <w:separator/>
      </w:r>
    </w:p>
  </w:endnote>
  <w:endnote w:type="continuationSeparator" w:id="0">
    <w:p w:rsidR="008B6CA1" w:rsidRDefault="008B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16F9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16F9E">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C6961" w:rsidRDefault="00FC69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16F9E">
      <w:rPr>
        <w:rStyle w:val="af6"/>
        <w:noProof/>
      </w:rPr>
      <w:t>2</w:t>
    </w:r>
    <w:r>
      <w:rPr>
        <w:rStyle w:val="af6"/>
      </w:rPr>
      <w:fldChar w:fldCharType="end"/>
    </w:r>
  </w:p>
  <w:p w:rsidR="00FC6961" w:rsidRDefault="00FC69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CA1" w:rsidRDefault="008B6CA1">
      <w:r>
        <w:separator/>
      </w:r>
    </w:p>
  </w:footnote>
  <w:footnote w:type="continuationSeparator" w:id="0">
    <w:p w:rsidR="008B6CA1" w:rsidRDefault="008B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f"/>
      <w:pBdr>
        <w:bottom w:val="single" w:sz="6" w:space="0" w:color="auto"/>
      </w:pBdr>
      <w:jc w:val="right"/>
    </w:pPr>
    <w:r>
      <w:rPr>
        <w:sz w:val="21"/>
        <w:szCs w:val="21"/>
      </w:rPr>
      <w:t>上投摩根</w:t>
    </w:r>
    <w:r>
      <w:rPr>
        <w:sz w:val="21"/>
        <w:szCs w:val="21"/>
      </w:rPr>
      <w:t>MSCI</w:t>
    </w:r>
    <w:r>
      <w:rPr>
        <w:sz w:val="21"/>
        <w:szCs w:val="21"/>
      </w:rPr>
      <w:t>中国</w:t>
    </w:r>
    <w:r>
      <w:rPr>
        <w:sz w:val="21"/>
        <w:szCs w:val="21"/>
      </w:rPr>
      <w:t>A</w:t>
    </w:r>
    <w:r>
      <w:rPr>
        <w:sz w:val="21"/>
        <w:szCs w:val="21"/>
      </w:rPr>
      <w:t>股交易型开放式指数证券投资基金联接基金</w:t>
    </w:r>
    <w:r>
      <w:rPr>
        <w:sz w:val="21"/>
        <w:szCs w:val="21"/>
      </w:rPr>
      <w:t>2022</w:t>
    </w:r>
    <w:r>
      <w:rPr>
        <w:sz w:val="21"/>
        <w:szCs w:val="21"/>
      </w:rPr>
      <w:t>年第</w:t>
    </w:r>
    <w:r>
      <w:rPr>
        <w:sz w:val="21"/>
        <w:szCs w:val="21"/>
      </w:rPr>
      <w:t>1</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25CE3"/>
    <w:rsid w:val="0003564A"/>
    <w:rsid w:val="00035B0C"/>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ED"/>
    <w:rsid w:val="0037768B"/>
    <w:rsid w:val="00382E6F"/>
    <w:rsid w:val="00387C00"/>
    <w:rsid w:val="00397960"/>
    <w:rsid w:val="00397F75"/>
    <w:rsid w:val="003A2008"/>
    <w:rsid w:val="003A3BC4"/>
    <w:rsid w:val="003A4AA3"/>
    <w:rsid w:val="003B405E"/>
    <w:rsid w:val="003B4843"/>
    <w:rsid w:val="003B494E"/>
    <w:rsid w:val="003B560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1A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1A2B"/>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C1"/>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2983"/>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73A"/>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BF6DE1"/>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4009"/>
    <w:rsid w:val="00C7016D"/>
    <w:rsid w:val="00C767B3"/>
    <w:rsid w:val="00C76C07"/>
    <w:rsid w:val="00C80F23"/>
    <w:rsid w:val="00C817E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16F9E"/>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0673"/>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0789"/>
    <w:rsid w:val="00E02DEB"/>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Normal Indent" w:uiPriority="99"/>
    <w:lsdException w:name="footnote text" w:qFormat="1"/>
    <w:lsdException w:name="annotation text" w:semiHidden="1" w:qFormat="1"/>
    <w:lsdException w:name="head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uiPriority="22"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
    <w:name w:val="Body Text Indent 3"/>
    <w:basedOn w:val="a"/>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5">
    <w:name w:val="Strong"/>
    <w:basedOn w:val="a1"/>
    <w:uiPriority w:val="22"/>
    <w:qFormat/>
    <w:rPr>
      <w:b/>
      <w:bCs/>
    </w:rPr>
  </w:style>
  <w:style w:type="character" w:styleId="af6">
    <w:name w:val="page number"/>
    <w:basedOn w:val="a1"/>
  </w:style>
  <w:style w:type="character" w:styleId="af7">
    <w:name w:val="Hyperlink"/>
    <w:basedOn w:val="a1"/>
    <w:rPr>
      <w:color w:val="0000FF"/>
      <w:u w:val="single"/>
    </w:rPr>
  </w:style>
  <w:style w:type="character" w:styleId="af8">
    <w:name w:val="annotation reference"/>
    <w:basedOn w:val="a1"/>
    <w:semiHidden/>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rPr>
      <w:color w:val="800080"/>
      <w:u w:val="single"/>
    </w:r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qFormat/>
    <w:rPr>
      <w:color w:val="990000"/>
    </w:rPr>
  </w:style>
  <w:style w:type="character" w:customStyle="1" w:styleId="aa">
    <w:name w:val="纯文本 字符"/>
    <w:basedOn w:val="a1"/>
    <w:link w:val="a9"/>
    <w:uiPriority w:val="99"/>
    <w:qFormat/>
    <w:rPr>
      <w:rFonts w:ascii="宋体" w:hAnsi="Courier New"/>
      <w:kern w:val="2"/>
      <w:sz w:val="21"/>
      <w:szCs w:val="21"/>
    </w:rPr>
  </w:style>
  <w:style w:type="character" w:customStyle="1" w:styleId="af3">
    <w:name w:val="脚注文本 字符"/>
    <w:basedOn w:val="a1"/>
    <w:link w:val="af2"/>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0D1B5-D5B3-4B15-A96E-49A70D79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36</TotalTime>
  <Pages>15</Pages>
  <Words>1261</Words>
  <Characters>7193</Characters>
  <Application>Microsoft Office Word</Application>
  <DocSecurity>0</DocSecurity>
  <Lines>59</Lines>
  <Paragraphs>16</Paragraphs>
  <ScaleCrop>false</ScaleCrop>
  <Company>TRT. Ltd. Co.</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29</cp:revision>
  <cp:lastPrinted>2007-07-19T00:46:00Z</cp:lastPrinted>
  <dcterms:created xsi:type="dcterms:W3CDTF">2014-12-16T08:49:00Z</dcterms:created>
  <dcterms:modified xsi:type="dcterms:W3CDTF">2022-04-21T02:56:00Z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