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上投摩根</w:t>
      </w:r>
      <w:r w:rsidRPr="00D97CD7">
        <w:rPr>
          <w:rFonts w:eastAsiaTheme="minorEastAsia"/>
          <w:b/>
          <w:color w:val="000000" w:themeColor="text1"/>
          <w:sz w:val="36"/>
          <w:szCs w:val="36"/>
        </w:rPr>
        <w:t>MSCI</w:t>
      </w:r>
      <w:r w:rsidRPr="00D97CD7">
        <w:rPr>
          <w:rFonts w:eastAsiaTheme="minorEastAsia"/>
          <w:b/>
          <w:color w:val="000000" w:themeColor="text1"/>
          <w:sz w:val="36"/>
          <w:szCs w:val="36"/>
        </w:rPr>
        <w:t>中国</w:t>
      </w:r>
      <w:r w:rsidRPr="00D97CD7">
        <w:rPr>
          <w:rFonts w:eastAsiaTheme="minorEastAsia"/>
          <w:b/>
          <w:color w:val="000000" w:themeColor="text1"/>
          <w:sz w:val="36"/>
          <w:szCs w:val="36"/>
        </w:rPr>
        <w:t>A</w:t>
      </w:r>
      <w:r w:rsidRPr="00D97CD7">
        <w:rPr>
          <w:rFonts w:eastAsiaTheme="minorEastAsia"/>
          <w:b/>
          <w:color w:val="000000" w:themeColor="text1"/>
          <w:sz w:val="36"/>
          <w:szCs w:val="36"/>
        </w:rPr>
        <w:t>股交易型开放式指数证券投资基金联接基金</w:t>
      </w:r>
    </w:p>
    <w:p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2022</w:t>
      </w:r>
      <w:r w:rsidRPr="00D97CD7">
        <w:rPr>
          <w:rFonts w:eastAsiaTheme="minorEastAsia"/>
          <w:b/>
          <w:color w:val="000000" w:themeColor="text1"/>
          <w:sz w:val="36"/>
          <w:szCs w:val="36"/>
        </w:rPr>
        <w:t>年第</w:t>
      </w:r>
      <w:r w:rsidRPr="00D97CD7">
        <w:rPr>
          <w:rFonts w:eastAsiaTheme="minorEastAsia"/>
          <w:b/>
          <w:color w:val="000000" w:themeColor="text1"/>
          <w:sz w:val="36"/>
          <w:szCs w:val="36"/>
        </w:rPr>
        <w:t>4</w:t>
      </w:r>
      <w:r w:rsidRPr="00D97CD7">
        <w:rPr>
          <w:rFonts w:eastAsiaTheme="minorEastAsia"/>
          <w:b/>
          <w:color w:val="000000" w:themeColor="text1"/>
          <w:sz w:val="36"/>
          <w:szCs w:val="36"/>
        </w:rPr>
        <w:t>季度报告</w:t>
      </w:r>
    </w:p>
    <w:p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2022</w:t>
      </w:r>
      <w:r w:rsidRPr="00D97CD7">
        <w:rPr>
          <w:rFonts w:eastAsiaTheme="minorEastAsia"/>
          <w:b/>
          <w:color w:val="000000" w:themeColor="text1"/>
          <w:sz w:val="36"/>
          <w:szCs w:val="36"/>
        </w:rPr>
        <w:t>年</w:t>
      </w:r>
      <w:r w:rsidRPr="00D97CD7">
        <w:rPr>
          <w:rFonts w:eastAsiaTheme="minorEastAsia"/>
          <w:b/>
          <w:color w:val="000000" w:themeColor="text1"/>
          <w:sz w:val="36"/>
          <w:szCs w:val="36"/>
        </w:rPr>
        <w:t>12</w:t>
      </w:r>
      <w:r w:rsidRPr="00D97CD7">
        <w:rPr>
          <w:rFonts w:eastAsiaTheme="minorEastAsia"/>
          <w:b/>
          <w:color w:val="000000" w:themeColor="text1"/>
          <w:sz w:val="36"/>
          <w:szCs w:val="36"/>
        </w:rPr>
        <w:t>月</w:t>
      </w:r>
      <w:r w:rsidRPr="00D97CD7">
        <w:rPr>
          <w:rFonts w:eastAsiaTheme="minorEastAsia"/>
          <w:b/>
          <w:color w:val="000000" w:themeColor="text1"/>
          <w:sz w:val="36"/>
          <w:szCs w:val="36"/>
        </w:rPr>
        <w:t>31</w:t>
      </w:r>
      <w:r w:rsidRPr="00D97CD7">
        <w:rPr>
          <w:rFonts w:eastAsiaTheme="minorEastAsia"/>
          <w:b/>
          <w:color w:val="000000" w:themeColor="text1"/>
          <w:sz w:val="36"/>
          <w:szCs w:val="36"/>
        </w:rPr>
        <w:t>日</w:t>
      </w: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rPr>
          <w:rFonts w:eastAsiaTheme="minorEastAsia"/>
          <w:b/>
          <w:color w:val="000000" w:themeColor="text1"/>
          <w:szCs w:val="21"/>
        </w:rPr>
      </w:pPr>
    </w:p>
    <w:p w:rsidR="00DB3887" w:rsidRPr="00D97CD7" w:rsidRDefault="00FC6961">
      <w:pPr>
        <w:spacing w:line="360" w:lineRule="auto"/>
        <w:ind w:firstLineChars="900" w:firstLine="2168"/>
        <w:rPr>
          <w:rFonts w:eastAsiaTheme="minorEastAsia"/>
          <w:b/>
          <w:color w:val="000000" w:themeColor="text1"/>
          <w:sz w:val="24"/>
        </w:rPr>
      </w:pPr>
      <w:r w:rsidRPr="00D97CD7">
        <w:rPr>
          <w:rFonts w:eastAsiaTheme="minorEastAsia"/>
          <w:b/>
          <w:color w:val="000000" w:themeColor="text1"/>
          <w:sz w:val="24"/>
        </w:rPr>
        <w:t>基金管理人：上投摩根基金管理有限公司</w:t>
      </w:r>
    </w:p>
    <w:p w:rsidR="00DB3887" w:rsidRPr="00D97CD7" w:rsidRDefault="00FC6961">
      <w:pPr>
        <w:spacing w:line="360" w:lineRule="auto"/>
        <w:ind w:firstLineChars="900" w:firstLine="2168"/>
        <w:rPr>
          <w:rFonts w:eastAsiaTheme="minorEastAsia"/>
          <w:b/>
          <w:color w:val="000000" w:themeColor="text1"/>
          <w:sz w:val="24"/>
        </w:rPr>
      </w:pPr>
      <w:r w:rsidRPr="00D97CD7">
        <w:rPr>
          <w:rFonts w:eastAsiaTheme="minorEastAsia"/>
          <w:b/>
          <w:color w:val="000000" w:themeColor="text1"/>
          <w:sz w:val="24"/>
        </w:rPr>
        <w:t>基金托管人：平安银行股份有限公司</w:t>
      </w:r>
    </w:p>
    <w:p w:rsidR="00DB3887" w:rsidRPr="00D97CD7" w:rsidRDefault="00FC6961">
      <w:pPr>
        <w:spacing w:line="360" w:lineRule="auto"/>
        <w:ind w:firstLineChars="900" w:firstLine="2168"/>
        <w:rPr>
          <w:rFonts w:eastAsiaTheme="minorEastAsia"/>
          <w:color w:val="000000" w:themeColor="text1"/>
          <w:sz w:val="24"/>
        </w:rPr>
        <w:sectPr w:rsidR="00DB3887" w:rsidRPr="00D97CD7">
          <w:headerReference w:type="default" r:id="rId8"/>
          <w:footerReference w:type="default" r:id="rId9"/>
          <w:pgSz w:w="11926" w:h="15840"/>
          <w:pgMar w:top="1418" w:right="1418" w:bottom="851" w:left="1418" w:header="851" w:footer="992" w:gutter="0"/>
          <w:cols w:space="720"/>
        </w:sectPr>
      </w:pPr>
      <w:r w:rsidRPr="00D97CD7">
        <w:rPr>
          <w:rFonts w:eastAsiaTheme="minorEastAsia"/>
          <w:b/>
          <w:color w:val="000000" w:themeColor="text1"/>
          <w:sz w:val="24"/>
        </w:rPr>
        <w:t>报告送出日期：二〇二三年一月二十日</w:t>
      </w:r>
    </w:p>
    <w:p w:rsidR="00DB3887" w:rsidRPr="00D97CD7" w:rsidRDefault="00FC6961">
      <w:pPr>
        <w:pStyle w:val="1"/>
        <w:spacing w:beforeLines="100" w:before="312" w:afterLines="100" w:after="312" w:line="360" w:lineRule="auto"/>
        <w:jc w:val="center"/>
        <w:rPr>
          <w:rFonts w:eastAsiaTheme="minorEastAsia"/>
          <w:b w:val="0"/>
          <w:color w:val="000000" w:themeColor="text1"/>
          <w:kern w:val="0"/>
          <w:sz w:val="21"/>
          <w:szCs w:val="21"/>
        </w:rPr>
      </w:pPr>
      <w:r w:rsidRPr="00D97CD7">
        <w:rPr>
          <w:rFonts w:eastAsiaTheme="minorEastAsia"/>
          <w:color w:val="000000" w:themeColor="text1"/>
          <w:kern w:val="0"/>
          <w:sz w:val="21"/>
          <w:szCs w:val="21"/>
        </w:rPr>
        <w:lastRenderedPageBreak/>
        <w:t xml:space="preserve">§1  </w:t>
      </w:r>
      <w:r w:rsidRPr="00D97CD7">
        <w:rPr>
          <w:rFonts w:eastAsiaTheme="minorEastAsia"/>
          <w:color w:val="000000" w:themeColor="text1"/>
          <w:kern w:val="0"/>
          <w:sz w:val="21"/>
          <w:szCs w:val="21"/>
        </w:rPr>
        <w:t>重要提示</w:t>
      </w:r>
    </w:p>
    <w:p w:rsidR="0037580C" w:rsidRDefault="00926AA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37580C" w:rsidRDefault="00926AA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37580C" w:rsidRDefault="00926AA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37580C" w:rsidRDefault="00926AA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37580C" w:rsidRDefault="00926AA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本报告期自</w:t>
      </w:r>
      <w:r w:rsidRPr="00D97CD7">
        <w:rPr>
          <w:rFonts w:eastAsiaTheme="minorEastAsia"/>
          <w:color w:val="000000" w:themeColor="text1"/>
          <w:szCs w:val="21"/>
        </w:rPr>
        <w:t>2022</w:t>
      </w:r>
      <w:r w:rsidRPr="00D97CD7">
        <w:rPr>
          <w:rFonts w:eastAsiaTheme="minorEastAsia"/>
          <w:color w:val="000000" w:themeColor="text1"/>
          <w:szCs w:val="21"/>
        </w:rPr>
        <w:t>年</w:t>
      </w:r>
      <w:r w:rsidRPr="00D97CD7">
        <w:rPr>
          <w:rFonts w:eastAsiaTheme="minorEastAsia"/>
          <w:color w:val="000000" w:themeColor="text1"/>
          <w:szCs w:val="21"/>
        </w:rPr>
        <w:t>10</w:t>
      </w:r>
      <w:r w:rsidRPr="00D97CD7">
        <w:rPr>
          <w:rFonts w:eastAsiaTheme="minorEastAsia"/>
          <w:color w:val="000000" w:themeColor="text1"/>
          <w:szCs w:val="21"/>
        </w:rPr>
        <w:t>月</w:t>
      </w:r>
      <w:r w:rsidRPr="00D97CD7">
        <w:rPr>
          <w:rFonts w:eastAsiaTheme="minorEastAsia"/>
          <w:color w:val="000000" w:themeColor="text1"/>
          <w:szCs w:val="21"/>
        </w:rPr>
        <w:t>1</w:t>
      </w:r>
      <w:r w:rsidRPr="00D97CD7">
        <w:rPr>
          <w:rFonts w:eastAsiaTheme="minorEastAsia"/>
          <w:color w:val="000000" w:themeColor="text1"/>
          <w:szCs w:val="21"/>
        </w:rPr>
        <w:t>日起至</w:t>
      </w:r>
      <w:r w:rsidRPr="00D97CD7">
        <w:rPr>
          <w:rFonts w:eastAsiaTheme="minorEastAsia"/>
          <w:color w:val="000000" w:themeColor="text1"/>
          <w:szCs w:val="21"/>
        </w:rPr>
        <w:t>12</w:t>
      </w:r>
      <w:r w:rsidRPr="00D97CD7">
        <w:rPr>
          <w:rFonts w:eastAsiaTheme="minorEastAsia"/>
          <w:color w:val="000000" w:themeColor="text1"/>
          <w:szCs w:val="21"/>
        </w:rPr>
        <w:t>月</w:t>
      </w:r>
      <w:r w:rsidRPr="00D97CD7">
        <w:rPr>
          <w:rFonts w:eastAsiaTheme="minorEastAsia"/>
          <w:color w:val="000000" w:themeColor="text1"/>
          <w:szCs w:val="21"/>
        </w:rPr>
        <w:t>31</w:t>
      </w:r>
      <w:r w:rsidRPr="00D97CD7">
        <w:rPr>
          <w:rFonts w:eastAsiaTheme="minorEastAsia"/>
          <w:color w:val="000000" w:themeColor="text1"/>
          <w:szCs w:val="21"/>
        </w:rPr>
        <w:t>日止。</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§2  </w:t>
      </w:r>
      <w:r w:rsidRPr="00D97CD7">
        <w:rPr>
          <w:rFonts w:eastAsiaTheme="minorEastAsia"/>
          <w:color w:val="000000" w:themeColor="text1"/>
          <w:kern w:val="0"/>
          <w:sz w:val="21"/>
          <w:szCs w:val="21"/>
        </w:rPr>
        <w:t>基金产品概况</w:t>
      </w:r>
    </w:p>
    <w:p w:rsidR="00DB3887" w:rsidRPr="00D97CD7" w:rsidRDefault="00FC6961">
      <w:pPr>
        <w:pStyle w:val="2"/>
        <w:keepNext w:val="0"/>
        <w:keepLines w:val="0"/>
        <w:spacing w:before="0" w:after="0"/>
        <w:rPr>
          <w:rFonts w:ascii="Times New Roman" w:eastAsiaTheme="minorEastAsia" w:hAnsi="Times New Roman" w:cs="Times New Roman"/>
          <w:color w:val="000000" w:themeColor="text1"/>
          <w:sz w:val="21"/>
          <w:szCs w:val="21"/>
        </w:rPr>
      </w:pPr>
      <w:bookmarkStart w:id="1" w:name="_Toc245193810"/>
      <w:r w:rsidRPr="00D97CD7">
        <w:rPr>
          <w:rFonts w:ascii="Times New Roman" w:eastAsiaTheme="minorEastAsia" w:hAnsi="Times New Roman" w:cs="Times New Roman"/>
          <w:color w:val="000000" w:themeColor="text1"/>
          <w:sz w:val="21"/>
          <w:szCs w:val="21"/>
        </w:rPr>
        <w:t>2.1</w:t>
      </w:r>
      <w:r w:rsidRPr="00D97CD7">
        <w:rPr>
          <w:rFonts w:ascii="Times New Roman" w:eastAsiaTheme="minorEastAsia" w:hAnsi="Times New Roman" w:cs="Times New Roman"/>
          <w:color w:val="000000" w:themeColor="text1"/>
          <w:sz w:val="21"/>
          <w:szCs w:val="21"/>
        </w:rPr>
        <w:t>基金产品概况</w:t>
      </w:r>
      <w:bookmarkEnd w:id="1"/>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基金简称</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上投摩根</w:t>
            </w:r>
            <w:r w:rsidRPr="00D97CD7">
              <w:rPr>
                <w:rFonts w:eastAsiaTheme="minorEastAsia"/>
                <w:color w:val="000000" w:themeColor="text1"/>
                <w:kern w:val="0"/>
                <w:szCs w:val="21"/>
              </w:rPr>
              <w:t>MSCI</w:t>
            </w:r>
            <w:r w:rsidRPr="00D97CD7">
              <w:rPr>
                <w:rFonts w:eastAsiaTheme="minorEastAsia"/>
                <w:color w:val="000000" w:themeColor="text1"/>
                <w:kern w:val="0"/>
                <w:szCs w:val="21"/>
              </w:rPr>
              <w:t>中国</w:t>
            </w:r>
            <w:r w:rsidRPr="00D97CD7">
              <w:rPr>
                <w:rFonts w:eastAsiaTheme="minorEastAsia"/>
                <w:color w:val="000000" w:themeColor="text1"/>
                <w:kern w:val="0"/>
                <w:szCs w:val="21"/>
              </w:rPr>
              <w:t>A</w:t>
            </w:r>
            <w:r w:rsidRPr="00D97CD7">
              <w:rPr>
                <w:rFonts w:eastAsiaTheme="minorEastAsia"/>
                <w:color w:val="000000" w:themeColor="text1"/>
                <w:kern w:val="0"/>
                <w:szCs w:val="21"/>
              </w:rPr>
              <w:t>股</w:t>
            </w:r>
            <w:r w:rsidRPr="00D97CD7">
              <w:rPr>
                <w:rFonts w:eastAsiaTheme="minorEastAsia"/>
                <w:color w:val="000000" w:themeColor="text1"/>
                <w:kern w:val="0"/>
                <w:szCs w:val="21"/>
              </w:rPr>
              <w:t>ETF</w:t>
            </w:r>
            <w:r w:rsidRPr="00D97CD7">
              <w:rPr>
                <w:rFonts w:eastAsiaTheme="minorEastAsia"/>
                <w:color w:val="000000" w:themeColor="text1"/>
                <w:kern w:val="0"/>
                <w:szCs w:val="21"/>
              </w:rPr>
              <w:t>联接</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基金主代码</w:t>
            </w:r>
          </w:p>
        </w:tc>
        <w:tc>
          <w:tcPr>
            <w:tcW w:w="5479" w:type="dxa"/>
            <w:gridSpan w:val="2"/>
            <w:tcBorders>
              <w:bottom w:val="single" w:sz="4" w:space="0" w:color="auto"/>
            </w:tcBorders>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008944</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基金运作方式</w:t>
            </w:r>
          </w:p>
        </w:tc>
        <w:tc>
          <w:tcPr>
            <w:tcW w:w="5479" w:type="dxa"/>
            <w:gridSpan w:val="2"/>
            <w:tcBorders>
              <w:top w:val="single" w:sz="4" w:space="0" w:color="auto"/>
            </w:tcBorders>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契约型开放式</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基金合同生效日</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2020</w:t>
            </w:r>
            <w:r w:rsidRPr="00D97CD7">
              <w:rPr>
                <w:rFonts w:eastAsiaTheme="minorEastAsia"/>
                <w:color w:val="000000" w:themeColor="text1"/>
                <w:kern w:val="0"/>
                <w:szCs w:val="21"/>
              </w:rPr>
              <w:t>年</w:t>
            </w:r>
            <w:r w:rsidRPr="00D97CD7">
              <w:rPr>
                <w:rFonts w:eastAsiaTheme="minorEastAsia"/>
                <w:color w:val="000000" w:themeColor="text1"/>
                <w:kern w:val="0"/>
                <w:szCs w:val="21"/>
              </w:rPr>
              <w:t>7</w:t>
            </w:r>
            <w:r w:rsidRPr="00D97CD7">
              <w:rPr>
                <w:rFonts w:eastAsiaTheme="minorEastAsia"/>
                <w:color w:val="000000" w:themeColor="text1"/>
                <w:kern w:val="0"/>
                <w:szCs w:val="21"/>
              </w:rPr>
              <w:t>月</w:t>
            </w:r>
            <w:r w:rsidRPr="00D97CD7">
              <w:rPr>
                <w:rFonts w:eastAsiaTheme="minorEastAsia"/>
                <w:color w:val="000000" w:themeColor="text1"/>
                <w:kern w:val="0"/>
                <w:szCs w:val="21"/>
              </w:rPr>
              <w:t>22</w:t>
            </w:r>
            <w:r w:rsidRPr="00D97CD7">
              <w:rPr>
                <w:rFonts w:eastAsiaTheme="minorEastAsia"/>
                <w:color w:val="000000" w:themeColor="text1"/>
                <w:kern w:val="0"/>
                <w:szCs w:val="21"/>
              </w:rPr>
              <w:t>日</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报告期末基金份额总额</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38,246,294.04</w:t>
            </w:r>
            <w:r w:rsidRPr="00D97CD7">
              <w:rPr>
                <w:rFonts w:eastAsiaTheme="minorEastAsia"/>
                <w:color w:val="000000" w:themeColor="text1"/>
                <w:kern w:val="0"/>
                <w:szCs w:val="21"/>
              </w:rPr>
              <w:t>份</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投资目标</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通过对目标</w:t>
            </w:r>
            <w:r w:rsidRPr="00D97CD7">
              <w:rPr>
                <w:rFonts w:eastAsiaTheme="minorEastAsia"/>
                <w:color w:val="000000" w:themeColor="text1"/>
                <w:kern w:val="0"/>
                <w:szCs w:val="21"/>
              </w:rPr>
              <w:t>ETF</w:t>
            </w:r>
            <w:r w:rsidRPr="00D97CD7">
              <w:rPr>
                <w:rFonts w:eastAsiaTheme="minorEastAsia"/>
                <w:color w:val="000000" w:themeColor="text1"/>
                <w:kern w:val="0"/>
                <w:szCs w:val="21"/>
              </w:rPr>
              <w:t>基金份额的投资，追求跟踪标的指数，获得与指数收益相似的回报。</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投资策略</w:t>
            </w:r>
          </w:p>
        </w:tc>
        <w:tc>
          <w:tcPr>
            <w:tcW w:w="5479" w:type="dxa"/>
            <w:gridSpan w:val="2"/>
          </w:tcPr>
          <w:p w:rsidR="0037580C" w:rsidRDefault="00926AAD">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本基金为上投摩根</w:t>
            </w:r>
            <w:r>
              <w:rPr>
                <w:rFonts w:eastAsiaTheme="minorEastAsia"/>
                <w:color w:val="000000" w:themeColor="text1"/>
                <w:kern w:val="0"/>
                <w:szCs w:val="21"/>
              </w:rPr>
              <w:t>MSCI</w:t>
            </w:r>
            <w:r>
              <w:rPr>
                <w:rFonts w:eastAsiaTheme="minorEastAsia"/>
                <w:color w:val="000000" w:themeColor="text1"/>
                <w:kern w:val="0"/>
                <w:szCs w:val="21"/>
              </w:rPr>
              <w:t>中国</w:t>
            </w:r>
            <w:r>
              <w:rPr>
                <w:rFonts w:eastAsiaTheme="minorEastAsia"/>
                <w:color w:val="000000" w:themeColor="text1"/>
                <w:kern w:val="0"/>
                <w:szCs w:val="21"/>
              </w:rPr>
              <w:t>A</w:t>
            </w:r>
            <w:r>
              <w:rPr>
                <w:rFonts w:eastAsiaTheme="minorEastAsia"/>
                <w:color w:val="000000" w:themeColor="text1"/>
                <w:kern w:val="0"/>
                <w:szCs w:val="21"/>
              </w:rPr>
              <w:t>股交易型开放式指数证券投资基金的联接基金，通过将基金资产主要投资于目标</w:t>
            </w:r>
            <w:r>
              <w:rPr>
                <w:rFonts w:eastAsiaTheme="minorEastAsia"/>
                <w:color w:val="000000" w:themeColor="text1"/>
                <w:kern w:val="0"/>
                <w:szCs w:val="21"/>
              </w:rPr>
              <w:t>ETF</w:t>
            </w:r>
            <w:r>
              <w:rPr>
                <w:rFonts w:eastAsiaTheme="minorEastAsia"/>
                <w:color w:val="000000" w:themeColor="text1"/>
                <w:kern w:val="0"/>
                <w:szCs w:val="21"/>
              </w:rPr>
              <w:t>基金份额，以实现对标的指数的跟踪。本基金力争日均跟踪偏离度的绝对值不超过</w:t>
            </w:r>
            <w:r>
              <w:rPr>
                <w:rFonts w:eastAsiaTheme="minorEastAsia"/>
                <w:color w:val="000000" w:themeColor="text1"/>
                <w:kern w:val="0"/>
                <w:szCs w:val="21"/>
              </w:rPr>
              <w:t>0.35%</w:t>
            </w:r>
            <w:r>
              <w:rPr>
                <w:rFonts w:eastAsiaTheme="minorEastAsia"/>
                <w:color w:val="000000" w:themeColor="text1"/>
                <w:kern w:val="0"/>
                <w:szCs w:val="21"/>
              </w:rPr>
              <w:t>，年跟踪误差不超过</w:t>
            </w:r>
            <w:r>
              <w:rPr>
                <w:rFonts w:eastAsiaTheme="minorEastAsia"/>
                <w:color w:val="000000" w:themeColor="text1"/>
                <w:kern w:val="0"/>
                <w:szCs w:val="21"/>
              </w:rPr>
              <w:t>4%</w:t>
            </w:r>
            <w:r>
              <w:rPr>
                <w:rFonts w:eastAsiaTheme="minorEastAsia"/>
                <w:color w:val="000000" w:themeColor="text1"/>
                <w:kern w:val="0"/>
                <w:szCs w:val="21"/>
              </w:rPr>
              <w:t>。如因标的指数编制规则调整或其他因素导致跟踪误差超过上述范围，基金管理人应采取合理措施避免跟踪误差</w:t>
            </w:r>
            <w:r>
              <w:rPr>
                <w:rFonts w:eastAsiaTheme="minorEastAsia"/>
                <w:color w:val="000000" w:themeColor="text1"/>
                <w:kern w:val="0"/>
                <w:szCs w:val="21"/>
              </w:rPr>
              <w:lastRenderedPageBreak/>
              <w:t>进一步扩大。</w:t>
            </w:r>
          </w:p>
          <w:p w:rsidR="0037580C" w:rsidRDefault="00926AAD">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基金也可以通过买入标的指数成份股来跟踪标的指数。为了提高投资效率，基金还可以根据风险管理原则，少量投资于股指期货、股票期权和其他经中国证监会允许的衍生工具等。</w:t>
            </w:r>
          </w:p>
          <w:p w:rsidR="0037580C" w:rsidRDefault="00926AAD">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w:t>
            </w:r>
            <w:r>
              <w:rPr>
                <w:rFonts w:eastAsiaTheme="minorEastAsia"/>
                <w:color w:val="000000" w:themeColor="text1"/>
                <w:kern w:val="0"/>
                <w:szCs w:val="21"/>
              </w:rPr>
              <w:t>ETF</w:t>
            </w:r>
            <w:r>
              <w:rPr>
                <w:rFonts w:eastAsiaTheme="minorEastAsia"/>
                <w:color w:val="000000" w:themeColor="text1"/>
                <w:kern w:val="0"/>
                <w:szCs w:val="21"/>
              </w:rPr>
              <w:t>投资策略</w:t>
            </w:r>
          </w:p>
          <w:p w:rsidR="0037580C" w:rsidRDefault="00926AAD">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为了实现追踪误差最小化，本基金投资于目标</w:t>
            </w:r>
            <w:r>
              <w:rPr>
                <w:rFonts w:eastAsiaTheme="minorEastAsia"/>
                <w:color w:val="000000" w:themeColor="text1"/>
                <w:kern w:val="0"/>
                <w:szCs w:val="21"/>
              </w:rPr>
              <w:t>ETF</w:t>
            </w:r>
            <w:r>
              <w:rPr>
                <w:rFonts w:eastAsiaTheme="minorEastAsia"/>
                <w:color w:val="000000" w:themeColor="text1"/>
                <w:kern w:val="0"/>
                <w:szCs w:val="21"/>
              </w:rPr>
              <w:t>基金份额的比例不低于基金资产净值的</w:t>
            </w:r>
            <w:r>
              <w:rPr>
                <w:rFonts w:eastAsiaTheme="minorEastAsia"/>
                <w:color w:val="000000" w:themeColor="text1"/>
                <w:kern w:val="0"/>
                <w:szCs w:val="21"/>
              </w:rPr>
              <w:t>90%</w:t>
            </w:r>
            <w:r>
              <w:rPr>
                <w:rFonts w:eastAsiaTheme="minorEastAsia"/>
                <w:color w:val="000000" w:themeColor="text1"/>
                <w:kern w:val="0"/>
                <w:szCs w:val="21"/>
              </w:rPr>
              <w:t>。本基金主要通过申购、赎回或二级市场买卖的方式投资于目标</w:t>
            </w:r>
            <w:r>
              <w:rPr>
                <w:rFonts w:eastAsiaTheme="minorEastAsia"/>
                <w:color w:val="000000" w:themeColor="text1"/>
                <w:kern w:val="0"/>
                <w:szCs w:val="21"/>
              </w:rPr>
              <w:t>ETF</w:t>
            </w:r>
            <w:r>
              <w:rPr>
                <w:rFonts w:eastAsiaTheme="minorEastAsia"/>
                <w:color w:val="000000" w:themeColor="text1"/>
                <w:kern w:val="0"/>
                <w:szCs w:val="21"/>
              </w:rPr>
              <w:t>。当目标</w:t>
            </w:r>
            <w:r>
              <w:rPr>
                <w:rFonts w:eastAsiaTheme="minorEastAsia"/>
                <w:color w:val="000000" w:themeColor="text1"/>
                <w:kern w:val="0"/>
                <w:szCs w:val="21"/>
              </w:rPr>
              <w:t>ETF</w:t>
            </w:r>
            <w:r>
              <w:rPr>
                <w:rFonts w:eastAsiaTheme="minorEastAsia"/>
                <w:color w:val="000000" w:themeColor="text1"/>
                <w:kern w:val="0"/>
                <w:szCs w:val="21"/>
              </w:rPr>
              <w:t>申购、赎回或交易模式进行了变更或调整，本基金也将作相应的变更或调整，无须召开基金份额持有人大会。本基金在综合考虑合规、风险、效率、成本等因素的基础上，决定采用申赎的方式或二级市场交易的方式进行目标</w:t>
            </w:r>
            <w:r>
              <w:rPr>
                <w:rFonts w:eastAsiaTheme="minorEastAsia"/>
                <w:color w:val="000000" w:themeColor="text1"/>
                <w:kern w:val="0"/>
                <w:szCs w:val="21"/>
              </w:rPr>
              <w:t>ETF</w:t>
            </w:r>
            <w:r>
              <w:rPr>
                <w:rFonts w:eastAsiaTheme="minorEastAsia"/>
                <w:color w:val="000000" w:themeColor="text1"/>
                <w:kern w:val="0"/>
                <w:szCs w:val="21"/>
              </w:rPr>
              <w:t>的买卖。本基金还可适度参与目标</w:t>
            </w:r>
            <w:r>
              <w:rPr>
                <w:rFonts w:eastAsiaTheme="minorEastAsia"/>
                <w:color w:val="000000" w:themeColor="text1"/>
                <w:kern w:val="0"/>
                <w:szCs w:val="21"/>
              </w:rPr>
              <w:t>ETF</w:t>
            </w:r>
            <w:r>
              <w:rPr>
                <w:rFonts w:eastAsiaTheme="minorEastAsia"/>
                <w:color w:val="000000" w:themeColor="text1"/>
                <w:kern w:val="0"/>
                <w:szCs w:val="21"/>
              </w:rPr>
              <w:t>基金份额交易和申购、赎回之间的套利，以增强基金收益。</w:t>
            </w:r>
          </w:p>
          <w:p w:rsidR="0037580C" w:rsidRDefault="00926AAD">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本基金可以基金资产特殊申购目标</w:t>
            </w:r>
            <w:r>
              <w:rPr>
                <w:rFonts w:eastAsiaTheme="minorEastAsia"/>
                <w:color w:val="000000" w:themeColor="text1"/>
                <w:kern w:val="0"/>
                <w:szCs w:val="21"/>
              </w:rPr>
              <w:t>ET</w:t>
            </w:r>
            <w:r>
              <w:rPr>
                <w:rFonts w:eastAsiaTheme="minorEastAsia"/>
                <w:color w:val="000000" w:themeColor="text1"/>
                <w:kern w:val="0"/>
                <w:szCs w:val="21"/>
              </w:rPr>
              <w:t>F</w:t>
            </w:r>
            <w:r>
              <w:rPr>
                <w:rFonts w:eastAsiaTheme="minorEastAsia"/>
                <w:color w:val="000000" w:themeColor="text1"/>
                <w:kern w:val="0"/>
                <w:szCs w:val="21"/>
              </w:rPr>
              <w:t>份额，以进行基金建仓。</w:t>
            </w:r>
          </w:p>
          <w:p w:rsidR="0037580C" w:rsidRDefault="00926AAD">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37580C" w:rsidRDefault="00926AAD">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为更好地跟踪标的指数，本基金也可以通过被动指数化的方法买入标的指数成份股，根据成份股在标的指数中的基准权重构建组合，对于因法规限制、流动性限制而无法交易的成份股，将采用与被限制股预期收益率相近的股票或股票组合进行相应的替代。</w:t>
            </w:r>
          </w:p>
          <w:p w:rsidR="0037580C" w:rsidRDefault="00926AAD">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、金融衍生品投资策略</w:t>
            </w:r>
          </w:p>
          <w:p w:rsidR="0037580C" w:rsidRDefault="00926AAD">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本基金将根据风险管理的原则，主要选择流动性好、交易活跃的衍生品合约，力争利用金融衍生品提高投资效率，降低交易成本和跟踪误差。</w:t>
            </w:r>
          </w:p>
          <w:p w:rsidR="0037580C" w:rsidRDefault="00926AAD">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37580C" w:rsidRDefault="00926AAD">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在保证基金资产流动性的基础上，使基金资产得到更加合</w:t>
            </w:r>
            <w:r>
              <w:rPr>
                <w:rFonts w:eastAsiaTheme="minorEastAsia"/>
                <w:color w:val="000000" w:themeColor="text1"/>
                <w:kern w:val="0"/>
                <w:szCs w:val="21"/>
              </w:rPr>
              <w:lastRenderedPageBreak/>
              <w:t>理有效的利用，从而提高投</w:t>
            </w:r>
            <w:r>
              <w:rPr>
                <w:rFonts w:eastAsiaTheme="minorEastAsia"/>
                <w:color w:val="000000" w:themeColor="text1"/>
                <w:kern w:val="0"/>
                <w:szCs w:val="21"/>
              </w:rPr>
              <w:t>资组合收益。</w:t>
            </w:r>
          </w:p>
          <w:p w:rsidR="0037580C" w:rsidRDefault="00926AAD">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、资产支持证券投资策略</w:t>
            </w:r>
          </w:p>
          <w:p w:rsidR="0037580C" w:rsidRDefault="00926AAD">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综合考虑市场利率、发行条款、支持资产的构成及质量等因素，对资产支持证券的风险与收益状况进行评估，在严格控制风险的情况下，确定资产合理配置比例。</w:t>
            </w:r>
          </w:p>
          <w:p w:rsidR="0037580C" w:rsidRDefault="00926AAD">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、融资及转融通证券出借策略</w:t>
            </w:r>
          </w:p>
          <w:p w:rsidR="0037580C" w:rsidRDefault="00926AAD">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参与融资业务，将综合考虑融资成本、保证金比例、冲抵保证金证券折算率、信用资质等条件，选择合适的交易对手方。同时，在保障投资组合流动性以及控制融资杠杆风险的前提下，确定融资比例。转融通证券出借策略按照分散化投资原则，分批、分期进行交易。</w:t>
            </w:r>
          </w:p>
          <w:p w:rsidR="0037580C" w:rsidRDefault="00926AAD">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7</w:t>
            </w:r>
            <w:r>
              <w:rPr>
                <w:rFonts w:eastAsiaTheme="minorEastAsia"/>
                <w:color w:val="000000" w:themeColor="text1"/>
                <w:kern w:val="0"/>
                <w:szCs w:val="21"/>
              </w:rPr>
              <w:t>、存托凭证投资策略</w:t>
            </w:r>
          </w:p>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lastRenderedPageBreak/>
              <w:t>业绩比较基准</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MSCI</w:t>
            </w:r>
            <w:r w:rsidRPr="00D97CD7">
              <w:rPr>
                <w:rFonts w:eastAsiaTheme="minorEastAsia"/>
                <w:color w:val="000000" w:themeColor="text1"/>
                <w:kern w:val="0"/>
                <w:szCs w:val="21"/>
              </w:rPr>
              <w:t>中国</w:t>
            </w:r>
            <w:r w:rsidRPr="00D97CD7">
              <w:rPr>
                <w:rFonts w:eastAsiaTheme="minorEastAsia"/>
                <w:color w:val="000000" w:themeColor="text1"/>
                <w:kern w:val="0"/>
                <w:szCs w:val="21"/>
              </w:rPr>
              <w:t>A</w:t>
            </w:r>
            <w:r w:rsidRPr="00D97CD7">
              <w:rPr>
                <w:rFonts w:eastAsiaTheme="minorEastAsia"/>
                <w:color w:val="000000" w:themeColor="text1"/>
                <w:kern w:val="0"/>
                <w:szCs w:val="21"/>
              </w:rPr>
              <w:t>股人民币指数收益率</w:t>
            </w:r>
            <w:r w:rsidRPr="00D97CD7">
              <w:rPr>
                <w:rFonts w:eastAsiaTheme="minorEastAsia"/>
                <w:color w:val="000000" w:themeColor="text1"/>
                <w:kern w:val="0"/>
                <w:szCs w:val="21"/>
              </w:rPr>
              <w:t>×95%</w:t>
            </w:r>
            <w:r w:rsidRPr="00D97CD7">
              <w:rPr>
                <w:rFonts w:eastAsiaTheme="minorEastAsia"/>
                <w:color w:val="000000" w:themeColor="text1"/>
                <w:kern w:val="0"/>
                <w:szCs w:val="21"/>
              </w:rPr>
              <w:t>＋活期存款利率（税后）</w:t>
            </w:r>
            <w:r w:rsidRPr="00D97CD7">
              <w:rPr>
                <w:rFonts w:eastAsiaTheme="minorEastAsia"/>
                <w:color w:val="000000" w:themeColor="text1"/>
                <w:kern w:val="0"/>
                <w:szCs w:val="21"/>
              </w:rPr>
              <w:t>×5%</w:t>
            </w:r>
            <w:r w:rsidRPr="00D97CD7">
              <w:rPr>
                <w:rFonts w:eastAsiaTheme="minorEastAsia"/>
                <w:color w:val="000000" w:themeColor="text1"/>
                <w:kern w:val="0"/>
                <w:szCs w:val="21"/>
              </w:rPr>
              <w:t>。</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风险收益特征</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本基金为</w:t>
            </w:r>
            <w:r w:rsidRPr="00D97CD7">
              <w:rPr>
                <w:rFonts w:eastAsiaTheme="minorEastAsia"/>
                <w:color w:val="000000" w:themeColor="text1"/>
                <w:kern w:val="0"/>
                <w:szCs w:val="21"/>
              </w:rPr>
              <w:t>ETF</w:t>
            </w:r>
            <w:r w:rsidRPr="00D97CD7">
              <w:rPr>
                <w:rFonts w:eastAsiaTheme="minorEastAsia"/>
                <w:color w:val="000000" w:themeColor="text1"/>
                <w:kern w:val="0"/>
                <w:szCs w:val="21"/>
              </w:rPr>
              <w:t>联接基金，具有与目标</w:t>
            </w:r>
            <w:r w:rsidRPr="00D97CD7">
              <w:rPr>
                <w:rFonts w:eastAsiaTheme="minorEastAsia"/>
                <w:color w:val="000000" w:themeColor="text1"/>
                <w:kern w:val="0"/>
                <w:szCs w:val="21"/>
              </w:rPr>
              <w:t>ETF</w:t>
            </w:r>
            <w:r w:rsidRPr="00D97CD7">
              <w:rPr>
                <w:rFonts w:eastAsiaTheme="minorEastAsia"/>
                <w:color w:val="000000" w:themeColor="text1"/>
                <w:kern w:val="0"/>
                <w:szCs w:val="21"/>
              </w:rPr>
              <w:t>相似的风险收益特征。目标</w:t>
            </w:r>
            <w:r w:rsidRPr="00D97CD7">
              <w:rPr>
                <w:rFonts w:eastAsiaTheme="minorEastAsia"/>
                <w:color w:val="000000" w:themeColor="text1"/>
                <w:kern w:val="0"/>
                <w:szCs w:val="21"/>
              </w:rPr>
              <w:t>ETF</w:t>
            </w:r>
            <w:r w:rsidRPr="00D97CD7">
              <w:rPr>
                <w:rFonts w:eastAsiaTheme="minorEastAsia"/>
                <w:color w:val="000000" w:themeColor="text1"/>
                <w:kern w:val="0"/>
                <w:szCs w:val="21"/>
              </w:rPr>
              <w:t>为股票型指数基金，因此本基金的预期风险和预期收益高于货币市场基金、债券型基金和混合型基金，且具有与标的指数以及标的指数所代表的股票市场相似的风险收益特征。</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基金管理人</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上投摩根基金管理有限公司</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基金托管人</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平安银行股份有限公司</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szCs w:val="21"/>
              </w:rPr>
              <w:t>下属分级基金的基金简称</w:t>
            </w:r>
          </w:p>
        </w:tc>
        <w:tc>
          <w:tcPr>
            <w:tcW w:w="2739"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A</w:t>
            </w:r>
          </w:p>
        </w:tc>
        <w:tc>
          <w:tcPr>
            <w:tcW w:w="2740"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下属分级基金的交易代码</w:t>
            </w:r>
          </w:p>
        </w:tc>
        <w:tc>
          <w:tcPr>
            <w:tcW w:w="2739"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008944</w:t>
            </w:r>
          </w:p>
        </w:tc>
        <w:tc>
          <w:tcPr>
            <w:tcW w:w="2740"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008945</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报告期末下属分级基金的份额总额</w:t>
            </w:r>
          </w:p>
        </w:tc>
        <w:tc>
          <w:tcPr>
            <w:tcW w:w="2739"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27,997,971.01</w:t>
            </w:r>
            <w:r w:rsidRPr="00D97CD7">
              <w:rPr>
                <w:rFonts w:eastAsiaTheme="minorEastAsia"/>
                <w:color w:val="000000" w:themeColor="text1"/>
                <w:kern w:val="0"/>
                <w:szCs w:val="21"/>
              </w:rPr>
              <w:t>份</w:t>
            </w:r>
          </w:p>
        </w:tc>
        <w:tc>
          <w:tcPr>
            <w:tcW w:w="2740"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10,248,323.03</w:t>
            </w:r>
            <w:r w:rsidRPr="00D97CD7">
              <w:rPr>
                <w:rFonts w:eastAsiaTheme="minorEastAsia"/>
                <w:color w:val="000000" w:themeColor="text1"/>
                <w:kern w:val="0"/>
                <w:szCs w:val="21"/>
              </w:rPr>
              <w:t>份</w:t>
            </w:r>
          </w:p>
        </w:tc>
      </w:tr>
    </w:tbl>
    <w:p w:rsidR="00DB3887" w:rsidRPr="00D97CD7" w:rsidRDefault="00FC6961">
      <w:pPr>
        <w:pStyle w:val="2"/>
        <w:keepNext w:val="0"/>
        <w:keepLines w:val="0"/>
        <w:spacing w:beforeLines="100" w:before="312" w:after="0"/>
        <w:rPr>
          <w:rFonts w:ascii="Times New Roman" w:eastAsiaTheme="minorEastAsia" w:hAnsi="Times New Roman" w:cs="Times New Roman"/>
          <w:color w:val="000000" w:themeColor="text1"/>
          <w:sz w:val="21"/>
          <w:szCs w:val="21"/>
        </w:rPr>
      </w:pPr>
      <w:r w:rsidRPr="00D97CD7">
        <w:rPr>
          <w:rFonts w:ascii="Times New Roman" w:eastAsiaTheme="minorEastAsia" w:hAnsi="Times New Roman" w:cs="Times New Roman"/>
          <w:color w:val="000000" w:themeColor="text1"/>
          <w:sz w:val="21"/>
          <w:szCs w:val="21"/>
        </w:rPr>
        <w:lastRenderedPageBreak/>
        <w:t>2.1.1</w:t>
      </w:r>
      <w:r w:rsidRPr="00D97CD7">
        <w:rPr>
          <w:rFonts w:ascii="Times New Roman" w:eastAsiaTheme="minorEastAsia" w:hAnsi="Times New Roman" w:cs="Times New Roman"/>
          <w:color w:val="000000" w:themeColor="text1"/>
          <w:sz w:val="21"/>
          <w:szCs w:val="21"/>
        </w:rPr>
        <w:t>目标基金基本情况</w:t>
      </w:r>
    </w:p>
    <w:tbl>
      <w:tblPr>
        <w:tblW w:w="8460" w:type="dxa"/>
        <w:tblInd w:w="108" w:type="dxa"/>
        <w:tblLayout w:type="fixed"/>
        <w:tblLook w:val="04A0" w:firstRow="1" w:lastRow="0" w:firstColumn="1" w:lastColumn="0" w:noHBand="0" w:noVBand="1"/>
      </w:tblPr>
      <w:tblGrid>
        <w:gridCol w:w="2724"/>
        <w:gridCol w:w="5736"/>
      </w:tblGrid>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股交易型开放式指数证券投资基金</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515770</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交易型开放式</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2020</w:t>
            </w:r>
            <w:r w:rsidRPr="00D97CD7">
              <w:rPr>
                <w:rFonts w:eastAsiaTheme="minorEastAsia"/>
                <w:color w:val="000000" w:themeColor="text1"/>
                <w:szCs w:val="21"/>
              </w:rPr>
              <w:t>年</w:t>
            </w:r>
            <w:r w:rsidRPr="00D97CD7">
              <w:rPr>
                <w:rFonts w:eastAsiaTheme="minorEastAsia"/>
                <w:color w:val="000000" w:themeColor="text1"/>
                <w:szCs w:val="21"/>
              </w:rPr>
              <w:t>5</w:t>
            </w:r>
            <w:r w:rsidRPr="00D97CD7">
              <w:rPr>
                <w:rFonts w:eastAsiaTheme="minorEastAsia"/>
                <w:color w:val="000000" w:themeColor="text1"/>
                <w:szCs w:val="21"/>
              </w:rPr>
              <w:t>月</w:t>
            </w:r>
            <w:r w:rsidRPr="00D97CD7">
              <w:rPr>
                <w:rFonts w:eastAsiaTheme="minorEastAsia"/>
                <w:color w:val="000000" w:themeColor="text1"/>
                <w:szCs w:val="21"/>
              </w:rPr>
              <w:t>13</w:t>
            </w:r>
            <w:r w:rsidRPr="00D97CD7">
              <w:rPr>
                <w:rFonts w:eastAsiaTheme="minorEastAsia"/>
                <w:color w:val="000000" w:themeColor="text1"/>
                <w:szCs w:val="21"/>
              </w:rPr>
              <w:t>日</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上海证券交易所</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2020</w:t>
            </w:r>
            <w:r w:rsidRPr="00D97CD7">
              <w:rPr>
                <w:rFonts w:eastAsiaTheme="minorEastAsia"/>
                <w:color w:val="000000" w:themeColor="text1"/>
                <w:szCs w:val="21"/>
              </w:rPr>
              <w:t>年</w:t>
            </w:r>
            <w:r w:rsidRPr="00D97CD7">
              <w:rPr>
                <w:rFonts w:eastAsiaTheme="minorEastAsia"/>
                <w:color w:val="000000" w:themeColor="text1"/>
                <w:szCs w:val="21"/>
              </w:rPr>
              <w:t>6</w:t>
            </w:r>
            <w:r w:rsidRPr="00D97CD7">
              <w:rPr>
                <w:rFonts w:eastAsiaTheme="minorEastAsia"/>
                <w:color w:val="000000" w:themeColor="text1"/>
                <w:szCs w:val="21"/>
              </w:rPr>
              <w:t>月</w:t>
            </w:r>
            <w:r w:rsidRPr="00D97CD7">
              <w:rPr>
                <w:rFonts w:eastAsiaTheme="minorEastAsia"/>
                <w:color w:val="000000" w:themeColor="text1"/>
                <w:szCs w:val="21"/>
              </w:rPr>
              <w:t>19</w:t>
            </w:r>
            <w:r w:rsidRPr="00D97CD7">
              <w:rPr>
                <w:rFonts w:eastAsiaTheme="minorEastAsia"/>
                <w:color w:val="000000" w:themeColor="text1"/>
                <w:szCs w:val="21"/>
              </w:rPr>
              <w:t>日</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上投摩根基金管理有限公司</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平安银行股份有限公司</w:t>
            </w:r>
          </w:p>
        </w:tc>
      </w:tr>
    </w:tbl>
    <w:p w:rsidR="00DB3887" w:rsidRPr="00D97CD7" w:rsidRDefault="00FC6961">
      <w:pPr>
        <w:pStyle w:val="2"/>
        <w:keepNext w:val="0"/>
        <w:keepLines w:val="0"/>
        <w:spacing w:beforeLines="100" w:before="312" w:after="0"/>
        <w:rPr>
          <w:rFonts w:ascii="Times New Roman" w:eastAsiaTheme="minorEastAsia" w:hAnsi="Times New Roman" w:cs="Times New Roman"/>
          <w:color w:val="000000" w:themeColor="text1"/>
          <w:sz w:val="21"/>
          <w:szCs w:val="21"/>
        </w:rPr>
      </w:pPr>
      <w:r w:rsidRPr="00D97CD7">
        <w:rPr>
          <w:rFonts w:ascii="Times New Roman" w:eastAsiaTheme="minorEastAsia" w:hAnsi="Times New Roman" w:cs="Times New Roman"/>
          <w:color w:val="000000" w:themeColor="text1"/>
          <w:sz w:val="21"/>
          <w:szCs w:val="21"/>
        </w:rPr>
        <w:t>2.1.2</w:t>
      </w:r>
      <w:r w:rsidRPr="00D97CD7">
        <w:rPr>
          <w:rFonts w:ascii="Times New Roman" w:eastAsiaTheme="minorEastAsia" w:hAnsi="Times New Roman" w:cs="Times New Roman"/>
          <w:color w:val="000000" w:themeColor="text1"/>
          <w:sz w:val="21"/>
          <w:szCs w:val="21"/>
        </w:rPr>
        <w:t>目标基金产品说明</w:t>
      </w:r>
    </w:p>
    <w:tbl>
      <w:tblPr>
        <w:tblW w:w="8460" w:type="dxa"/>
        <w:tblInd w:w="108" w:type="dxa"/>
        <w:tblLayout w:type="fixed"/>
        <w:tblLook w:val="04A0" w:firstRow="1" w:lastRow="0" w:firstColumn="1" w:lastColumn="0" w:noHBand="0" w:noVBand="1"/>
      </w:tblPr>
      <w:tblGrid>
        <w:gridCol w:w="2820"/>
        <w:gridCol w:w="5640"/>
      </w:tblGrid>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本基金进行被动式指数化投资，紧密跟踪标的指数，追求跟踪偏离度和跟踪误差最小化。</w:t>
            </w:r>
          </w:p>
        </w:tc>
      </w:tr>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tc>
      </w:tr>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本基金的业绩比较基准为标的指数，即</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股人民币指数收益率。</w:t>
            </w:r>
          </w:p>
        </w:tc>
      </w:tr>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本基金为股票型指数基金，其预期风险和预期收益高于货币市场基金、债券型基金和混合型基金。本基金主要投资于标的指数成份股及备选成份股，具有与标的指数相似的风险收益特征。</w:t>
            </w:r>
          </w:p>
        </w:tc>
      </w:tr>
    </w:tbl>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§3  </w:t>
      </w:r>
      <w:r w:rsidRPr="00D97CD7">
        <w:rPr>
          <w:rFonts w:eastAsiaTheme="minorEastAsia"/>
          <w:color w:val="000000" w:themeColor="text1"/>
          <w:kern w:val="0"/>
          <w:sz w:val="21"/>
          <w:szCs w:val="21"/>
        </w:rPr>
        <w:t>主要财务指标和基金净值表现</w:t>
      </w:r>
    </w:p>
    <w:p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3.1 </w:t>
      </w:r>
      <w:r w:rsidRPr="00D97CD7">
        <w:rPr>
          <w:rFonts w:eastAsiaTheme="minorEastAsia"/>
          <w:b/>
          <w:color w:val="000000" w:themeColor="text1"/>
          <w:kern w:val="0"/>
          <w:szCs w:val="21"/>
        </w:rPr>
        <w:t>主要财务指标</w:t>
      </w:r>
    </w:p>
    <w:p w:rsidR="00DB3887" w:rsidRPr="00D97CD7" w:rsidRDefault="00FC6961">
      <w:pPr>
        <w:autoSpaceDE w:val="0"/>
        <w:autoSpaceDN w:val="0"/>
        <w:adjustRightInd w:val="0"/>
        <w:spacing w:before="29" w:line="288" w:lineRule="auto"/>
        <w:ind w:left="15" w:right="480"/>
        <w:jc w:val="right"/>
        <w:rPr>
          <w:rFonts w:eastAsiaTheme="minorEastAsia"/>
          <w:color w:val="000000" w:themeColor="text1"/>
          <w:kern w:val="0"/>
          <w:szCs w:val="21"/>
        </w:rPr>
      </w:pPr>
      <w:r w:rsidRPr="00D97CD7">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DB3887" w:rsidRPr="00D97CD7">
        <w:tc>
          <w:tcPr>
            <w:tcW w:w="3402" w:type="dxa"/>
            <w:vMerge w:val="restart"/>
            <w:vAlign w:val="center"/>
          </w:tcPr>
          <w:p w:rsidR="00DB3887" w:rsidRPr="00D97CD7" w:rsidRDefault="00FC6961">
            <w:pPr>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主要财务指标</w:t>
            </w:r>
          </w:p>
        </w:tc>
        <w:tc>
          <w:tcPr>
            <w:tcW w:w="4962" w:type="dxa"/>
            <w:gridSpan w:val="2"/>
            <w:vAlign w:val="center"/>
          </w:tcPr>
          <w:p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报告期</w:t>
            </w:r>
          </w:p>
          <w:p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(2022</w:t>
            </w:r>
            <w:r w:rsidRPr="00D97CD7">
              <w:rPr>
                <w:rFonts w:eastAsiaTheme="minorEastAsia"/>
                <w:color w:val="000000" w:themeColor="text1"/>
                <w:szCs w:val="21"/>
              </w:rPr>
              <w:t>年</w:t>
            </w:r>
            <w:r w:rsidRPr="00D97CD7">
              <w:rPr>
                <w:rFonts w:eastAsiaTheme="minorEastAsia"/>
                <w:color w:val="000000" w:themeColor="text1"/>
                <w:szCs w:val="21"/>
              </w:rPr>
              <w:t>10</w:t>
            </w:r>
            <w:r w:rsidRPr="00D97CD7">
              <w:rPr>
                <w:rFonts w:eastAsiaTheme="minorEastAsia"/>
                <w:color w:val="000000" w:themeColor="text1"/>
                <w:szCs w:val="21"/>
              </w:rPr>
              <w:t>月</w:t>
            </w:r>
            <w:r w:rsidRPr="00D97CD7">
              <w:rPr>
                <w:rFonts w:eastAsiaTheme="minorEastAsia"/>
                <w:color w:val="000000" w:themeColor="text1"/>
                <w:szCs w:val="21"/>
              </w:rPr>
              <w:t>1</w:t>
            </w:r>
            <w:r w:rsidRPr="00D97CD7">
              <w:rPr>
                <w:rFonts w:eastAsiaTheme="minorEastAsia"/>
                <w:color w:val="000000" w:themeColor="text1"/>
                <w:szCs w:val="21"/>
              </w:rPr>
              <w:t>日</w:t>
            </w:r>
            <w:r w:rsidRPr="00D97CD7">
              <w:rPr>
                <w:rFonts w:eastAsiaTheme="minorEastAsia"/>
                <w:color w:val="000000" w:themeColor="text1"/>
                <w:szCs w:val="21"/>
              </w:rPr>
              <w:t>-2022</w:t>
            </w:r>
            <w:r w:rsidRPr="00D97CD7">
              <w:rPr>
                <w:rFonts w:eastAsiaTheme="minorEastAsia"/>
                <w:color w:val="000000" w:themeColor="text1"/>
                <w:szCs w:val="21"/>
              </w:rPr>
              <w:t>年</w:t>
            </w:r>
            <w:r w:rsidRPr="00D97CD7">
              <w:rPr>
                <w:rFonts w:eastAsiaTheme="minorEastAsia"/>
                <w:color w:val="000000" w:themeColor="text1"/>
                <w:szCs w:val="21"/>
              </w:rPr>
              <w:t>12</w:t>
            </w:r>
            <w:r w:rsidRPr="00D97CD7">
              <w:rPr>
                <w:rFonts w:eastAsiaTheme="minorEastAsia"/>
                <w:color w:val="000000" w:themeColor="text1"/>
                <w:szCs w:val="21"/>
              </w:rPr>
              <w:t>月</w:t>
            </w:r>
            <w:r w:rsidRPr="00D97CD7">
              <w:rPr>
                <w:rFonts w:eastAsiaTheme="minorEastAsia"/>
                <w:color w:val="000000" w:themeColor="text1"/>
                <w:szCs w:val="21"/>
              </w:rPr>
              <w:t>31</w:t>
            </w:r>
            <w:r w:rsidRPr="00D97CD7">
              <w:rPr>
                <w:rFonts w:eastAsiaTheme="minorEastAsia"/>
                <w:color w:val="000000" w:themeColor="text1"/>
                <w:szCs w:val="21"/>
              </w:rPr>
              <w:t>日</w:t>
            </w:r>
            <w:r w:rsidRPr="00D97CD7">
              <w:rPr>
                <w:rFonts w:eastAsiaTheme="minorEastAsia"/>
                <w:color w:val="000000" w:themeColor="text1"/>
                <w:szCs w:val="21"/>
              </w:rPr>
              <w:t>)</w:t>
            </w:r>
          </w:p>
        </w:tc>
      </w:tr>
      <w:tr w:rsidR="00DB3887" w:rsidRPr="00D97CD7">
        <w:tc>
          <w:tcPr>
            <w:tcW w:w="3402" w:type="dxa"/>
            <w:vMerge/>
            <w:vAlign w:val="center"/>
          </w:tcPr>
          <w:p w:rsidR="00DB3887" w:rsidRPr="00D97CD7" w:rsidRDefault="00DB3887">
            <w:pPr>
              <w:adjustRightInd w:val="0"/>
              <w:spacing w:before="29" w:line="360" w:lineRule="auto"/>
              <w:ind w:left="17"/>
              <w:jc w:val="center"/>
              <w:rPr>
                <w:rFonts w:eastAsiaTheme="minorEastAsia"/>
                <w:color w:val="000000" w:themeColor="text1"/>
                <w:kern w:val="0"/>
                <w:szCs w:val="21"/>
              </w:rPr>
            </w:pPr>
          </w:p>
        </w:tc>
        <w:tc>
          <w:tcPr>
            <w:tcW w:w="2481" w:type="dxa"/>
            <w:vAlign w:val="center"/>
          </w:tcPr>
          <w:p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lastRenderedPageBreak/>
              <w:t>ETF</w:t>
            </w:r>
            <w:r w:rsidRPr="00D97CD7">
              <w:rPr>
                <w:rFonts w:eastAsiaTheme="minorEastAsia"/>
                <w:color w:val="000000" w:themeColor="text1"/>
                <w:szCs w:val="21"/>
              </w:rPr>
              <w:t>联接</w:t>
            </w:r>
            <w:r w:rsidRPr="00D97CD7">
              <w:rPr>
                <w:rFonts w:eastAsiaTheme="minorEastAsia"/>
                <w:color w:val="000000" w:themeColor="text1"/>
                <w:szCs w:val="21"/>
              </w:rPr>
              <w:t>A</w:t>
            </w:r>
          </w:p>
        </w:tc>
        <w:tc>
          <w:tcPr>
            <w:tcW w:w="2481" w:type="dxa"/>
            <w:vAlign w:val="center"/>
          </w:tcPr>
          <w:p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lastRenderedPageBreak/>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lastRenderedPageBreak/>
              <w:t>ETF</w:t>
            </w:r>
            <w:r w:rsidRPr="00D97CD7">
              <w:rPr>
                <w:rFonts w:eastAsiaTheme="minorEastAsia"/>
                <w:color w:val="000000" w:themeColor="text1"/>
                <w:szCs w:val="21"/>
              </w:rPr>
              <w:t>联接</w:t>
            </w:r>
            <w:r w:rsidRPr="00D97CD7">
              <w:rPr>
                <w:rFonts w:eastAsiaTheme="minorEastAsia"/>
                <w:color w:val="000000" w:themeColor="text1"/>
                <w:szCs w:val="21"/>
              </w:rPr>
              <w:t>C</w:t>
            </w:r>
          </w:p>
        </w:tc>
      </w:tr>
      <w:tr w:rsidR="00DB3887" w:rsidRPr="00D97CD7">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lastRenderedPageBreak/>
              <w:t>1.</w:t>
            </w:r>
            <w:r w:rsidRPr="00D97CD7">
              <w:rPr>
                <w:rFonts w:eastAsiaTheme="minorEastAsia"/>
                <w:color w:val="000000" w:themeColor="text1"/>
                <w:kern w:val="0"/>
                <w:szCs w:val="21"/>
              </w:rPr>
              <w:t>本期已实现收益</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-22,042.46</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-11,822.26</w:t>
            </w:r>
          </w:p>
        </w:tc>
      </w:tr>
      <w:tr w:rsidR="00DB3887" w:rsidRPr="00D97CD7">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2.</w:t>
            </w:r>
            <w:r w:rsidRPr="00D97CD7">
              <w:rPr>
                <w:rFonts w:eastAsiaTheme="minorEastAsia"/>
                <w:color w:val="000000" w:themeColor="text1"/>
                <w:kern w:val="0"/>
                <w:szCs w:val="21"/>
              </w:rPr>
              <w:t>本期利润</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319,271.13</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131,891.16</w:t>
            </w:r>
          </w:p>
        </w:tc>
      </w:tr>
      <w:tr w:rsidR="00DB3887" w:rsidRPr="00D97CD7">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3.</w:t>
            </w:r>
            <w:r w:rsidRPr="00D97CD7">
              <w:rPr>
                <w:rFonts w:eastAsiaTheme="minorEastAsia"/>
                <w:color w:val="000000" w:themeColor="text1"/>
                <w:kern w:val="0"/>
                <w:szCs w:val="21"/>
              </w:rPr>
              <w:t>加权平均基金份额本期利润</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0.0117</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0.0116</w:t>
            </w:r>
          </w:p>
        </w:tc>
      </w:tr>
      <w:tr w:rsidR="00DB3887" w:rsidRPr="00D97CD7">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4.</w:t>
            </w:r>
            <w:r w:rsidRPr="00D97CD7">
              <w:rPr>
                <w:rFonts w:eastAsiaTheme="minorEastAsia"/>
                <w:color w:val="000000" w:themeColor="text1"/>
                <w:kern w:val="0"/>
                <w:szCs w:val="21"/>
              </w:rPr>
              <w:t>期末基金资产净值</w:t>
            </w:r>
          </w:p>
        </w:tc>
        <w:tc>
          <w:tcPr>
            <w:tcW w:w="2481" w:type="dxa"/>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26,392,334.38</w:t>
            </w:r>
          </w:p>
        </w:tc>
        <w:tc>
          <w:tcPr>
            <w:tcW w:w="2481" w:type="dxa"/>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9,637,003.84</w:t>
            </w:r>
          </w:p>
        </w:tc>
      </w:tr>
      <w:tr w:rsidR="00DB3887" w:rsidRPr="00D97CD7">
        <w:trPr>
          <w:trHeight w:val="158"/>
        </w:trPr>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5.</w:t>
            </w:r>
            <w:r w:rsidRPr="00D97CD7">
              <w:rPr>
                <w:rFonts w:eastAsiaTheme="minorEastAsia"/>
                <w:color w:val="000000" w:themeColor="text1"/>
                <w:kern w:val="0"/>
                <w:szCs w:val="21"/>
              </w:rPr>
              <w:t>期末基金份额净值</w:t>
            </w:r>
          </w:p>
        </w:tc>
        <w:tc>
          <w:tcPr>
            <w:tcW w:w="2481" w:type="dxa"/>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0.9427</w:t>
            </w:r>
          </w:p>
        </w:tc>
        <w:tc>
          <w:tcPr>
            <w:tcW w:w="2481" w:type="dxa"/>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0.9403</w:t>
            </w:r>
          </w:p>
        </w:tc>
      </w:tr>
    </w:tbl>
    <w:p w:rsidR="0037580C" w:rsidRDefault="00926AA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3.2 </w:t>
      </w:r>
      <w:r w:rsidRPr="00D97CD7">
        <w:rPr>
          <w:rFonts w:eastAsiaTheme="minorEastAsia"/>
          <w:b/>
          <w:color w:val="000000" w:themeColor="text1"/>
          <w:kern w:val="0"/>
          <w:szCs w:val="21"/>
        </w:rPr>
        <w:t>基金净值表现</w:t>
      </w:r>
    </w:p>
    <w:p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3.2.1</w:t>
      </w:r>
      <w:r w:rsidRPr="00D97CD7">
        <w:rPr>
          <w:rFonts w:eastAsiaTheme="minorEastAsia"/>
          <w:b/>
          <w:color w:val="000000" w:themeColor="text1"/>
          <w:kern w:val="0"/>
          <w:szCs w:val="21"/>
        </w:rPr>
        <w:t>本报告期基金份额净值增长率及其与同期业绩比较基准收益率的比较</w:t>
      </w:r>
    </w:p>
    <w:p w:rsidR="00DB3887" w:rsidRPr="00D97CD7" w:rsidRDefault="00FC6961">
      <w:pPr>
        <w:spacing w:line="360" w:lineRule="auto"/>
        <w:rPr>
          <w:rFonts w:eastAsiaTheme="minorEastAsia"/>
          <w:b/>
          <w:color w:val="000000" w:themeColor="text1"/>
          <w:szCs w:val="21"/>
        </w:rPr>
      </w:pPr>
      <w:r w:rsidRPr="00D97CD7">
        <w:rPr>
          <w:rFonts w:eastAsiaTheme="minorEastAsia"/>
          <w:b/>
          <w:color w:val="000000" w:themeColor="text1"/>
          <w:szCs w:val="21"/>
        </w:rPr>
        <w:t>1</w:t>
      </w:r>
      <w:r w:rsidRPr="00D97CD7">
        <w:rPr>
          <w:rFonts w:eastAsiaTheme="minorEastAsia"/>
          <w:b/>
          <w:color w:val="000000" w:themeColor="text1"/>
          <w:szCs w:val="21"/>
        </w:rPr>
        <w:t>、</w:t>
      </w:r>
      <w:r w:rsidRPr="00D97CD7">
        <w:rPr>
          <w:rFonts w:eastAsiaTheme="minorEastAsia"/>
          <w:b/>
          <w:color w:val="000000" w:themeColor="text1"/>
          <w:kern w:val="0"/>
          <w:szCs w:val="21"/>
        </w:rPr>
        <w:t>上投摩根</w:t>
      </w:r>
      <w:r w:rsidRPr="00D97CD7">
        <w:rPr>
          <w:rFonts w:eastAsiaTheme="minorEastAsia"/>
          <w:b/>
          <w:color w:val="000000" w:themeColor="text1"/>
          <w:kern w:val="0"/>
          <w:szCs w:val="21"/>
        </w:rPr>
        <w:t>MSCI</w:t>
      </w:r>
      <w:r w:rsidRPr="00D97CD7">
        <w:rPr>
          <w:rFonts w:eastAsiaTheme="minorEastAsia"/>
          <w:b/>
          <w:color w:val="000000" w:themeColor="text1"/>
          <w:kern w:val="0"/>
          <w:szCs w:val="21"/>
        </w:rPr>
        <w:t>中国</w:t>
      </w:r>
      <w:r w:rsidRPr="00D97CD7">
        <w:rPr>
          <w:rFonts w:eastAsiaTheme="minorEastAsia"/>
          <w:b/>
          <w:color w:val="000000" w:themeColor="text1"/>
          <w:kern w:val="0"/>
          <w:szCs w:val="21"/>
        </w:rPr>
        <w:t>A</w:t>
      </w:r>
      <w:r w:rsidRPr="00D97CD7">
        <w:rPr>
          <w:rFonts w:eastAsiaTheme="minorEastAsia"/>
          <w:b/>
          <w:color w:val="000000" w:themeColor="text1"/>
          <w:kern w:val="0"/>
          <w:szCs w:val="21"/>
        </w:rPr>
        <w:t>股</w:t>
      </w:r>
      <w:r w:rsidRPr="00D97CD7">
        <w:rPr>
          <w:rFonts w:eastAsiaTheme="minorEastAsia"/>
          <w:b/>
          <w:color w:val="000000" w:themeColor="text1"/>
          <w:kern w:val="0"/>
          <w:szCs w:val="21"/>
        </w:rPr>
        <w:t>ETF</w:t>
      </w:r>
      <w:r w:rsidRPr="00D97CD7">
        <w:rPr>
          <w:rFonts w:eastAsiaTheme="minorEastAsia"/>
          <w:b/>
          <w:color w:val="000000" w:themeColor="text1"/>
          <w:kern w:val="0"/>
          <w:szCs w:val="21"/>
        </w:rPr>
        <w:t>联接</w:t>
      </w:r>
      <w:r w:rsidRPr="00D97CD7">
        <w:rPr>
          <w:rFonts w:eastAsiaTheme="minorEastAsia"/>
          <w:b/>
          <w:color w:val="000000" w:themeColor="text1"/>
          <w:kern w:val="0"/>
          <w:szCs w:val="21"/>
        </w:rPr>
        <w:t>A</w:t>
      </w:r>
      <w:r w:rsidRPr="00D97CD7">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DB3887" w:rsidRPr="00D97CD7">
        <w:tc>
          <w:tcPr>
            <w:tcW w:w="1290"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阶段</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净值增长率</w:t>
            </w:r>
            <w:r w:rsidRPr="00D97CD7">
              <w:rPr>
                <w:rFonts w:ascii="宋体" w:hAnsi="宋体" w:cs="宋体" w:hint="eastAsia"/>
                <w:color w:val="000000" w:themeColor="text1"/>
                <w:szCs w:val="21"/>
              </w:rPr>
              <w:t>①</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净值增长率标准差</w:t>
            </w:r>
            <w:r w:rsidRPr="00D97CD7">
              <w:rPr>
                <w:rFonts w:ascii="宋体" w:hAnsi="宋体" w:cs="宋体" w:hint="eastAsia"/>
                <w:color w:val="000000" w:themeColor="text1"/>
                <w:szCs w:val="21"/>
              </w:rPr>
              <w:t>②</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w:t>
            </w:r>
            <w:r w:rsidRPr="00D97CD7">
              <w:rPr>
                <w:rFonts w:ascii="宋体" w:hAnsi="宋体" w:cs="宋体" w:hint="eastAsia"/>
                <w:color w:val="000000" w:themeColor="text1"/>
                <w:szCs w:val="21"/>
              </w:rPr>
              <w:t>③</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业绩比较基准收益率标准差</w:t>
            </w:r>
            <w:r w:rsidRPr="00D97CD7">
              <w:rPr>
                <w:rFonts w:ascii="宋体" w:hAnsi="宋体" w:cs="宋体" w:hint="eastAsia"/>
                <w:color w:val="000000" w:themeColor="text1"/>
                <w:szCs w:val="21"/>
              </w:rPr>
              <w:t>④</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①</w:t>
            </w:r>
            <w:r w:rsidRPr="00D97CD7">
              <w:rPr>
                <w:rFonts w:eastAsiaTheme="minorEastAsia"/>
                <w:color w:val="000000" w:themeColor="text1"/>
                <w:szCs w:val="21"/>
              </w:rPr>
              <w:t>－</w:t>
            </w:r>
            <w:r w:rsidRPr="00D97CD7">
              <w:rPr>
                <w:rFonts w:ascii="宋体" w:hAnsi="宋体" w:cs="宋体" w:hint="eastAsia"/>
                <w:color w:val="000000" w:themeColor="text1"/>
                <w:szCs w:val="21"/>
              </w:rPr>
              <w:t>③</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②</w:t>
            </w:r>
            <w:r w:rsidRPr="00D97CD7">
              <w:rPr>
                <w:rFonts w:eastAsiaTheme="minorEastAsia"/>
                <w:color w:val="000000" w:themeColor="text1"/>
                <w:szCs w:val="21"/>
              </w:rPr>
              <w:t>－</w:t>
            </w:r>
            <w:r w:rsidRPr="00D97CD7">
              <w:rPr>
                <w:rFonts w:ascii="宋体" w:hAnsi="宋体" w:cs="宋体" w:hint="eastAsia"/>
                <w:color w:val="000000" w:themeColor="text1"/>
                <w:szCs w:val="21"/>
              </w:rPr>
              <w:t>④</w:t>
            </w:r>
          </w:p>
        </w:tc>
      </w:tr>
      <w:tr w:rsidR="0037580C">
        <w:tc>
          <w:tcPr>
            <w:tcW w:w="1290" w:type="dxa"/>
            <w:vAlign w:val="center"/>
          </w:tcPr>
          <w:p w:rsidR="0037580C" w:rsidRDefault="00926AAD">
            <w:pPr>
              <w:jc w:val="left"/>
            </w:pPr>
            <w:r>
              <w:rPr>
                <w:rFonts w:eastAsiaTheme="minorEastAsia"/>
                <w:color w:val="000000" w:themeColor="text1"/>
                <w:szCs w:val="21"/>
              </w:rPr>
              <w:t>过去三个月</w:t>
            </w:r>
          </w:p>
        </w:tc>
        <w:tc>
          <w:tcPr>
            <w:tcW w:w="1291" w:type="dxa"/>
            <w:vAlign w:val="center"/>
          </w:tcPr>
          <w:p w:rsidR="0037580C" w:rsidRDefault="00926AAD">
            <w:pPr>
              <w:jc w:val="right"/>
            </w:pPr>
            <w:r>
              <w:rPr>
                <w:rFonts w:eastAsiaTheme="minorEastAsia"/>
                <w:color w:val="000000" w:themeColor="text1"/>
                <w:szCs w:val="21"/>
              </w:rPr>
              <w:t>1.27%</w:t>
            </w:r>
          </w:p>
        </w:tc>
        <w:tc>
          <w:tcPr>
            <w:tcW w:w="1291" w:type="dxa"/>
            <w:vAlign w:val="center"/>
          </w:tcPr>
          <w:p w:rsidR="0037580C" w:rsidRDefault="00926AAD">
            <w:pPr>
              <w:jc w:val="right"/>
            </w:pPr>
            <w:r>
              <w:rPr>
                <w:rFonts w:eastAsiaTheme="minorEastAsia"/>
                <w:color w:val="000000" w:themeColor="text1"/>
                <w:szCs w:val="21"/>
              </w:rPr>
              <w:t>1.09%</w:t>
            </w:r>
          </w:p>
        </w:tc>
        <w:tc>
          <w:tcPr>
            <w:tcW w:w="1291" w:type="dxa"/>
            <w:vAlign w:val="center"/>
          </w:tcPr>
          <w:p w:rsidR="0037580C" w:rsidRDefault="00926AAD">
            <w:pPr>
              <w:jc w:val="right"/>
            </w:pPr>
            <w:r>
              <w:rPr>
                <w:rFonts w:eastAsiaTheme="minorEastAsia"/>
                <w:color w:val="000000" w:themeColor="text1"/>
                <w:szCs w:val="21"/>
              </w:rPr>
              <w:t>0.98%</w:t>
            </w:r>
          </w:p>
        </w:tc>
        <w:tc>
          <w:tcPr>
            <w:tcW w:w="1291" w:type="dxa"/>
            <w:vAlign w:val="center"/>
          </w:tcPr>
          <w:p w:rsidR="0037580C" w:rsidRDefault="00926AAD">
            <w:pPr>
              <w:jc w:val="right"/>
            </w:pPr>
            <w:r>
              <w:rPr>
                <w:rFonts w:eastAsiaTheme="minorEastAsia"/>
                <w:color w:val="000000" w:themeColor="text1"/>
                <w:szCs w:val="21"/>
              </w:rPr>
              <w:t>1.16%</w:t>
            </w:r>
          </w:p>
        </w:tc>
        <w:tc>
          <w:tcPr>
            <w:tcW w:w="1291" w:type="dxa"/>
            <w:vAlign w:val="center"/>
          </w:tcPr>
          <w:p w:rsidR="0037580C" w:rsidRDefault="00926AAD">
            <w:pPr>
              <w:jc w:val="right"/>
            </w:pPr>
            <w:r>
              <w:rPr>
                <w:rFonts w:eastAsiaTheme="minorEastAsia"/>
                <w:color w:val="000000" w:themeColor="text1"/>
                <w:szCs w:val="21"/>
              </w:rPr>
              <w:t>0.29%</w:t>
            </w:r>
          </w:p>
        </w:tc>
        <w:tc>
          <w:tcPr>
            <w:tcW w:w="1291" w:type="dxa"/>
            <w:vAlign w:val="center"/>
          </w:tcPr>
          <w:p w:rsidR="0037580C" w:rsidRDefault="00926AAD">
            <w:pPr>
              <w:jc w:val="right"/>
            </w:pPr>
            <w:r>
              <w:rPr>
                <w:rFonts w:eastAsiaTheme="minorEastAsia"/>
                <w:color w:val="000000" w:themeColor="text1"/>
                <w:szCs w:val="21"/>
              </w:rPr>
              <w:t>-0.07%</w:t>
            </w:r>
          </w:p>
        </w:tc>
      </w:tr>
      <w:tr w:rsidR="0037580C">
        <w:tc>
          <w:tcPr>
            <w:tcW w:w="1290" w:type="dxa"/>
            <w:vAlign w:val="center"/>
          </w:tcPr>
          <w:p w:rsidR="0037580C" w:rsidRDefault="00926AAD">
            <w:pPr>
              <w:jc w:val="left"/>
            </w:pPr>
            <w:r>
              <w:rPr>
                <w:rFonts w:eastAsiaTheme="minorEastAsia"/>
                <w:color w:val="000000" w:themeColor="text1"/>
                <w:szCs w:val="21"/>
              </w:rPr>
              <w:t>过去六个月</w:t>
            </w:r>
          </w:p>
        </w:tc>
        <w:tc>
          <w:tcPr>
            <w:tcW w:w="1291" w:type="dxa"/>
            <w:vAlign w:val="center"/>
          </w:tcPr>
          <w:p w:rsidR="0037580C" w:rsidRDefault="00926AAD">
            <w:pPr>
              <w:jc w:val="right"/>
            </w:pPr>
            <w:r>
              <w:rPr>
                <w:rFonts w:eastAsiaTheme="minorEastAsia"/>
                <w:color w:val="000000" w:themeColor="text1"/>
                <w:szCs w:val="21"/>
              </w:rPr>
              <w:t>-11.07%</w:t>
            </w:r>
          </w:p>
        </w:tc>
        <w:tc>
          <w:tcPr>
            <w:tcW w:w="1291" w:type="dxa"/>
            <w:vAlign w:val="center"/>
          </w:tcPr>
          <w:p w:rsidR="0037580C" w:rsidRDefault="00926AAD">
            <w:pPr>
              <w:jc w:val="right"/>
            </w:pPr>
            <w:r>
              <w:rPr>
                <w:rFonts w:eastAsiaTheme="minorEastAsia"/>
                <w:color w:val="000000" w:themeColor="text1"/>
                <w:szCs w:val="21"/>
              </w:rPr>
              <w:t>0.97%</w:t>
            </w:r>
          </w:p>
        </w:tc>
        <w:tc>
          <w:tcPr>
            <w:tcW w:w="1291" w:type="dxa"/>
            <w:vAlign w:val="center"/>
          </w:tcPr>
          <w:p w:rsidR="0037580C" w:rsidRDefault="00926AAD">
            <w:pPr>
              <w:jc w:val="right"/>
            </w:pPr>
            <w:r>
              <w:rPr>
                <w:rFonts w:eastAsiaTheme="minorEastAsia"/>
                <w:color w:val="000000" w:themeColor="text1"/>
                <w:szCs w:val="21"/>
              </w:rPr>
              <w:t>-12.38%</w:t>
            </w:r>
          </w:p>
        </w:tc>
        <w:tc>
          <w:tcPr>
            <w:tcW w:w="1291" w:type="dxa"/>
            <w:vAlign w:val="center"/>
          </w:tcPr>
          <w:p w:rsidR="0037580C" w:rsidRDefault="00926AAD">
            <w:pPr>
              <w:jc w:val="right"/>
            </w:pPr>
            <w:r>
              <w:rPr>
                <w:rFonts w:eastAsiaTheme="minorEastAsia"/>
                <w:color w:val="000000" w:themeColor="text1"/>
                <w:szCs w:val="21"/>
              </w:rPr>
              <w:t>1.02%</w:t>
            </w:r>
          </w:p>
        </w:tc>
        <w:tc>
          <w:tcPr>
            <w:tcW w:w="1291" w:type="dxa"/>
            <w:vAlign w:val="center"/>
          </w:tcPr>
          <w:p w:rsidR="0037580C" w:rsidRDefault="00926AAD">
            <w:pPr>
              <w:jc w:val="right"/>
            </w:pPr>
            <w:r>
              <w:rPr>
                <w:rFonts w:eastAsiaTheme="minorEastAsia"/>
                <w:color w:val="000000" w:themeColor="text1"/>
                <w:szCs w:val="21"/>
              </w:rPr>
              <w:t>1.31%</w:t>
            </w:r>
          </w:p>
        </w:tc>
        <w:tc>
          <w:tcPr>
            <w:tcW w:w="1291" w:type="dxa"/>
            <w:vAlign w:val="center"/>
          </w:tcPr>
          <w:p w:rsidR="0037580C" w:rsidRDefault="00926AAD">
            <w:pPr>
              <w:jc w:val="right"/>
            </w:pPr>
            <w:r>
              <w:rPr>
                <w:rFonts w:eastAsiaTheme="minorEastAsia"/>
                <w:color w:val="000000" w:themeColor="text1"/>
                <w:szCs w:val="21"/>
              </w:rPr>
              <w:t>-0.05%</w:t>
            </w:r>
          </w:p>
        </w:tc>
      </w:tr>
      <w:tr w:rsidR="0037580C">
        <w:tc>
          <w:tcPr>
            <w:tcW w:w="1290" w:type="dxa"/>
            <w:vAlign w:val="center"/>
          </w:tcPr>
          <w:p w:rsidR="0037580C" w:rsidRDefault="00926AAD">
            <w:pPr>
              <w:jc w:val="left"/>
            </w:pPr>
            <w:r>
              <w:rPr>
                <w:rFonts w:eastAsiaTheme="minorEastAsia"/>
                <w:color w:val="000000" w:themeColor="text1"/>
                <w:szCs w:val="21"/>
              </w:rPr>
              <w:t>过去一年</w:t>
            </w:r>
          </w:p>
        </w:tc>
        <w:tc>
          <w:tcPr>
            <w:tcW w:w="1291" w:type="dxa"/>
            <w:vAlign w:val="center"/>
          </w:tcPr>
          <w:p w:rsidR="0037580C" w:rsidRDefault="00926AAD">
            <w:pPr>
              <w:jc w:val="right"/>
            </w:pPr>
            <w:r>
              <w:rPr>
                <w:rFonts w:eastAsiaTheme="minorEastAsia"/>
                <w:color w:val="000000" w:themeColor="text1"/>
                <w:szCs w:val="21"/>
              </w:rPr>
              <w:t>-18.45%</w:t>
            </w:r>
          </w:p>
        </w:tc>
        <w:tc>
          <w:tcPr>
            <w:tcW w:w="1291" w:type="dxa"/>
            <w:vAlign w:val="center"/>
          </w:tcPr>
          <w:p w:rsidR="0037580C" w:rsidRDefault="00926AAD">
            <w:pPr>
              <w:jc w:val="right"/>
            </w:pPr>
            <w:r>
              <w:rPr>
                <w:rFonts w:eastAsiaTheme="minorEastAsia"/>
                <w:color w:val="000000" w:themeColor="text1"/>
                <w:szCs w:val="21"/>
              </w:rPr>
              <w:t>1.16%</w:t>
            </w:r>
          </w:p>
        </w:tc>
        <w:tc>
          <w:tcPr>
            <w:tcW w:w="1291" w:type="dxa"/>
            <w:vAlign w:val="center"/>
          </w:tcPr>
          <w:p w:rsidR="0037580C" w:rsidRDefault="00926AAD">
            <w:pPr>
              <w:jc w:val="right"/>
            </w:pPr>
            <w:r>
              <w:rPr>
                <w:rFonts w:eastAsiaTheme="minorEastAsia"/>
                <w:color w:val="000000" w:themeColor="text1"/>
                <w:szCs w:val="21"/>
              </w:rPr>
              <w:t>-19.86%</w:t>
            </w:r>
          </w:p>
        </w:tc>
        <w:tc>
          <w:tcPr>
            <w:tcW w:w="1291" w:type="dxa"/>
            <w:vAlign w:val="center"/>
          </w:tcPr>
          <w:p w:rsidR="0037580C" w:rsidRDefault="00926AAD">
            <w:pPr>
              <w:jc w:val="right"/>
            </w:pPr>
            <w:r>
              <w:rPr>
                <w:rFonts w:eastAsiaTheme="minorEastAsia"/>
                <w:color w:val="000000" w:themeColor="text1"/>
                <w:szCs w:val="21"/>
              </w:rPr>
              <w:t>1.21%</w:t>
            </w:r>
          </w:p>
        </w:tc>
        <w:tc>
          <w:tcPr>
            <w:tcW w:w="1291" w:type="dxa"/>
            <w:vAlign w:val="center"/>
          </w:tcPr>
          <w:p w:rsidR="0037580C" w:rsidRDefault="00926AAD">
            <w:pPr>
              <w:jc w:val="right"/>
            </w:pPr>
            <w:r>
              <w:rPr>
                <w:rFonts w:eastAsiaTheme="minorEastAsia"/>
                <w:color w:val="000000" w:themeColor="text1"/>
                <w:szCs w:val="21"/>
              </w:rPr>
              <w:t>1.41%</w:t>
            </w:r>
          </w:p>
        </w:tc>
        <w:tc>
          <w:tcPr>
            <w:tcW w:w="1291" w:type="dxa"/>
            <w:vAlign w:val="center"/>
          </w:tcPr>
          <w:p w:rsidR="0037580C" w:rsidRDefault="00926AAD">
            <w:pPr>
              <w:jc w:val="right"/>
            </w:pPr>
            <w:r>
              <w:rPr>
                <w:rFonts w:eastAsiaTheme="minorEastAsia"/>
                <w:color w:val="000000" w:themeColor="text1"/>
                <w:szCs w:val="21"/>
              </w:rPr>
              <w:t>-0.05%</w:t>
            </w:r>
          </w:p>
        </w:tc>
      </w:tr>
      <w:tr w:rsidR="0037580C">
        <w:tc>
          <w:tcPr>
            <w:tcW w:w="1290" w:type="dxa"/>
            <w:vAlign w:val="center"/>
          </w:tcPr>
          <w:p w:rsidR="0037580C" w:rsidRDefault="00926AAD">
            <w:pPr>
              <w:jc w:val="left"/>
            </w:pPr>
            <w:r>
              <w:rPr>
                <w:rFonts w:eastAsiaTheme="minorEastAsia"/>
                <w:color w:val="000000" w:themeColor="text1"/>
                <w:szCs w:val="21"/>
              </w:rPr>
              <w:t>过去三年</w:t>
            </w:r>
          </w:p>
        </w:tc>
        <w:tc>
          <w:tcPr>
            <w:tcW w:w="1291" w:type="dxa"/>
            <w:vAlign w:val="center"/>
          </w:tcPr>
          <w:p w:rsidR="0037580C" w:rsidRDefault="00926AAD">
            <w:pPr>
              <w:jc w:val="right"/>
            </w:pPr>
            <w:r>
              <w:rPr>
                <w:rFonts w:eastAsiaTheme="minorEastAsia"/>
                <w:color w:val="000000" w:themeColor="text1"/>
                <w:szCs w:val="21"/>
              </w:rPr>
              <w:t>-</w:t>
            </w:r>
          </w:p>
        </w:tc>
        <w:tc>
          <w:tcPr>
            <w:tcW w:w="1291" w:type="dxa"/>
            <w:vAlign w:val="center"/>
          </w:tcPr>
          <w:p w:rsidR="0037580C" w:rsidRDefault="00926AAD">
            <w:pPr>
              <w:jc w:val="right"/>
            </w:pPr>
            <w:r>
              <w:rPr>
                <w:rFonts w:eastAsiaTheme="minorEastAsia"/>
                <w:color w:val="000000" w:themeColor="text1"/>
                <w:szCs w:val="21"/>
              </w:rPr>
              <w:t>-</w:t>
            </w:r>
          </w:p>
        </w:tc>
        <w:tc>
          <w:tcPr>
            <w:tcW w:w="1291" w:type="dxa"/>
            <w:vAlign w:val="center"/>
          </w:tcPr>
          <w:p w:rsidR="0037580C" w:rsidRDefault="00926AAD">
            <w:pPr>
              <w:jc w:val="right"/>
            </w:pPr>
            <w:r>
              <w:rPr>
                <w:rFonts w:eastAsiaTheme="minorEastAsia"/>
                <w:color w:val="000000" w:themeColor="text1"/>
                <w:szCs w:val="21"/>
              </w:rPr>
              <w:t>-</w:t>
            </w:r>
          </w:p>
        </w:tc>
        <w:tc>
          <w:tcPr>
            <w:tcW w:w="1291" w:type="dxa"/>
            <w:vAlign w:val="center"/>
          </w:tcPr>
          <w:p w:rsidR="0037580C" w:rsidRDefault="00926AAD">
            <w:pPr>
              <w:jc w:val="right"/>
            </w:pPr>
            <w:r>
              <w:rPr>
                <w:rFonts w:eastAsiaTheme="minorEastAsia"/>
                <w:color w:val="000000" w:themeColor="text1"/>
                <w:szCs w:val="21"/>
              </w:rPr>
              <w:t>-</w:t>
            </w:r>
          </w:p>
        </w:tc>
        <w:tc>
          <w:tcPr>
            <w:tcW w:w="1291" w:type="dxa"/>
            <w:vAlign w:val="center"/>
          </w:tcPr>
          <w:p w:rsidR="0037580C" w:rsidRDefault="00926AAD">
            <w:pPr>
              <w:jc w:val="right"/>
            </w:pPr>
            <w:r>
              <w:rPr>
                <w:rFonts w:eastAsiaTheme="minorEastAsia"/>
                <w:color w:val="000000" w:themeColor="text1"/>
                <w:szCs w:val="21"/>
              </w:rPr>
              <w:t>-</w:t>
            </w:r>
          </w:p>
        </w:tc>
        <w:tc>
          <w:tcPr>
            <w:tcW w:w="1291" w:type="dxa"/>
            <w:vAlign w:val="center"/>
          </w:tcPr>
          <w:p w:rsidR="0037580C" w:rsidRDefault="00926AAD">
            <w:pPr>
              <w:jc w:val="right"/>
            </w:pPr>
            <w:r>
              <w:rPr>
                <w:rFonts w:eastAsiaTheme="minorEastAsia"/>
                <w:color w:val="000000" w:themeColor="text1"/>
                <w:szCs w:val="21"/>
              </w:rPr>
              <w:t>-</w:t>
            </w:r>
          </w:p>
        </w:tc>
      </w:tr>
      <w:tr w:rsidR="0037580C">
        <w:tc>
          <w:tcPr>
            <w:tcW w:w="1290" w:type="dxa"/>
            <w:vAlign w:val="center"/>
          </w:tcPr>
          <w:p w:rsidR="0037580C" w:rsidRDefault="00926AAD">
            <w:pPr>
              <w:jc w:val="left"/>
            </w:pPr>
            <w:r>
              <w:rPr>
                <w:rFonts w:eastAsiaTheme="minorEastAsia"/>
                <w:color w:val="000000" w:themeColor="text1"/>
                <w:szCs w:val="21"/>
              </w:rPr>
              <w:t>过去五年</w:t>
            </w:r>
          </w:p>
        </w:tc>
        <w:tc>
          <w:tcPr>
            <w:tcW w:w="1291" w:type="dxa"/>
            <w:vAlign w:val="center"/>
          </w:tcPr>
          <w:p w:rsidR="0037580C" w:rsidRDefault="00926AAD">
            <w:pPr>
              <w:jc w:val="right"/>
            </w:pPr>
            <w:r>
              <w:rPr>
                <w:rFonts w:eastAsiaTheme="minorEastAsia"/>
                <w:color w:val="000000" w:themeColor="text1"/>
                <w:szCs w:val="21"/>
              </w:rPr>
              <w:t>-</w:t>
            </w:r>
          </w:p>
        </w:tc>
        <w:tc>
          <w:tcPr>
            <w:tcW w:w="1291" w:type="dxa"/>
            <w:vAlign w:val="center"/>
          </w:tcPr>
          <w:p w:rsidR="0037580C" w:rsidRDefault="00926AAD">
            <w:pPr>
              <w:jc w:val="right"/>
            </w:pPr>
            <w:r>
              <w:rPr>
                <w:rFonts w:eastAsiaTheme="minorEastAsia"/>
                <w:color w:val="000000" w:themeColor="text1"/>
                <w:szCs w:val="21"/>
              </w:rPr>
              <w:t>-</w:t>
            </w:r>
          </w:p>
        </w:tc>
        <w:tc>
          <w:tcPr>
            <w:tcW w:w="1291" w:type="dxa"/>
            <w:vAlign w:val="center"/>
          </w:tcPr>
          <w:p w:rsidR="0037580C" w:rsidRDefault="00926AAD">
            <w:pPr>
              <w:jc w:val="right"/>
            </w:pPr>
            <w:r>
              <w:rPr>
                <w:rFonts w:eastAsiaTheme="minorEastAsia"/>
                <w:color w:val="000000" w:themeColor="text1"/>
                <w:szCs w:val="21"/>
              </w:rPr>
              <w:t>-</w:t>
            </w:r>
          </w:p>
        </w:tc>
        <w:tc>
          <w:tcPr>
            <w:tcW w:w="1291" w:type="dxa"/>
            <w:vAlign w:val="center"/>
          </w:tcPr>
          <w:p w:rsidR="0037580C" w:rsidRDefault="00926AAD">
            <w:pPr>
              <w:jc w:val="right"/>
            </w:pPr>
            <w:r>
              <w:rPr>
                <w:rFonts w:eastAsiaTheme="minorEastAsia"/>
                <w:color w:val="000000" w:themeColor="text1"/>
                <w:szCs w:val="21"/>
              </w:rPr>
              <w:t>-</w:t>
            </w:r>
          </w:p>
        </w:tc>
        <w:tc>
          <w:tcPr>
            <w:tcW w:w="1291" w:type="dxa"/>
            <w:vAlign w:val="center"/>
          </w:tcPr>
          <w:p w:rsidR="0037580C" w:rsidRDefault="00926AAD">
            <w:pPr>
              <w:jc w:val="right"/>
            </w:pPr>
            <w:r>
              <w:rPr>
                <w:rFonts w:eastAsiaTheme="minorEastAsia"/>
                <w:color w:val="000000" w:themeColor="text1"/>
                <w:szCs w:val="21"/>
              </w:rPr>
              <w:t>-</w:t>
            </w:r>
          </w:p>
        </w:tc>
        <w:tc>
          <w:tcPr>
            <w:tcW w:w="1291" w:type="dxa"/>
            <w:vAlign w:val="center"/>
          </w:tcPr>
          <w:p w:rsidR="0037580C" w:rsidRDefault="00926AAD">
            <w:pPr>
              <w:jc w:val="right"/>
            </w:pPr>
            <w:r>
              <w:rPr>
                <w:rFonts w:eastAsiaTheme="minorEastAsia"/>
                <w:color w:val="000000" w:themeColor="text1"/>
                <w:szCs w:val="21"/>
              </w:rPr>
              <w:t>-</w:t>
            </w:r>
          </w:p>
        </w:tc>
      </w:tr>
      <w:tr w:rsidR="0037580C">
        <w:tc>
          <w:tcPr>
            <w:tcW w:w="1290" w:type="dxa"/>
            <w:vAlign w:val="center"/>
          </w:tcPr>
          <w:p w:rsidR="0037580C" w:rsidRDefault="00926AAD">
            <w:pPr>
              <w:jc w:val="left"/>
            </w:pPr>
            <w:r>
              <w:rPr>
                <w:rFonts w:eastAsiaTheme="minorEastAsia"/>
                <w:color w:val="000000" w:themeColor="text1"/>
                <w:szCs w:val="21"/>
              </w:rPr>
              <w:t>自基金合同生效起至今</w:t>
            </w:r>
          </w:p>
        </w:tc>
        <w:tc>
          <w:tcPr>
            <w:tcW w:w="1291" w:type="dxa"/>
            <w:vAlign w:val="center"/>
          </w:tcPr>
          <w:p w:rsidR="0037580C" w:rsidRDefault="00926AAD">
            <w:pPr>
              <w:jc w:val="right"/>
            </w:pPr>
            <w:r>
              <w:rPr>
                <w:rFonts w:eastAsiaTheme="minorEastAsia"/>
                <w:color w:val="000000" w:themeColor="text1"/>
                <w:szCs w:val="21"/>
              </w:rPr>
              <w:t>-5.73%</w:t>
            </w:r>
          </w:p>
        </w:tc>
        <w:tc>
          <w:tcPr>
            <w:tcW w:w="1291" w:type="dxa"/>
            <w:vAlign w:val="center"/>
          </w:tcPr>
          <w:p w:rsidR="0037580C" w:rsidRDefault="00926AAD">
            <w:pPr>
              <w:jc w:val="right"/>
            </w:pPr>
            <w:r>
              <w:rPr>
                <w:rFonts w:eastAsiaTheme="minorEastAsia"/>
                <w:color w:val="000000" w:themeColor="text1"/>
                <w:szCs w:val="21"/>
              </w:rPr>
              <w:t>1.09%</w:t>
            </w:r>
          </w:p>
        </w:tc>
        <w:tc>
          <w:tcPr>
            <w:tcW w:w="1291" w:type="dxa"/>
            <w:vAlign w:val="center"/>
          </w:tcPr>
          <w:p w:rsidR="0037580C" w:rsidRDefault="00926AAD">
            <w:pPr>
              <w:jc w:val="right"/>
            </w:pPr>
            <w:r>
              <w:rPr>
                <w:rFonts w:eastAsiaTheme="minorEastAsia"/>
                <w:color w:val="000000" w:themeColor="text1"/>
                <w:szCs w:val="21"/>
              </w:rPr>
              <w:t>-12.37%</w:t>
            </w:r>
          </w:p>
        </w:tc>
        <w:tc>
          <w:tcPr>
            <w:tcW w:w="1291" w:type="dxa"/>
            <w:vAlign w:val="center"/>
          </w:tcPr>
          <w:p w:rsidR="0037580C" w:rsidRDefault="00926AAD">
            <w:pPr>
              <w:jc w:val="right"/>
            </w:pPr>
            <w:r>
              <w:rPr>
                <w:rFonts w:eastAsiaTheme="minorEastAsia"/>
                <w:color w:val="000000" w:themeColor="text1"/>
                <w:szCs w:val="21"/>
              </w:rPr>
              <w:t>1.15%</w:t>
            </w:r>
          </w:p>
        </w:tc>
        <w:tc>
          <w:tcPr>
            <w:tcW w:w="1291" w:type="dxa"/>
            <w:vAlign w:val="center"/>
          </w:tcPr>
          <w:p w:rsidR="0037580C" w:rsidRDefault="00926AAD">
            <w:pPr>
              <w:jc w:val="right"/>
            </w:pPr>
            <w:r>
              <w:rPr>
                <w:rFonts w:eastAsiaTheme="minorEastAsia"/>
                <w:color w:val="000000" w:themeColor="text1"/>
                <w:szCs w:val="21"/>
              </w:rPr>
              <w:t>6.64%</w:t>
            </w:r>
          </w:p>
        </w:tc>
        <w:tc>
          <w:tcPr>
            <w:tcW w:w="1291" w:type="dxa"/>
            <w:vAlign w:val="center"/>
          </w:tcPr>
          <w:p w:rsidR="0037580C" w:rsidRDefault="00926AAD">
            <w:pPr>
              <w:jc w:val="right"/>
            </w:pPr>
            <w:r>
              <w:rPr>
                <w:rFonts w:eastAsiaTheme="minorEastAsia"/>
                <w:color w:val="000000" w:themeColor="text1"/>
                <w:szCs w:val="21"/>
              </w:rPr>
              <w:t>-0.06%</w:t>
            </w:r>
          </w:p>
        </w:tc>
      </w:tr>
    </w:tbl>
    <w:p w:rsidR="00DB3887" w:rsidRPr="00D97CD7" w:rsidRDefault="00FC6961">
      <w:pPr>
        <w:adjustRightInd w:val="0"/>
        <w:spacing w:beforeLines="100" w:before="312" w:line="360" w:lineRule="auto"/>
        <w:rPr>
          <w:rFonts w:eastAsiaTheme="minorEastAsia"/>
          <w:b/>
          <w:color w:val="000000" w:themeColor="text1"/>
          <w:kern w:val="0"/>
          <w:szCs w:val="21"/>
        </w:rPr>
      </w:pPr>
      <w:r w:rsidRPr="00D97CD7">
        <w:rPr>
          <w:rFonts w:eastAsiaTheme="minorEastAsia"/>
          <w:b/>
          <w:color w:val="000000" w:themeColor="text1"/>
          <w:szCs w:val="21"/>
        </w:rPr>
        <w:t>2</w:t>
      </w:r>
      <w:r w:rsidRPr="00D97CD7">
        <w:rPr>
          <w:rFonts w:eastAsiaTheme="minorEastAsia"/>
          <w:b/>
          <w:color w:val="000000" w:themeColor="text1"/>
          <w:szCs w:val="21"/>
        </w:rPr>
        <w:t>、</w:t>
      </w:r>
      <w:r w:rsidRPr="00D97CD7">
        <w:rPr>
          <w:rFonts w:eastAsiaTheme="minorEastAsia"/>
          <w:b/>
          <w:color w:val="000000" w:themeColor="text1"/>
          <w:kern w:val="0"/>
          <w:szCs w:val="21"/>
        </w:rPr>
        <w:t>上投摩根</w:t>
      </w:r>
      <w:r w:rsidRPr="00D97CD7">
        <w:rPr>
          <w:rFonts w:eastAsiaTheme="minorEastAsia"/>
          <w:b/>
          <w:color w:val="000000" w:themeColor="text1"/>
          <w:kern w:val="0"/>
          <w:szCs w:val="21"/>
        </w:rPr>
        <w:t>MSCI</w:t>
      </w:r>
      <w:r w:rsidRPr="00D97CD7">
        <w:rPr>
          <w:rFonts w:eastAsiaTheme="minorEastAsia"/>
          <w:b/>
          <w:color w:val="000000" w:themeColor="text1"/>
          <w:kern w:val="0"/>
          <w:szCs w:val="21"/>
        </w:rPr>
        <w:t>中国</w:t>
      </w:r>
      <w:r w:rsidRPr="00D97CD7">
        <w:rPr>
          <w:rFonts w:eastAsiaTheme="minorEastAsia"/>
          <w:b/>
          <w:color w:val="000000" w:themeColor="text1"/>
          <w:kern w:val="0"/>
          <w:szCs w:val="21"/>
        </w:rPr>
        <w:t>A</w:t>
      </w:r>
      <w:r w:rsidRPr="00D97CD7">
        <w:rPr>
          <w:rFonts w:eastAsiaTheme="minorEastAsia"/>
          <w:b/>
          <w:color w:val="000000" w:themeColor="text1"/>
          <w:kern w:val="0"/>
          <w:szCs w:val="21"/>
        </w:rPr>
        <w:t>股</w:t>
      </w:r>
      <w:r w:rsidRPr="00D97CD7">
        <w:rPr>
          <w:rFonts w:eastAsiaTheme="minorEastAsia"/>
          <w:b/>
          <w:color w:val="000000" w:themeColor="text1"/>
          <w:kern w:val="0"/>
          <w:szCs w:val="21"/>
        </w:rPr>
        <w:t>ETF</w:t>
      </w:r>
      <w:r w:rsidRPr="00D97CD7">
        <w:rPr>
          <w:rFonts w:eastAsiaTheme="minorEastAsia"/>
          <w:b/>
          <w:color w:val="000000" w:themeColor="text1"/>
          <w:kern w:val="0"/>
          <w:szCs w:val="21"/>
        </w:rPr>
        <w:t>联接</w:t>
      </w:r>
      <w:r w:rsidRPr="00D97CD7">
        <w:rPr>
          <w:rFonts w:eastAsiaTheme="minorEastAsia"/>
          <w:b/>
          <w:color w:val="000000" w:themeColor="text1"/>
          <w:kern w:val="0"/>
          <w:szCs w:val="21"/>
        </w:rPr>
        <w:t>C</w:t>
      </w:r>
      <w:r w:rsidRPr="00D97CD7">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DB3887" w:rsidRPr="00D97CD7">
        <w:tc>
          <w:tcPr>
            <w:tcW w:w="1290"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阶段</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highlight w:val="green"/>
              </w:rPr>
            </w:pPr>
            <w:r w:rsidRPr="00D97CD7">
              <w:rPr>
                <w:rFonts w:eastAsiaTheme="minorEastAsia"/>
                <w:color w:val="000000" w:themeColor="text1"/>
                <w:szCs w:val="21"/>
              </w:rPr>
              <w:t>净值增长率</w:t>
            </w:r>
            <w:r w:rsidRPr="00D97CD7">
              <w:rPr>
                <w:rFonts w:ascii="宋体" w:hAnsi="宋体" w:cs="宋体" w:hint="eastAsia"/>
                <w:color w:val="000000" w:themeColor="text1"/>
                <w:szCs w:val="21"/>
              </w:rPr>
              <w:t>①</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highlight w:val="green"/>
              </w:rPr>
            </w:pPr>
            <w:r w:rsidRPr="00D97CD7">
              <w:rPr>
                <w:rFonts w:eastAsiaTheme="minorEastAsia"/>
                <w:color w:val="000000" w:themeColor="text1"/>
                <w:szCs w:val="21"/>
              </w:rPr>
              <w:t>净值增长率标准差</w:t>
            </w:r>
            <w:r w:rsidRPr="00D97CD7">
              <w:rPr>
                <w:rFonts w:ascii="宋体" w:hAnsi="宋体" w:cs="宋体" w:hint="eastAsia"/>
                <w:color w:val="000000" w:themeColor="text1"/>
                <w:szCs w:val="21"/>
              </w:rPr>
              <w:t>②</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w:t>
            </w:r>
            <w:r w:rsidRPr="00D97CD7">
              <w:rPr>
                <w:rFonts w:ascii="宋体" w:hAnsi="宋体" w:cs="宋体" w:hint="eastAsia"/>
                <w:color w:val="000000" w:themeColor="text1"/>
                <w:szCs w:val="21"/>
              </w:rPr>
              <w:t>③</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业绩比较基准收益率标准差</w:t>
            </w:r>
            <w:r w:rsidRPr="00D97CD7">
              <w:rPr>
                <w:rFonts w:ascii="宋体" w:hAnsi="宋体" w:cs="宋体" w:hint="eastAsia"/>
                <w:color w:val="000000" w:themeColor="text1"/>
                <w:szCs w:val="21"/>
              </w:rPr>
              <w:t>④</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①</w:t>
            </w:r>
            <w:r w:rsidRPr="00D97CD7">
              <w:rPr>
                <w:rFonts w:eastAsiaTheme="minorEastAsia"/>
                <w:color w:val="000000" w:themeColor="text1"/>
                <w:szCs w:val="21"/>
              </w:rPr>
              <w:t>－</w:t>
            </w:r>
            <w:r w:rsidRPr="00D97CD7">
              <w:rPr>
                <w:rFonts w:ascii="宋体" w:hAnsi="宋体" w:cs="宋体" w:hint="eastAsia"/>
                <w:color w:val="000000" w:themeColor="text1"/>
                <w:szCs w:val="21"/>
              </w:rPr>
              <w:t>③</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②</w:t>
            </w:r>
            <w:r w:rsidRPr="00D97CD7">
              <w:rPr>
                <w:rFonts w:eastAsiaTheme="minorEastAsia"/>
                <w:color w:val="000000" w:themeColor="text1"/>
                <w:szCs w:val="21"/>
              </w:rPr>
              <w:t>－</w:t>
            </w:r>
            <w:r w:rsidRPr="00D97CD7">
              <w:rPr>
                <w:rFonts w:ascii="宋体" w:hAnsi="宋体" w:cs="宋体" w:hint="eastAsia"/>
                <w:color w:val="000000" w:themeColor="text1"/>
                <w:szCs w:val="21"/>
              </w:rPr>
              <w:t>④</w:t>
            </w:r>
          </w:p>
        </w:tc>
      </w:tr>
      <w:tr w:rsidR="0037580C">
        <w:tc>
          <w:tcPr>
            <w:tcW w:w="1290" w:type="dxa"/>
            <w:vAlign w:val="center"/>
          </w:tcPr>
          <w:p w:rsidR="0037580C" w:rsidRDefault="00926AAD">
            <w:pPr>
              <w:jc w:val="left"/>
            </w:pPr>
            <w:r>
              <w:rPr>
                <w:rFonts w:eastAsiaTheme="minorEastAsia"/>
                <w:color w:val="000000" w:themeColor="text1"/>
                <w:szCs w:val="21"/>
              </w:rPr>
              <w:t>过去三个月</w:t>
            </w:r>
          </w:p>
        </w:tc>
        <w:tc>
          <w:tcPr>
            <w:tcW w:w="1291" w:type="dxa"/>
            <w:vAlign w:val="center"/>
          </w:tcPr>
          <w:p w:rsidR="0037580C" w:rsidRDefault="00926AAD">
            <w:pPr>
              <w:jc w:val="right"/>
            </w:pPr>
            <w:r>
              <w:rPr>
                <w:rFonts w:eastAsiaTheme="minorEastAsia"/>
                <w:color w:val="000000" w:themeColor="text1"/>
                <w:szCs w:val="21"/>
              </w:rPr>
              <w:t>1.24%</w:t>
            </w:r>
          </w:p>
        </w:tc>
        <w:tc>
          <w:tcPr>
            <w:tcW w:w="1291" w:type="dxa"/>
            <w:vAlign w:val="center"/>
          </w:tcPr>
          <w:p w:rsidR="0037580C" w:rsidRDefault="00926AAD">
            <w:pPr>
              <w:jc w:val="right"/>
            </w:pPr>
            <w:r>
              <w:rPr>
                <w:rFonts w:eastAsiaTheme="minorEastAsia"/>
                <w:color w:val="000000" w:themeColor="text1"/>
                <w:szCs w:val="21"/>
              </w:rPr>
              <w:t>1.09%</w:t>
            </w:r>
          </w:p>
        </w:tc>
        <w:tc>
          <w:tcPr>
            <w:tcW w:w="1291" w:type="dxa"/>
            <w:vAlign w:val="center"/>
          </w:tcPr>
          <w:p w:rsidR="0037580C" w:rsidRDefault="00926AAD">
            <w:pPr>
              <w:jc w:val="right"/>
            </w:pPr>
            <w:r>
              <w:rPr>
                <w:rFonts w:eastAsiaTheme="minorEastAsia"/>
                <w:color w:val="000000" w:themeColor="text1"/>
                <w:szCs w:val="21"/>
              </w:rPr>
              <w:t>0.98%</w:t>
            </w:r>
          </w:p>
        </w:tc>
        <w:tc>
          <w:tcPr>
            <w:tcW w:w="1291" w:type="dxa"/>
            <w:vAlign w:val="center"/>
          </w:tcPr>
          <w:p w:rsidR="0037580C" w:rsidRDefault="00926AAD">
            <w:pPr>
              <w:jc w:val="right"/>
            </w:pPr>
            <w:r>
              <w:rPr>
                <w:rFonts w:eastAsiaTheme="minorEastAsia"/>
                <w:color w:val="000000" w:themeColor="text1"/>
                <w:szCs w:val="21"/>
              </w:rPr>
              <w:t>1.16%</w:t>
            </w:r>
          </w:p>
        </w:tc>
        <w:tc>
          <w:tcPr>
            <w:tcW w:w="1291" w:type="dxa"/>
            <w:vAlign w:val="center"/>
          </w:tcPr>
          <w:p w:rsidR="0037580C" w:rsidRDefault="00926AAD">
            <w:pPr>
              <w:jc w:val="right"/>
            </w:pPr>
            <w:r>
              <w:rPr>
                <w:rFonts w:eastAsiaTheme="minorEastAsia"/>
                <w:color w:val="000000" w:themeColor="text1"/>
                <w:szCs w:val="21"/>
              </w:rPr>
              <w:t>0.26%</w:t>
            </w:r>
          </w:p>
        </w:tc>
        <w:tc>
          <w:tcPr>
            <w:tcW w:w="1291" w:type="dxa"/>
            <w:vAlign w:val="center"/>
          </w:tcPr>
          <w:p w:rsidR="0037580C" w:rsidRDefault="00926AAD">
            <w:pPr>
              <w:jc w:val="right"/>
            </w:pPr>
            <w:r>
              <w:rPr>
                <w:rFonts w:eastAsiaTheme="minorEastAsia"/>
                <w:color w:val="000000" w:themeColor="text1"/>
                <w:szCs w:val="21"/>
              </w:rPr>
              <w:t>-0.07%</w:t>
            </w:r>
          </w:p>
        </w:tc>
      </w:tr>
      <w:tr w:rsidR="0037580C">
        <w:tc>
          <w:tcPr>
            <w:tcW w:w="1290" w:type="dxa"/>
            <w:vAlign w:val="center"/>
          </w:tcPr>
          <w:p w:rsidR="0037580C" w:rsidRDefault="00926AAD">
            <w:pPr>
              <w:jc w:val="left"/>
            </w:pPr>
            <w:r>
              <w:rPr>
                <w:rFonts w:eastAsiaTheme="minorEastAsia"/>
                <w:color w:val="000000" w:themeColor="text1"/>
                <w:szCs w:val="21"/>
              </w:rPr>
              <w:t>过去六个月</w:t>
            </w:r>
          </w:p>
        </w:tc>
        <w:tc>
          <w:tcPr>
            <w:tcW w:w="1291" w:type="dxa"/>
            <w:vAlign w:val="center"/>
          </w:tcPr>
          <w:p w:rsidR="0037580C" w:rsidRDefault="00926AAD">
            <w:pPr>
              <w:jc w:val="right"/>
            </w:pPr>
            <w:r>
              <w:rPr>
                <w:rFonts w:eastAsiaTheme="minorEastAsia"/>
                <w:color w:val="000000" w:themeColor="text1"/>
                <w:szCs w:val="21"/>
              </w:rPr>
              <w:t>-11.12%</w:t>
            </w:r>
          </w:p>
        </w:tc>
        <w:tc>
          <w:tcPr>
            <w:tcW w:w="1291" w:type="dxa"/>
            <w:vAlign w:val="center"/>
          </w:tcPr>
          <w:p w:rsidR="0037580C" w:rsidRDefault="00926AAD">
            <w:pPr>
              <w:jc w:val="right"/>
            </w:pPr>
            <w:r>
              <w:rPr>
                <w:rFonts w:eastAsiaTheme="minorEastAsia"/>
                <w:color w:val="000000" w:themeColor="text1"/>
                <w:szCs w:val="21"/>
              </w:rPr>
              <w:t>0.97%</w:t>
            </w:r>
          </w:p>
        </w:tc>
        <w:tc>
          <w:tcPr>
            <w:tcW w:w="1291" w:type="dxa"/>
            <w:vAlign w:val="center"/>
          </w:tcPr>
          <w:p w:rsidR="0037580C" w:rsidRDefault="00926AAD">
            <w:pPr>
              <w:jc w:val="right"/>
            </w:pPr>
            <w:r>
              <w:rPr>
                <w:rFonts w:eastAsiaTheme="minorEastAsia"/>
                <w:color w:val="000000" w:themeColor="text1"/>
                <w:szCs w:val="21"/>
              </w:rPr>
              <w:t>-12.38%</w:t>
            </w:r>
          </w:p>
        </w:tc>
        <w:tc>
          <w:tcPr>
            <w:tcW w:w="1291" w:type="dxa"/>
            <w:vAlign w:val="center"/>
          </w:tcPr>
          <w:p w:rsidR="0037580C" w:rsidRDefault="00926AAD">
            <w:pPr>
              <w:jc w:val="right"/>
            </w:pPr>
            <w:r>
              <w:rPr>
                <w:rFonts w:eastAsiaTheme="minorEastAsia"/>
                <w:color w:val="000000" w:themeColor="text1"/>
                <w:szCs w:val="21"/>
              </w:rPr>
              <w:t>1.02%</w:t>
            </w:r>
          </w:p>
        </w:tc>
        <w:tc>
          <w:tcPr>
            <w:tcW w:w="1291" w:type="dxa"/>
            <w:vAlign w:val="center"/>
          </w:tcPr>
          <w:p w:rsidR="0037580C" w:rsidRDefault="00926AAD">
            <w:pPr>
              <w:jc w:val="right"/>
            </w:pPr>
            <w:r>
              <w:rPr>
                <w:rFonts w:eastAsiaTheme="minorEastAsia"/>
                <w:color w:val="000000" w:themeColor="text1"/>
                <w:szCs w:val="21"/>
              </w:rPr>
              <w:t>1.26%</w:t>
            </w:r>
          </w:p>
        </w:tc>
        <w:tc>
          <w:tcPr>
            <w:tcW w:w="1291" w:type="dxa"/>
            <w:vAlign w:val="center"/>
          </w:tcPr>
          <w:p w:rsidR="0037580C" w:rsidRDefault="00926AAD">
            <w:pPr>
              <w:jc w:val="right"/>
            </w:pPr>
            <w:r>
              <w:rPr>
                <w:rFonts w:eastAsiaTheme="minorEastAsia"/>
                <w:color w:val="000000" w:themeColor="text1"/>
                <w:szCs w:val="21"/>
              </w:rPr>
              <w:t>-0.05%</w:t>
            </w:r>
          </w:p>
        </w:tc>
      </w:tr>
      <w:tr w:rsidR="0037580C">
        <w:tc>
          <w:tcPr>
            <w:tcW w:w="1290" w:type="dxa"/>
            <w:vAlign w:val="center"/>
          </w:tcPr>
          <w:p w:rsidR="0037580C" w:rsidRDefault="00926AAD">
            <w:pPr>
              <w:jc w:val="left"/>
            </w:pPr>
            <w:r>
              <w:rPr>
                <w:rFonts w:eastAsiaTheme="minorEastAsia"/>
                <w:color w:val="000000" w:themeColor="text1"/>
                <w:szCs w:val="21"/>
              </w:rPr>
              <w:t>过去一年</w:t>
            </w:r>
          </w:p>
        </w:tc>
        <w:tc>
          <w:tcPr>
            <w:tcW w:w="1291" w:type="dxa"/>
            <w:vAlign w:val="center"/>
          </w:tcPr>
          <w:p w:rsidR="0037580C" w:rsidRDefault="00926AAD">
            <w:pPr>
              <w:jc w:val="right"/>
            </w:pPr>
            <w:r>
              <w:rPr>
                <w:rFonts w:eastAsiaTheme="minorEastAsia"/>
                <w:color w:val="000000" w:themeColor="text1"/>
                <w:szCs w:val="21"/>
              </w:rPr>
              <w:t>-18.54%</w:t>
            </w:r>
          </w:p>
        </w:tc>
        <w:tc>
          <w:tcPr>
            <w:tcW w:w="1291" w:type="dxa"/>
            <w:vAlign w:val="center"/>
          </w:tcPr>
          <w:p w:rsidR="0037580C" w:rsidRDefault="00926AAD">
            <w:pPr>
              <w:jc w:val="right"/>
            </w:pPr>
            <w:r>
              <w:rPr>
                <w:rFonts w:eastAsiaTheme="minorEastAsia"/>
                <w:color w:val="000000" w:themeColor="text1"/>
                <w:szCs w:val="21"/>
              </w:rPr>
              <w:t>1.16%</w:t>
            </w:r>
          </w:p>
        </w:tc>
        <w:tc>
          <w:tcPr>
            <w:tcW w:w="1291" w:type="dxa"/>
            <w:vAlign w:val="center"/>
          </w:tcPr>
          <w:p w:rsidR="0037580C" w:rsidRDefault="00926AAD">
            <w:pPr>
              <w:jc w:val="right"/>
            </w:pPr>
            <w:r>
              <w:rPr>
                <w:rFonts w:eastAsiaTheme="minorEastAsia"/>
                <w:color w:val="000000" w:themeColor="text1"/>
                <w:szCs w:val="21"/>
              </w:rPr>
              <w:t>-19.86%</w:t>
            </w:r>
          </w:p>
        </w:tc>
        <w:tc>
          <w:tcPr>
            <w:tcW w:w="1291" w:type="dxa"/>
            <w:vAlign w:val="center"/>
          </w:tcPr>
          <w:p w:rsidR="0037580C" w:rsidRDefault="00926AAD">
            <w:pPr>
              <w:jc w:val="right"/>
            </w:pPr>
            <w:r>
              <w:rPr>
                <w:rFonts w:eastAsiaTheme="minorEastAsia"/>
                <w:color w:val="000000" w:themeColor="text1"/>
                <w:szCs w:val="21"/>
              </w:rPr>
              <w:t>1.21%</w:t>
            </w:r>
          </w:p>
        </w:tc>
        <w:tc>
          <w:tcPr>
            <w:tcW w:w="1291" w:type="dxa"/>
            <w:vAlign w:val="center"/>
          </w:tcPr>
          <w:p w:rsidR="0037580C" w:rsidRDefault="00926AAD">
            <w:pPr>
              <w:jc w:val="right"/>
            </w:pPr>
            <w:r>
              <w:rPr>
                <w:rFonts w:eastAsiaTheme="minorEastAsia"/>
                <w:color w:val="000000" w:themeColor="text1"/>
                <w:szCs w:val="21"/>
              </w:rPr>
              <w:t>1.32%</w:t>
            </w:r>
          </w:p>
        </w:tc>
        <w:tc>
          <w:tcPr>
            <w:tcW w:w="1291" w:type="dxa"/>
            <w:vAlign w:val="center"/>
          </w:tcPr>
          <w:p w:rsidR="0037580C" w:rsidRDefault="00926AAD">
            <w:pPr>
              <w:jc w:val="right"/>
            </w:pPr>
            <w:r>
              <w:rPr>
                <w:rFonts w:eastAsiaTheme="minorEastAsia"/>
                <w:color w:val="000000" w:themeColor="text1"/>
                <w:szCs w:val="21"/>
              </w:rPr>
              <w:t>-0.05%</w:t>
            </w:r>
          </w:p>
        </w:tc>
      </w:tr>
      <w:tr w:rsidR="0037580C">
        <w:tc>
          <w:tcPr>
            <w:tcW w:w="1290" w:type="dxa"/>
            <w:vAlign w:val="center"/>
          </w:tcPr>
          <w:p w:rsidR="0037580C" w:rsidRDefault="00926AAD">
            <w:pPr>
              <w:jc w:val="left"/>
            </w:pPr>
            <w:r>
              <w:rPr>
                <w:rFonts w:eastAsiaTheme="minorEastAsia"/>
                <w:color w:val="000000" w:themeColor="text1"/>
                <w:szCs w:val="21"/>
              </w:rPr>
              <w:t>过去三年</w:t>
            </w:r>
          </w:p>
        </w:tc>
        <w:tc>
          <w:tcPr>
            <w:tcW w:w="1291" w:type="dxa"/>
            <w:vAlign w:val="center"/>
          </w:tcPr>
          <w:p w:rsidR="0037580C" w:rsidRDefault="00926AAD">
            <w:pPr>
              <w:jc w:val="right"/>
            </w:pPr>
            <w:r>
              <w:rPr>
                <w:rFonts w:eastAsiaTheme="minorEastAsia"/>
                <w:color w:val="000000" w:themeColor="text1"/>
                <w:szCs w:val="21"/>
              </w:rPr>
              <w:t>-</w:t>
            </w:r>
          </w:p>
        </w:tc>
        <w:tc>
          <w:tcPr>
            <w:tcW w:w="1291" w:type="dxa"/>
            <w:vAlign w:val="center"/>
          </w:tcPr>
          <w:p w:rsidR="0037580C" w:rsidRDefault="00926AAD">
            <w:pPr>
              <w:jc w:val="right"/>
            </w:pPr>
            <w:r>
              <w:rPr>
                <w:rFonts w:eastAsiaTheme="minorEastAsia"/>
                <w:color w:val="000000" w:themeColor="text1"/>
                <w:szCs w:val="21"/>
              </w:rPr>
              <w:t>-</w:t>
            </w:r>
          </w:p>
        </w:tc>
        <w:tc>
          <w:tcPr>
            <w:tcW w:w="1291" w:type="dxa"/>
            <w:vAlign w:val="center"/>
          </w:tcPr>
          <w:p w:rsidR="0037580C" w:rsidRDefault="00926AAD">
            <w:pPr>
              <w:jc w:val="right"/>
            </w:pPr>
            <w:r>
              <w:rPr>
                <w:rFonts w:eastAsiaTheme="minorEastAsia"/>
                <w:color w:val="000000" w:themeColor="text1"/>
                <w:szCs w:val="21"/>
              </w:rPr>
              <w:t>-</w:t>
            </w:r>
          </w:p>
        </w:tc>
        <w:tc>
          <w:tcPr>
            <w:tcW w:w="1291" w:type="dxa"/>
            <w:vAlign w:val="center"/>
          </w:tcPr>
          <w:p w:rsidR="0037580C" w:rsidRDefault="00926AAD">
            <w:pPr>
              <w:jc w:val="right"/>
            </w:pPr>
            <w:r>
              <w:rPr>
                <w:rFonts w:eastAsiaTheme="minorEastAsia"/>
                <w:color w:val="000000" w:themeColor="text1"/>
                <w:szCs w:val="21"/>
              </w:rPr>
              <w:t>-</w:t>
            </w:r>
          </w:p>
        </w:tc>
        <w:tc>
          <w:tcPr>
            <w:tcW w:w="1291" w:type="dxa"/>
            <w:vAlign w:val="center"/>
          </w:tcPr>
          <w:p w:rsidR="0037580C" w:rsidRDefault="00926AAD">
            <w:pPr>
              <w:jc w:val="right"/>
            </w:pPr>
            <w:r>
              <w:rPr>
                <w:rFonts w:eastAsiaTheme="minorEastAsia"/>
                <w:color w:val="000000" w:themeColor="text1"/>
                <w:szCs w:val="21"/>
              </w:rPr>
              <w:t>-</w:t>
            </w:r>
          </w:p>
        </w:tc>
        <w:tc>
          <w:tcPr>
            <w:tcW w:w="1291" w:type="dxa"/>
            <w:vAlign w:val="center"/>
          </w:tcPr>
          <w:p w:rsidR="0037580C" w:rsidRDefault="00926AAD">
            <w:pPr>
              <w:jc w:val="right"/>
            </w:pPr>
            <w:r>
              <w:rPr>
                <w:rFonts w:eastAsiaTheme="minorEastAsia"/>
                <w:color w:val="000000" w:themeColor="text1"/>
                <w:szCs w:val="21"/>
              </w:rPr>
              <w:t>-</w:t>
            </w:r>
          </w:p>
        </w:tc>
      </w:tr>
      <w:tr w:rsidR="0037580C">
        <w:tc>
          <w:tcPr>
            <w:tcW w:w="1290" w:type="dxa"/>
            <w:vAlign w:val="center"/>
          </w:tcPr>
          <w:p w:rsidR="0037580C" w:rsidRDefault="00926AAD">
            <w:pPr>
              <w:jc w:val="left"/>
            </w:pPr>
            <w:r>
              <w:rPr>
                <w:rFonts w:eastAsiaTheme="minorEastAsia"/>
                <w:color w:val="000000" w:themeColor="text1"/>
                <w:szCs w:val="21"/>
              </w:rPr>
              <w:t>过去五年</w:t>
            </w:r>
          </w:p>
        </w:tc>
        <w:tc>
          <w:tcPr>
            <w:tcW w:w="1291" w:type="dxa"/>
            <w:vAlign w:val="center"/>
          </w:tcPr>
          <w:p w:rsidR="0037580C" w:rsidRDefault="00926AAD">
            <w:pPr>
              <w:jc w:val="right"/>
            </w:pPr>
            <w:r>
              <w:rPr>
                <w:rFonts w:eastAsiaTheme="minorEastAsia"/>
                <w:color w:val="000000" w:themeColor="text1"/>
                <w:szCs w:val="21"/>
              </w:rPr>
              <w:t>-</w:t>
            </w:r>
          </w:p>
        </w:tc>
        <w:tc>
          <w:tcPr>
            <w:tcW w:w="1291" w:type="dxa"/>
            <w:vAlign w:val="center"/>
          </w:tcPr>
          <w:p w:rsidR="0037580C" w:rsidRDefault="00926AAD">
            <w:pPr>
              <w:jc w:val="right"/>
            </w:pPr>
            <w:r>
              <w:rPr>
                <w:rFonts w:eastAsiaTheme="minorEastAsia"/>
                <w:color w:val="000000" w:themeColor="text1"/>
                <w:szCs w:val="21"/>
              </w:rPr>
              <w:t>-</w:t>
            </w:r>
          </w:p>
        </w:tc>
        <w:tc>
          <w:tcPr>
            <w:tcW w:w="1291" w:type="dxa"/>
            <w:vAlign w:val="center"/>
          </w:tcPr>
          <w:p w:rsidR="0037580C" w:rsidRDefault="00926AAD">
            <w:pPr>
              <w:jc w:val="right"/>
            </w:pPr>
            <w:r>
              <w:rPr>
                <w:rFonts w:eastAsiaTheme="minorEastAsia"/>
                <w:color w:val="000000" w:themeColor="text1"/>
                <w:szCs w:val="21"/>
              </w:rPr>
              <w:t>-</w:t>
            </w:r>
          </w:p>
        </w:tc>
        <w:tc>
          <w:tcPr>
            <w:tcW w:w="1291" w:type="dxa"/>
            <w:vAlign w:val="center"/>
          </w:tcPr>
          <w:p w:rsidR="0037580C" w:rsidRDefault="00926AAD">
            <w:pPr>
              <w:jc w:val="right"/>
            </w:pPr>
            <w:r>
              <w:rPr>
                <w:rFonts w:eastAsiaTheme="minorEastAsia"/>
                <w:color w:val="000000" w:themeColor="text1"/>
                <w:szCs w:val="21"/>
              </w:rPr>
              <w:t>-</w:t>
            </w:r>
          </w:p>
        </w:tc>
        <w:tc>
          <w:tcPr>
            <w:tcW w:w="1291" w:type="dxa"/>
            <w:vAlign w:val="center"/>
          </w:tcPr>
          <w:p w:rsidR="0037580C" w:rsidRDefault="00926AAD">
            <w:pPr>
              <w:jc w:val="right"/>
            </w:pPr>
            <w:r>
              <w:rPr>
                <w:rFonts w:eastAsiaTheme="minorEastAsia"/>
                <w:color w:val="000000" w:themeColor="text1"/>
                <w:szCs w:val="21"/>
              </w:rPr>
              <w:t>-</w:t>
            </w:r>
          </w:p>
        </w:tc>
        <w:tc>
          <w:tcPr>
            <w:tcW w:w="1291" w:type="dxa"/>
            <w:vAlign w:val="center"/>
          </w:tcPr>
          <w:p w:rsidR="0037580C" w:rsidRDefault="00926AAD">
            <w:pPr>
              <w:jc w:val="right"/>
            </w:pPr>
            <w:r>
              <w:rPr>
                <w:rFonts w:eastAsiaTheme="minorEastAsia"/>
                <w:color w:val="000000" w:themeColor="text1"/>
                <w:szCs w:val="21"/>
              </w:rPr>
              <w:t>-</w:t>
            </w:r>
          </w:p>
        </w:tc>
      </w:tr>
      <w:tr w:rsidR="0037580C">
        <w:tc>
          <w:tcPr>
            <w:tcW w:w="1290" w:type="dxa"/>
            <w:vAlign w:val="center"/>
          </w:tcPr>
          <w:p w:rsidR="0037580C" w:rsidRDefault="00926AAD">
            <w:pPr>
              <w:jc w:val="left"/>
            </w:pPr>
            <w:r>
              <w:rPr>
                <w:rFonts w:eastAsiaTheme="minorEastAsia"/>
                <w:color w:val="000000" w:themeColor="text1"/>
                <w:szCs w:val="21"/>
              </w:rPr>
              <w:t>自基金合同生效起至今</w:t>
            </w:r>
          </w:p>
        </w:tc>
        <w:tc>
          <w:tcPr>
            <w:tcW w:w="1291" w:type="dxa"/>
            <w:vAlign w:val="center"/>
          </w:tcPr>
          <w:p w:rsidR="0037580C" w:rsidRDefault="00926AAD">
            <w:pPr>
              <w:jc w:val="right"/>
            </w:pPr>
            <w:r>
              <w:rPr>
                <w:rFonts w:eastAsiaTheme="minorEastAsia"/>
                <w:color w:val="000000" w:themeColor="text1"/>
                <w:szCs w:val="21"/>
              </w:rPr>
              <w:t>-5.97%</w:t>
            </w:r>
          </w:p>
        </w:tc>
        <w:tc>
          <w:tcPr>
            <w:tcW w:w="1291" w:type="dxa"/>
            <w:vAlign w:val="center"/>
          </w:tcPr>
          <w:p w:rsidR="0037580C" w:rsidRDefault="00926AAD">
            <w:pPr>
              <w:jc w:val="right"/>
            </w:pPr>
            <w:r>
              <w:rPr>
                <w:rFonts w:eastAsiaTheme="minorEastAsia"/>
                <w:color w:val="000000" w:themeColor="text1"/>
                <w:szCs w:val="21"/>
              </w:rPr>
              <w:t>1.09%</w:t>
            </w:r>
          </w:p>
        </w:tc>
        <w:tc>
          <w:tcPr>
            <w:tcW w:w="1291" w:type="dxa"/>
            <w:vAlign w:val="center"/>
          </w:tcPr>
          <w:p w:rsidR="0037580C" w:rsidRDefault="00926AAD">
            <w:pPr>
              <w:jc w:val="right"/>
            </w:pPr>
            <w:r>
              <w:rPr>
                <w:rFonts w:eastAsiaTheme="minorEastAsia"/>
                <w:color w:val="000000" w:themeColor="text1"/>
                <w:szCs w:val="21"/>
              </w:rPr>
              <w:t>-12.37%</w:t>
            </w:r>
          </w:p>
        </w:tc>
        <w:tc>
          <w:tcPr>
            <w:tcW w:w="1291" w:type="dxa"/>
            <w:vAlign w:val="center"/>
          </w:tcPr>
          <w:p w:rsidR="0037580C" w:rsidRDefault="00926AAD">
            <w:pPr>
              <w:jc w:val="right"/>
            </w:pPr>
            <w:r>
              <w:rPr>
                <w:rFonts w:eastAsiaTheme="minorEastAsia"/>
                <w:color w:val="000000" w:themeColor="text1"/>
                <w:szCs w:val="21"/>
              </w:rPr>
              <w:t>1.15%</w:t>
            </w:r>
          </w:p>
        </w:tc>
        <w:tc>
          <w:tcPr>
            <w:tcW w:w="1291" w:type="dxa"/>
            <w:vAlign w:val="center"/>
          </w:tcPr>
          <w:p w:rsidR="0037580C" w:rsidRDefault="00926AAD">
            <w:pPr>
              <w:jc w:val="right"/>
            </w:pPr>
            <w:r>
              <w:rPr>
                <w:rFonts w:eastAsiaTheme="minorEastAsia"/>
                <w:color w:val="000000" w:themeColor="text1"/>
                <w:szCs w:val="21"/>
              </w:rPr>
              <w:t>6.40%</w:t>
            </w:r>
          </w:p>
        </w:tc>
        <w:tc>
          <w:tcPr>
            <w:tcW w:w="1291" w:type="dxa"/>
            <w:vAlign w:val="center"/>
          </w:tcPr>
          <w:p w:rsidR="0037580C" w:rsidRDefault="00926AAD">
            <w:pPr>
              <w:jc w:val="right"/>
            </w:pPr>
            <w:r>
              <w:rPr>
                <w:rFonts w:eastAsiaTheme="minorEastAsia"/>
                <w:color w:val="000000" w:themeColor="text1"/>
                <w:szCs w:val="21"/>
              </w:rPr>
              <w:t>-0.06%</w:t>
            </w:r>
          </w:p>
        </w:tc>
      </w:tr>
    </w:tbl>
    <w:p w:rsidR="00DB3887" w:rsidRPr="00D97CD7" w:rsidRDefault="00FC6961">
      <w:pPr>
        <w:spacing w:beforeLines="100" w:before="312" w:line="360" w:lineRule="auto"/>
        <w:rPr>
          <w:rFonts w:eastAsiaTheme="minorEastAsia"/>
          <w:b/>
          <w:color w:val="000000" w:themeColor="text1"/>
          <w:kern w:val="0"/>
          <w:szCs w:val="21"/>
        </w:rPr>
      </w:pPr>
      <w:r w:rsidRPr="00D97CD7">
        <w:rPr>
          <w:rFonts w:eastAsiaTheme="minorEastAsia"/>
          <w:b/>
          <w:color w:val="000000" w:themeColor="text1"/>
          <w:kern w:val="0"/>
          <w:szCs w:val="21"/>
        </w:rPr>
        <w:lastRenderedPageBreak/>
        <w:t>3.2.2</w:t>
      </w:r>
      <w:r w:rsidRPr="00D97CD7">
        <w:rPr>
          <w:rFonts w:eastAsiaTheme="minorEastAsia"/>
          <w:b/>
          <w:color w:val="000000" w:themeColor="text1"/>
          <w:kern w:val="0"/>
          <w:szCs w:val="21"/>
        </w:rPr>
        <w:t xml:space="preserve">　</w:t>
      </w:r>
      <w:r w:rsidRPr="00D97CD7">
        <w:rPr>
          <w:rStyle w:val="af5"/>
          <w:rFonts w:eastAsiaTheme="minorEastAsia"/>
          <w:color w:val="000000" w:themeColor="text1"/>
          <w:szCs w:val="21"/>
          <w:shd w:val="clear" w:color="auto" w:fill="FFFFFF"/>
        </w:rPr>
        <w:t>自基金合同生效以来</w:t>
      </w:r>
      <w:r w:rsidRPr="00D97CD7">
        <w:rPr>
          <w:rFonts w:eastAsiaTheme="minorEastAsia"/>
          <w:b/>
          <w:color w:val="000000" w:themeColor="text1"/>
          <w:szCs w:val="21"/>
        </w:rPr>
        <w:t>基金累计净值增长率变动及其与同期业绩比较基准收益率变动的比较</w:t>
      </w:r>
    </w:p>
    <w:p w:rsidR="00DB3887" w:rsidRPr="00D97CD7" w:rsidRDefault="00FC6961">
      <w:pPr>
        <w:spacing w:line="360" w:lineRule="auto"/>
        <w:jc w:val="center"/>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股交易型开放式指数证券投资基金联接基金</w:t>
      </w:r>
    </w:p>
    <w:p w:rsidR="00DB3887" w:rsidRPr="00D97CD7" w:rsidRDefault="00FC6961">
      <w:pPr>
        <w:pStyle w:val="a9"/>
        <w:snapToGrid w:val="0"/>
        <w:spacing w:line="360" w:lineRule="auto"/>
        <w:jc w:val="center"/>
        <w:rPr>
          <w:rFonts w:ascii="Times New Roman" w:eastAsiaTheme="minorEastAsia" w:hAnsi="Times New Roman"/>
          <w:color w:val="000000" w:themeColor="text1"/>
        </w:rPr>
      </w:pPr>
      <w:r w:rsidRPr="00D97CD7">
        <w:rPr>
          <w:rFonts w:ascii="Times New Roman" w:eastAsiaTheme="minorEastAsia" w:hAnsi="Times New Roman"/>
          <w:color w:val="000000" w:themeColor="text1"/>
        </w:rPr>
        <w:t>累计净值增长率与业绩比较基准收益率的历史走势对比图</w:t>
      </w:r>
    </w:p>
    <w:p w:rsidR="00DB3887" w:rsidRPr="00D97CD7" w:rsidRDefault="00FC6961">
      <w:pPr>
        <w:pStyle w:val="a9"/>
        <w:snapToGrid w:val="0"/>
        <w:spacing w:line="360" w:lineRule="auto"/>
        <w:ind w:firstLine="480"/>
        <w:jc w:val="center"/>
        <w:rPr>
          <w:rFonts w:ascii="Times New Roman" w:eastAsiaTheme="minorEastAsia" w:hAnsi="Times New Roman"/>
          <w:color w:val="000000" w:themeColor="text1"/>
        </w:rPr>
      </w:pPr>
      <w:r w:rsidRPr="00D97CD7">
        <w:rPr>
          <w:rFonts w:ascii="Times New Roman" w:eastAsiaTheme="minorEastAsia" w:hAnsi="Times New Roman"/>
          <w:color w:val="000000" w:themeColor="text1"/>
        </w:rPr>
        <w:t>(2020</w:t>
      </w:r>
      <w:r w:rsidRPr="00D97CD7">
        <w:rPr>
          <w:rFonts w:ascii="Times New Roman" w:eastAsiaTheme="minorEastAsia" w:hAnsi="Times New Roman"/>
          <w:color w:val="000000" w:themeColor="text1"/>
        </w:rPr>
        <w:t>年</w:t>
      </w:r>
      <w:r w:rsidRPr="00D97CD7">
        <w:rPr>
          <w:rFonts w:ascii="Times New Roman" w:eastAsiaTheme="minorEastAsia" w:hAnsi="Times New Roman"/>
          <w:color w:val="000000" w:themeColor="text1"/>
        </w:rPr>
        <w:t>7</w:t>
      </w:r>
      <w:r w:rsidRPr="00D97CD7">
        <w:rPr>
          <w:rFonts w:ascii="Times New Roman" w:eastAsiaTheme="minorEastAsia" w:hAnsi="Times New Roman"/>
          <w:color w:val="000000" w:themeColor="text1"/>
        </w:rPr>
        <w:t>月</w:t>
      </w:r>
      <w:r w:rsidRPr="00D97CD7">
        <w:rPr>
          <w:rFonts w:ascii="Times New Roman" w:eastAsiaTheme="minorEastAsia" w:hAnsi="Times New Roman"/>
          <w:color w:val="000000" w:themeColor="text1"/>
        </w:rPr>
        <w:t>22</w:t>
      </w:r>
      <w:r w:rsidRPr="00D97CD7">
        <w:rPr>
          <w:rFonts w:ascii="Times New Roman" w:eastAsiaTheme="minorEastAsia" w:hAnsi="Times New Roman"/>
          <w:color w:val="000000" w:themeColor="text1"/>
        </w:rPr>
        <w:t>日至</w:t>
      </w:r>
      <w:r w:rsidRPr="00D97CD7">
        <w:rPr>
          <w:rFonts w:ascii="Times New Roman" w:eastAsiaTheme="minorEastAsia" w:hAnsi="Times New Roman"/>
          <w:color w:val="000000" w:themeColor="text1"/>
        </w:rPr>
        <w:t>2022</w:t>
      </w:r>
      <w:r w:rsidRPr="00D97CD7">
        <w:rPr>
          <w:rFonts w:ascii="Times New Roman" w:eastAsiaTheme="minorEastAsia" w:hAnsi="Times New Roman"/>
          <w:color w:val="000000" w:themeColor="text1"/>
        </w:rPr>
        <w:t>年</w:t>
      </w:r>
      <w:r w:rsidRPr="00D97CD7">
        <w:rPr>
          <w:rFonts w:ascii="Times New Roman" w:eastAsiaTheme="minorEastAsia" w:hAnsi="Times New Roman"/>
          <w:color w:val="000000" w:themeColor="text1"/>
        </w:rPr>
        <w:t>12</w:t>
      </w:r>
      <w:r w:rsidRPr="00D97CD7">
        <w:rPr>
          <w:rFonts w:ascii="Times New Roman" w:eastAsiaTheme="minorEastAsia" w:hAnsi="Times New Roman"/>
          <w:color w:val="000000" w:themeColor="text1"/>
        </w:rPr>
        <w:t>月</w:t>
      </w:r>
      <w:r w:rsidRPr="00D97CD7">
        <w:rPr>
          <w:rFonts w:ascii="Times New Roman" w:eastAsiaTheme="minorEastAsia" w:hAnsi="Times New Roman"/>
          <w:color w:val="000000" w:themeColor="text1"/>
        </w:rPr>
        <w:t>31</w:t>
      </w:r>
      <w:r w:rsidRPr="00D97CD7">
        <w:rPr>
          <w:rFonts w:ascii="Times New Roman" w:eastAsiaTheme="minorEastAsia" w:hAnsi="Times New Roman"/>
          <w:color w:val="000000" w:themeColor="text1"/>
        </w:rPr>
        <w:t>日</w:t>
      </w:r>
      <w:r w:rsidRPr="00D97CD7">
        <w:rPr>
          <w:rFonts w:ascii="Times New Roman" w:eastAsiaTheme="minorEastAsia" w:hAnsi="Times New Roman"/>
          <w:color w:val="000000" w:themeColor="text1"/>
        </w:rPr>
        <w:t>)</w:t>
      </w:r>
    </w:p>
    <w:p w:rsidR="00DB3887" w:rsidRPr="00D97CD7" w:rsidRDefault="00FC6961">
      <w:pPr>
        <w:snapToGrid w:val="0"/>
        <w:spacing w:line="360" w:lineRule="auto"/>
        <w:rPr>
          <w:rFonts w:eastAsiaTheme="minorEastAsia"/>
          <w:color w:val="000000" w:themeColor="text1"/>
          <w:szCs w:val="21"/>
        </w:rPr>
      </w:pPr>
      <w:r w:rsidRPr="00D97CD7">
        <w:rPr>
          <w:rFonts w:eastAsiaTheme="minorEastAsia"/>
          <w:color w:val="000000" w:themeColor="text1"/>
          <w:szCs w:val="21"/>
        </w:rPr>
        <w:t>1</w:t>
      </w: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A</w:t>
      </w:r>
      <w:r w:rsidRPr="00D97CD7">
        <w:rPr>
          <w:rFonts w:eastAsiaTheme="minorEastAsia"/>
          <w:color w:val="000000" w:themeColor="text1"/>
          <w:szCs w:val="21"/>
        </w:rPr>
        <w:t>：</w:t>
      </w:r>
    </w:p>
    <w:p w:rsidR="00DB3887" w:rsidRPr="00D97CD7" w:rsidRDefault="00FC6961">
      <w:pPr>
        <w:pStyle w:val="20"/>
        <w:spacing w:line="288" w:lineRule="auto"/>
        <w:ind w:firstLineChars="0" w:firstLine="0"/>
        <w:jc w:val="center"/>
        <w:rPr>
          <w:rFonts w:ascii="Times New Roman" w:eastAsiaTheme="minorEastAsia" w:hAnsi="Times New Roman"/>
          <w:color w:val="000000" w:themeColor="text1"/>
          <w:sz w:val="21"/>
          <w:szCs w:val="21"/>
        </w:rPr>
      </w:pPr>
      <w:r w:rsidRPr="00D97CD7">
        <w:rPr>
          <w:rFonts w:ascii="Times New Roman" w:eastAsiaTheme="minorEastAsia" w:hAnsi="Times New Roman"/>
          <w:noProof/>
          <w:color w:val="000000" w:themeColor="text1"/>
          <w:sz w:val="21"/>
          <w:szCs w:val="21"/>
        </w:rPr>
        <w:drawing>
          <wp:inline distT="0" distB="0" distL="0" distR="0" wp14:anchorId="6740E604" wp14:editId="3FC51B11">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7580C" w:rsidRDefault="00926AA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本基金建仓期为本基金合同生效日起</w:t>
      </w:r>
      <w:r w:rsidRPr="00D97CD7">
        <w:rPr>
          <w:rFonts w:eastAsiaTheme="minorEastAsia"/>
          <w:color w:val="000000" w:themeColor="text1"/>
          <w:szCs w:val="21"/>
        </w:rPr>
        <w:t xml:space="preserve"> 6 </w:t>
      </w:r>
      <w:r w:rsidRPr="00D97CD7">
        <w:rPr>
          <w:rFonts w:eastAsiaTheme="minorEastAsia"/>
          <w:color w:val="000000" w:themeColor="text1"/>
          <w:szCs w:val="21"/>
        </w:rPr>
        <w:t>个月，建仓期结束时资产配置比例符合本基金基金合同规定。</w:t>
      </w:r>
    </w:p>
    <w:p w:rsidR="00DB3887" w:rsidRPr="00D97CD7" w:rsidRDefault="00FC6961">
      <w:pPr>
        <w:snapToGrid w:val="0"/>
        <w:spacing w:beforeLines="100" w:before="312" w:line="360" w:lineRule="auto"/>
        <w:rPr>
          <w:rFonts w:eastAsiaTheme="minorEastAsia"/>
          <w:color w:val="000000" w:themeColor="text1"/>
          <w:szCs w:val="21"/>
        </w:rPr>
      </w:pPr>
      <w:r w:rsidRPr="00D97CD7">
        <w:rPr>
          <w:rFonts w:eastAsiaTheme="minorEastAsia"/>
          <w:color w:val="000000" w:themeColor="text1"/>
          <w:szCs w:val="21"/>
        </w:rPr>
        <w:t>2</w:t>
      </w: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r w:rsidRPr="00D97CD7">
        <w:rPr>
          <w:rFonts w:eastAsiaTheme="minorEastAsia"/>
          <w:color w:val="000000" w:themeColor="text1"/>
          <w:szCs w:val="21"/>
        </w:rPr>
        <w:t>：</w:t>
      </w:r>
    </w:p>
    <w:p w:rsidR="00DB3887" w:rsidRPr="00D97CD7" w:rsidRDefault="00FC6961">
      <w:pPr>
        <w:pStyle w:val="20"/>
        <w:spacing w:line="288" w:lineRule="auto"/>
        <w:ind w:firstLineChars="0" w:firstLine="0"/>
        <w:jc w:val="center"/>
        <w:rPr>
          <w:rFonts w:ascii="Times New Roman" w:eastAsiaTheme="minorEastAsia" w:hAnsi="Times New Roman"/>
          <w:color w:val="000000" w:themeColor="text1"/>
          <w:sz w:val="21"/>
          <w:szCs w:val="21"/>
        </w:rPr>
      </w:pPr>
      <w:r w:rsidRPr="00D97CD7">
        <w:rPr>
          <w:rFonts w:ascii="Times New Roman" w:eastAsiaTheme="minorEastAsia" w:hAnsi="Times New Roman"/>
          <w:noProof/>
          <w:color w:val="000000" w:themeColor="text1"/>
          <w:sz w:val="21"/>
          <w:szCs w:val="21"/>
        </w:rPr>
        <w:lastRenderedPageBreak/>
        <w:drawing>
          <wp:inline distT="0" distB="0" distL="0" distR="0" wp14:anchorId="07AC3F6F" wp14:editId="760A3A25">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7580C" w:rsidRDefault="00926AA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本基金建仓期为本基金合同生效日起</w:t>
      </w:r>
      <w:r w:rsidRPr="00D97CD7">
        <w:rPr>
          <w:rFonts w:eastAsiaTheme="minorEastAsia"/>
          <w:color w:val="000000" w:themeColor="text1"/>
          <w:szCs w:val="21"/>
        </w:rPr>
        <w:t xml:space="preserve"> 6 </w:t>
      </w:r>
      <w:r w:rsidRPr="00D97CD7">
        <w:rPr>
          <w:rFonts w:eastAsiaTheme="minorEastAsia"/>
          <w:color w:val="000000" w:themeColor="text1"/>
          <w:szCs w:val="21"/>
        </w:rPr>
        <w:t>个月，建仓期结束时资产配置比例符合本基金基金合同规定。</w:t>
      </w:r>
    </w:p>
    <w:p w:rsidR="00DB3887" w:rsidRPr="00D97CD7" w:rsidRDefault="00DB3887">
      <w:pPr>
        <w:tabs>
          <w:tab w:val="left" w:pos="1800"/>
        </w:tabs>
        <w:spacing w:line="288" w:lineRule="auto"/>
        <w:rPr>
          <w:rFonts w:eastAsiaTheme="minorEastAsia"/>
          <w:color w:val="000000" w:themeColor="text1"/>
          <w:szCs w:val="21"/>
        </w:rPr>
      </w:pP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§4  </w:t>
      </w:r>
      <w:r w:rsidRPr="00D97CD7">
        <w:rPr>
          <w:rFonts w:eastAsiaTheme="minorEastAsia"/>
          <w:color w:val="000000" w:themeColor="text1"/>
          <w:kern w:val="0"/>
          <w:sz w:val="21"/>
          <w:szCs w:val="21"/>
        </w:rPr>
        <w:t>管理人报告</w:t>
      </w:r>
    </w:p>
    <w:p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4.1 </w:t>
      </w:r>
      <w:r w:rsidRPr="00D97CD7">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DB3887" w:rsidRPr="00D97CD7">
        <w:tc>
          <w:tcPr>
            <w:tcW w:w="952"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姓名</w:t>
            </w:r>
          </w:p>
        </w:tc>
        <w:tc>
          <w:tcPr>
            <w:tcW w:w="930"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职务</w:t>
            </w:r>
          </w:p>
        </w:tc>
        <w:tc>
          <w:tcPr>
            <w:tcW w:w="2519" w:type="dxa"/>
            <w:gridSpan w:val="2"/>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任本基金的基金经理期限</w:t>
            </w:r>
          </w:p>
        </w:tc>
        <w:tc>
          <w:tcPr>
            <w:tcW w:w="1254"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证券从业年限</w:t>
            </w:r>
          </w:p>
        </w:tc>
        <w:tc>
          <w:tcPr>
            <w:tcW w:w="3276"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说明</w:t>
            </w:r>
          </w:p>
        </w:tc>
      </w:tr>
      <w:tr w:rsidR="00DB3887" w:rsidRPr="00D97CD7">
        <w:tc>
          <w:tcPr>
            <w:tcW w:w="952" w:type="dxa"/>
            <w:vMerge/>
            <w:vAlign w:val="center"/>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任职日期</w:t>
            </w:r>
          </w:p>
        </w:tc>
        <w:tc>
          <w:tcPr>
            <w:tcW w:w="1309" w:type="dxa"/>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离任日期</w:t>
            </w:r>
          </w:p>
        </w:tc>
        <w:tc>
          <w:tcPr>
            <w:tcW w:w="1254" w:type="dxa"/>
            <w:vMerge/>
            <w:vAlign w:val="center"/>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r>
      <w:tr w:rsidR="0037580C">
        <w:tc>
          <w:tcPr>
            <w:tcW w:w="952" w:type="dxa"/>
            <w:vAlign w:val="center"/>
          </w:tcPr>
          <w:p w:rsidR="0037580C" w:rsidRDefault="00926AAD">
            <w:pPr>
              <w:jc w:val="center"/>
            </w:pPr>
            <w:r>
              <w:rPr>
                <w:rFonts w:eastAsiaTheme="minorEastAsia"/>
                <w:color w:val="000000" w:themeColor="text1"/>
                <w:szCs w:val="21"/>
              </w:rPr>
              <w:t>胡迪</w:t>
            </w:r>
          </w:p>
        </w:tc>
        <w:tc>
          <w:tcPr>
            <w:tcW w:w="930" w:type="dxa"/>
            <w:vAlign w:val="center"/>
          </w:tcPr>
          <w:p w:rsidR="0037580C" w:rsidRDefault="00926AAD">
            <w:pPr>
              <w:jc w:val="center"/>
            </w:pPr>
            <w:r>
              <w:rPr>
                <w:rFonts w:eastAsiaTheme="minorEastAsia"/>
                <w:color w:val="000000" w:themeColor="text1"/>
                <w:szCs w:val="21"/>
              </w:rPr>
              <w:t>本基金基金经理、指数及量化投资部总监</w:t>
            </w:r>
          </w:p>
        </w:tc>
        <w:tc>
          <w:tcPr>
            <w:tcW w:w="1210" w:type="dxa"/>
            <w:vAlign w:val="center"/>
          </w:tcPr>
          <w:p w:rsidR="0037580C" w:rsidRDefault="00926AAD">
            <w:pPr>
              <w:jc w:val="center"/>
            </w:pPr>
            <w:r>
              <w:rPr>
                <w:rFonts w:eastAsiaTheme="minorEastAsia"/>
                <w:color w:val="000000" w:themeColor="text1"/>
                <w:szCs w:val="21"/>
              </w:rPr>
              <w:t>2021-01-07</w:t>
            </w:r>
          </w:p>
        </w:tc>
        <w:tc>
          <w:tcPr>
            <w:tcW w:w="1309" w:type="dxa"/>
            <w:vAlign w:val="center"/>
          </w:tcPr>
          <w:p w:rsidR="0037580C" w:rsidRDefault="00926AAD">
            <w:pPr>
              <w:jc w:val="center"/>
            </w:pPr>
            <w:r>
              <w:rPr>
                <w:rFonts w:eastAsiaTheme="minorEastAsia"/>
                <w:color w:val="000000" w:themeColor="text1"/>
                <w:szCs w:val="21"/>
              </w:rPr>
              <w:t>-</w:t>
            </w:r>
          </w:p>
        </w:tc>
        <w:tc>
          <w:tcPr>
            <w:tcW w:w="1254" w:type="dxa"/>
            <w:vAlign w:val="center"/>
          </w:tcPr>
          <w:p w:rsidR="0037580C" w:rsidRDefault="00926AAD">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37580C" w:rsidRDefault="00926AAD">
            <w:r>
              <w:rPr>
                <w:rFonts w:eastAsiaTheme="minorEastAsia"/>
                <w:color w:val="000000" w:themeColor="text1"/>
                <w:szCs w:val="21"/>
              </w:rPr>
              <w:t>胡迪女士，</w:t>
            </w:r>
            <w:r>
              <w:rPr>
                <w:rFonts w:eastAsiaTheme="minorEastAsia"/>
                <w:color w:val="000000" w:themeColor="text1"/>
                <w:szCs w:val="21"/>
              </w:rPr>
              <w:t>CFA</w:t>
            </w:r>
            <w:r>
              <w:rPr>
                <w:rFonts w:eastAsiaTheme="minorEastAsia"/>
                <w:color w:val="000000" w:themeColor="text1"/>
                <w:szCs w:val="21"/>
              </w:rPr>
              <w:t>，</w:t>
            </w:r>
            <w:r>
              <w:rPr>
                <w:rFonts w:eastAsiaTheme="minorEastAsia"/>
                <w:color w:val="000000" w:themeColor="text1"/>
                <w:szCs w:val="21"/>
              </w:rPr>
              <w:t>FRM</w:t>
            </w:r>
            <w:r>
              <w:rPr>
                <w:rFonts w:eastAsiaTheme="minorEastAsia"/>
                <w:color w:val="000000" w:themeColor="text1"/>
                <w:szCs w:val="21"/>
              </w:rPr>
              <w:t>，美国哥伦比亚大学金融工程硕士，现任指数及量化投资部总监。胡迪女士自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月在纽约美林证券担任全球资产管理部高级经理；自</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月在纽约标准普尔担任量化投资主管；自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月在中国国际金融股份有限公司担任资产管理部执行总经理；自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月加入上投摩根基金管理有限公司，现任指数及量化投资部总监。自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w:t>
            </w:r>
            <w:r>
              <w:rPr>
                <w:rFonts w:eastAsiaTheme="minorEastAsia"/>
                <w:color w:val="000000" w:themeColor="text1"/>
                <w:szCs w:val="21"/>
              </w:rPr>
              <w:lastRenderedPageBreak/>
              <w:t>担任上投摩根量化多因子灵活配置混合型证券投资基金、上投摩根动态多因子策略灵活配置混合型证券投资基金、</w:t>
            </w: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股交易型开放式指数证券投资基金联接基金、上投摩根标普港股通低波红利指数型证券投资基金基金经理，自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月同时担任上投摩根优选多因子股票型证券投资基金基金经理，自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月同时担任上投摩根中证消费服务领先指数证券投资基金基金经理，自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交易型开放式指数证券投资基金基金经理，自</w:t>
            </w:r>
            <w:r>
              <w:rPr>
                <w:rFonts w:eastAsiaTheme="minorEastAsia"/>
                <w:color w:val="000000" w:themeColor="text1"/>
                <w:szCs w:val="21"/>
              </w:rPr>
              <w:t>202</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月起同时担任上投摩根恒生科技交易型开放式指数证券投资基金（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月起同时担任上投摩根中证创新药产业交易型开放式指数证券投资基金基金经理。</w:t>
            </w:r>
          </w:p>
        </w:tc>
      </w:tr>
      <w:tr w:rsidR="0037580C">
        <w:tc>
          <w:tcPr>
            <w:tcW w:w="952" w:type="dxa"/>
            <w:vAlign w:val="center"/>
          </w:tcPr>
          <w:p w:rsidR="0037580C" w:rsidRDefault="00926AAD">
            <w:pPr>
              <w:jc w:val="center"/>
            </w:pPr>
            <w:r>
              <w:rPr>
                <w:rFonts w:eastAsiaTheme="minorEastAsia"/>
                <w:color w:val="000000" w:themeColor="text1"/>
                <w:szCs w:val="21"/>
              </w:rPr>
              <w:lastRenderedPageBreak/>
              <w:t>何智豪</w:t>
            </w:r>
          </w:p>
        </w:tc>
        <w:tc>
          <w:tcPr>
            <w:tcW w:w="930" w:type="dxa"/>
            <w:vAlign w:val="center"/>
          </w:tcPr>
          <w:p w:rsidR="0037580C" w:rsidRDefault="00926AAD">
            <w:pPr>
              <w:jc w:val="center"/>
            </w:pPr>
            <w:r>
              <w:rPr>
                <w:rFonts w:eastAsiaTheme="minorEastAsia"/>
                <w:color w:val="000000" w:themeColor="text1"/>
                <w:szCs w:val="21"/>
              </w:rPr>
              <w:t>本基金基金经理</w:t>
            </w:r>
          </w:p>
        </w:tc>
        <w:tc>
          <w:tcPr>
            <w:tcW w:w="1210" w:type="dxa"/>
            <w:vAlign w:val="center"/>
          </w:tcPr>
          <w:p w:rsidR="0037580C" w:rsidRDefault="00926AAD">
            <w:pPr>
              <w:jc w:val="center"/>
            </w:pPr>
            <w:r>
              <w:rPr>
                <w:rFonts w:eastAsiaTheme="minorEastAsia"/>
                <w:color w:val="000000" w:themeColor="text1"/>
                <w:szCs w:val="21"/>
              </w:rPr>
              <w:t>2021-02-19</w:t>
            </w:r>
          </w:p>
        </w:tc>
        <w:tc>
          <w:tcPr>
            <w:tcW w:w="1309" w:type="dxa"/>
            <w:vAlign w:val="center"/>
          </w:tcPr>
          <w:p w:rsidR="0037580C" w:rsidRDefault="00926AAD">
            <w:pPr>
              <w:jc w:val="center"/>
            </w:pPr>
            <w:r>
              <w:rPr>
                <w:rFonts w:eastAsiaTheme="minorEastAsia"/>
                <w:color w:val="000000" w:themeColor="text1"/>
                <w:szCs w:val="21"/>
              </w:rPr>
              <w:t>-</w:t>
            </w:r>
          </w:p>
        </w:tc>
        <w:tc>
          <w:tcPr>
            <w:tcW w:w="1254" w:type="dxa"/>
            <w:vAlign w:val="center"/>
          </w:tcPr>
          <w:p w:rsidR="0037580C" w:rsidRDefault="00926AAD">
            <w:pPr>
              <w:jc w:val="center"/>
            </w:pPr>
            <w:r>
              <w:rPr>
                <w:rFonts w:eastAsiaTheme="minorEastAsia"/>
                <w:color w:val="000000" w:themeColor="text1"/>
                <w:szCs w:val="21"/>
              </w:rPr>
              <w:t>8</w:t>
            </w:r>
            <w:r>
              <w:rPr>
                <w:rFonts w:eastAsiaTheme="minorEastAsia"/>
                <w:color w:val="000000" w:themeColor="text1"/>
                <w:szCs w:val="21"/>
              </w:rPr>
              <w:t>年</w:t>
            </w:r>
          </w:p>
        </w:tc>
        <w:tc>
          <w:tcPr>
            <w:tcW w:w="3276" w:type="dxa"/>
            <w:vAlign w:val="center"/>
          </w:tcPr>
          <w:p w:rsidR="0037580C" w:rsidRDefault="00926AAD">
            <w:r>
              <w:rPr>
                <w:rFonts w:eastAsiaTheme="minorEastAsia"/>
                <w:color w:val="000000" w:themeColor="text1"/>
                <w:szCs w:val="21"/>
              </w:rPr>
              <w:t>何智豪先生，复旦大学应用数学硕士，现任指数及量化投资部基金经理。何智豪先生自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月，在中国国际金融股份有限公司担任组合与量化策略研究员、资产管理部高级经理；自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月起加入上投摩根基金管理有限公司。自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月起同时担任上投摩根量化多因子灵活配置混合型证券投资基金、上投摩根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股交易型开放式指数证券投资基金联接基金、上投摩根标普港股通低波红利指数型证券投资基金基金经理，自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月同时担任上</w:t>
            </w:r>
            <w:r>
              <w:rPr>
                <w:rFonts w:eastAsiaTheme="minorEastAsia"/>
                <w:color w:val="000000" w:themeColor="text1"/>
                <w:szCs w:val="21"/>
              </w:rPr>
              <w:t>投摩根优选多因子股票型证券投资基</w:t>
            </w:r>
            <w:r>
              <w:rPr>
                <w:rFonts w:eastAsiaTheme="minorEastAsia"/>
                <w:color w:val="000000" w:themeColor="text1"/>
                <w:szCs w:val="21"/>
              </w:rPr>
              <w:lastRenderedPageBreak/>
              <w:t>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月同时担任上投摩根中证消费服务领先指数证券投资基金基金经理，自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交易型开放式指数证券投资基金、上投摩根恒生科技交易型开放式指数证券投资基金（</w:t>
            </w:r>
            <w:r>
              <w:rPr>
                <w:rFonts w:eastAsiaTheme="minorEastAsia"/>
                <w:color w:val="000000" w:themeColor="text1"/>
                <w:szCs w:val="21"/>
              </w:rPr>
              <w:t>QDII</w:t>
            </w:r>
            <w:r>
              <w:rPr>
                <w:rFonts w:eastAsiaTheme="minorEastAsia"/>
                <w:color w:val="000000" w:themeColor="text1"/>
                <w:szCs w:val="21"/>
              </w:rPr>
              <w:t>）基金经理。</w:t>
            </w:r>
          </w:p>
        </w:tc>
      </w:tr>
    </w:tbl>
    <w:p w:rsidR="0037580C" w:rsidRDefault="00926AA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 xml:space="preserve">2. </w:t>
      </w:r>
      <w:r w:rsidRPr="00D97CD7">
        <w:rPr>
          <w:rFonts w:eastAsiaTheme="minorEastAsia"/>
          <w:color w:val="000000" w:themeColor="text1"/>
          <w:szCs w:val="21"/>
        </w:rPr>
        <w:t>证券从业的含义遵从行业协会《证券业从业人员资格管理办法》的相关规定。</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4.2</w:t>
      </w:r>
      <w:r w:rsidRPr="00D97CD7">
        <w:rPr>
          <w:rFonts w:eastAsiaTheme="minorEastAsia"/>
          <w:b/>
          <w:color w:val="000000" w:themeColor="text1"/>
          <w:kern w:val="0"/>
          <w:szCs w:val="21"/>
        </w:rPr>
        <w:t>管理人对报告期内本基金运作遵规守信情况的说明</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交易型开放式指数证券投资基金联接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4.3 </w:t>
      </w:r>
      <w:r w:rsidRPr="00D97CD7">
        <w:rPr>
          <w:rFonts w:eastAsiaTheme="minorEastAsia"/>
          <w:b/>
          <w:color w:val="000000" w:themeColor="text1"/>
          <w:kern w:val="0"/>
          <w:szCs w:val="21"/>
        </w:rPr>
        <w:t>公平交易专项说明</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 xml:space="preserve">4.3.1 </w:t>
      </w:r>
      <w:r w:rsidRPr="00D97CD7">
        <w:rPr>
          <w:rFonts w:eastAsiaTheme="minorEastAsia"/>
          <w:color w:val="000000" w:themeColor="text1"/>
          <w:szCs w:val="21"/>
        </w:rPr>
        <w:t>公平交易制度的执行情况</w:t>
      </w:r>
    </w:p>
    <w:p w:rsidR="0037580C" w:rsidRDefault="00926AA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37580C" w:rsidRDefault="00926AA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w:t>
      </w:r>
      <w:r>
        <w:rPr>
          <w:rFonts w:eastAsiaTheme="minorEastAsia"/>
          <w:color w:val="000000" w:themeColor="text1"/>
          <w:szCs w:val="21"/>
        </w:rPr>
        <w:t>；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报告期内，通过对不同投资组合之间的收益率差异比较、对同向交易和反向交易的交易时机</w:t>
      </w:r>
      <w:r w:rsidRPr="00D97CD7">
        <w:rPr>
          <w:rFonts w:eastAsiaTheme="minorEastAsia"/>
          <w:color w:val="000000" w:themeColor="text1"/>
          <w:szCs w:val="21"/>
        </w:rPr>
        <w:lastRenderedPageBreak/>
        <w:t>和交易价差监控分析，未发现整体公平交易执行出现异常的情况。</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 xml:space="preserve">4.3.2 </w:t>
      </w:r>
      <w:r w:rsidRPr="00D97CD7">
        <w:rPr>
          <w:rFonts w:eastAsiaTheme="minorEastAsia"/>
          <w:color w:val="000000" w:themeColor="text1"/>
          <w:szCs w:val="21"/>
        </w:rPr>
        <w:t>异常交易行为的专项说明</w:t>
      </w:r>
    </w:p>
    <w:p w:rsidR="0037580C" w:rsidRDefault="00926AA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所有投资组合参与的交易所公开竞价同日反向交易成交较少的单边交易量超过该证券当日成交量的</w:t>
      </w:r>
      <w:r w:rsidRPr="00D97CD7">
        <w:rPr>
          <w:rFonts w:eastAsiaTheme="minorEastAsia"/>
          <w:color w:val="000000" w:themeColor="text1"/>
          <w:szCs w:val="21"/>
        </w:rPr>
        <w:t>5%</w:t>
      </w:r>
      <w:r w:rsidRPr="00D97CD7">
        <w:rPr>
          <w:rFonts w:eastAsiaTheme="minorEastAsia"/>
          <w:color w:val="000000" w:themeColor="text1"/>
          <w:szCs w:val="21"/>
        </w:rPr>
        <w:t>的情形：无。</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4.4 </w:t>
      </w:r>
      <w:r w:rsidRPr="00D97CD7">
        <w:rPr>
          <w:rFonts w:eastAsiaTheme="minorEastAsia"/>
          <w:b/>
          <w:color w:val="000000" w:themeColor="text1"/>
          <w:kern w:val="0"/>
          <w:szCs w:val="21"/>
        </w:rPr>
        <w:t>报告期内基金的投资策略和业绩表现说明</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4.4.1</w:t>
      </w:r>
      <w:r w:rsidRPr="00D97CD7">
        <w:rPr>
          <w:rFonts w:eastAsiaTheme="minorEastAsia"/>
          <w:color w:val="000000" w:themeColor="text1"/>
          <w:szCs w:val="21"/>
        </w:rPr>
        <w:t>报告期内基金投资策略和运作分析</w:t>
      </w:r>
    </w:p>
    <w:p w:rsidR="0037580C" w:rsidRDefault="00926AAD">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四季度，本基金跟踪的</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股指数先抑后扬，当季上涨</w:t>
      </w:r>
      <w:r>
        <w:rPr>
          <w:rFonts w:eastAsiaTheme="minorEastAsia"/>
          <w:color w:val="000000" w:themeColor="text1"/>
          <w:szCs w:val="21"/>
        </w:rPr>
        <w:t>1.03%</w:t>
      </w:r>
      <w:r>
        <w:rPr>
          <w:rFonts w:eastAsiaTheme="minorEastAsia"/>
          <w:color w:val="000000" w:themeColor="text1"/>
          <w:szCs w:val="21"/>
        </w:rPr>
        <w:t>，同期沪深</w:t>
      </w:r>
      <w:r>
        <w:rPr>
          <w:rFonts w:eastAsiaTheme="minorEastAsia"/>
          <w:color w:val="000000" w:themeColor="text1"/>
          <w:szCs w:val="21"/>
        </w:rPr>
        <w:t>300</w:t>
      </w:r>
      <w:r>
        <w:rPr>
          <w:rFonts w:eastAsiaTheme="minorEastAsia"/>
          <w:color w:val="000000" w:themeColor="text1"/>
          <w:szCs w:val="21"/>
        </w:rPr>
        <w:t>指数上涨</w:t>
      </w:r>
      <w:r>
        <w:rPr>
          <w:rFonts w:eastAsiaTheme="minorEastAsia"/>
          <w:color w:val="000000" w:themeColor="text1"/>
          <w:szCs w:val="21"/>
        </w:rPr>
        <w:t>1.75%</w:t>
      </w:r>
      <w:r>
        <w:rPr>
          <w:rFonts w:eastAsiaTheme="minorEastAsia"/>
          <w:color w:val="000000" w:themeColor="text1"/>
          <w:szCs w:val="21"/>
        </w:rPr>
        <w:t>。四季度内，随着地产三支箭齐发，防疫优化提速，</w:t>
      </w:r>
      <w:r>
        <w:rPr>
          <w:rFonts w:eastAsiaTheme="minorEastAsia"/>
          <w:color w:val="000000" w:themeColor="text1"/>
          <w:szCs w:val="21"/>
        </w:rPr>
        <w:t>11</w:t>
      </w:r>
      <w:r>
        <w:rPr>
          <w:rFonts w:eastAsiaTheme="minorEastAsia"/>
          <w:color w:val="000000" w:themeColor="text1"/>
          <w:szCs w:val="21"/>
        </w:rPr>
        <w:t>月以来市场出现明显反弹。继地产信贷政策转暖后，地产债权与股权融资也在</w:t>
      </w:r>
      <w:r>
        <w:rPr>
          <w:rFonts w:eastAsiaTheme="minorEastAsia"/>
          <w:color w:val="000000" w:themeColor="text1"/>
          <w:szCs w:val="21"/>
        </w:rPr>
        <w:t>11</w:t>
      </w:r>
      <w:r>
        <w:rPr>
          <w:rFonts w:eastAsiaTheme="minorEastAsia"/>
          <w:color w:val="000000" w:themeColor="text1"/>
          <w:szCs w:val="21"/>
        </w:rPr>
        <w:t>月相继转暖，三支箭齐发大幅推升地产热度。与此同时，国内防疫政策也自</w:t>
      </w:r>
      <w:r>
        <w:rPr>
          <w:rFonts w:eastAsiaTheme="minorEastAsia"/>
          <w:color w:val="000000" w:themeColor="text1"/>
          <w:szCs w:val="21"/>
        </w:rPr>
        <w:t>11</w:t>
      </w:r>
      <w:r>
        <w:rPr>
          <w:rFonts w:eastAsiaTheme="minorEastAsia"/>
          <w:color w:val="000000" w:themeColor="text1"/>
          <w:szCs w:val="21"/>
        </w:rPr>
        <w:t>月逐步转向，防疫二十条与新十条相继落地，防疫政策</w:t>
      </w:r>
      <w:r>
        <w:rPr>
          <w:rFonts w:eastAsiaTheme="minorEastAsia"/>
          <w:color w:val="000000" w:themeColor="text1"/>
          <w:szCs w:val="21"/>
        </w:rPr>
        <w:t>加速优化，跨区域、出入境防疫管控快速</w:t>
      </w:r>
      <w:r>
        <w:rPr>
          <w:rFonts w:eastAsiaTheme="minorEastAsia"/>
          <w:color w:val="000000" w:themeColor="text1"/>
          <w:szCs w:val="21"/>
        </w:rPr>
        <w:t>“</w:t>
      </w:r>
      <w:r>
        <w:rPr>
          <w:rFonts w:eastAsiaTheme="minorEastAsia"/>
          <w:color w:val="000000" w:themeColor="text1"/>
          <w:szCs w:val="21"/>
        </w:rPr>
        <w:t>清零</w:t>
      </w:r>
      <w:r>
        <w:rPr>
          <w:rFonts w:eastAsiaTheme="minorEastAsia"/>
          <w:color w:val="000000" w:themeColor="text1"/>
          <w:szCs w:val="21"/>
        </w:rPr>
        <w:t>”</w:t>
      </w:r>
      <w:r>
        <w:rPr>
          <w:rFonts w:eastAsiaTheme="minorEastAsia"/>
          <w:color w:val="000000" w:themeColor="text1"/>
          <w:szCs w:val="21"/>
        </w:rPr>
        <w:t>，疫后消费复苏热度也自震荡上行。四季度内，申万一级行业中，社会服务、计算机、传媒板块出现显著反弹，涨幅分别为</w:t>
      </w:r>
      <w:r>
        <w:rPr>
          <w:rFonts w:eastAsiaTheme="minorEastAsia"/>
          <w:color w:val="000000" w:themeColor="text1"/>
          <w:szCs w:val="21"/>
        </w:rPr>
        <w:t>21.84%</w:t>
      </w:r>
      <w:r>
        <w:rPr>
          <w:rFonts w:eastAsiaTheme="minorEastAsia"/>
          <w:color w:val="000000" w:themeColor="text1"/>
          <w:szCs w:val="21"/>
        </w:rPr>
        <w:t>、</w:t>
      </w:r>
      <w:r>
        <w:rPr>
          <w:rFonts w:eastAsiaTheme="minorEastAsia"/>
          <w:color w:val="000000" w:themeColor="text1"/>
          <w:szCs w:val="21"/>
        </w:rPr>
        <w:t>14.18%</w:t>
      </w:r>
      <w:r>
        <w:rPr>
          <w:rFonts w:eastAsiaTheme="minorEastAsia"/>
          <w:color w:val="000000" w:themeColor="text1"/>
          <w:szCs w:val="21"/>
        </w:rPr>
        <w:t>、</w:t>
      </w:r>
      <w:r>
        <w:rPr>
          <w:rFonts w:eastAsiaTheme="minorEastAsia"/>
          <w:color w:val="000000" w:themeColor="text1"/>
          <w:szCs w:val="21"/>
        </w:rPr>
        <w:t>14.08%</w:t>
      </w:r>
      <w:r>
        <w:rPr>
          <w:rFonts w:eastAsiaTheme="minorEastAsia"/>
          <w:color w:val="000000" w:themeColor="text1"/>
          <w:szCs w:val="21"/>
        </w:rPr>
        <w:t>。本基金继续采用完全复制的方法跟踪标的指数，跟踪误差保持在合理范围内。</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展望后市，市场的核心动能在于</w:t>
      </w:r>
      <w:r w:rsidRPr="00D97CD7">
        <w:rPr>
          <w:rFonts w:eastAsiaTheme="minorEastAsia"/>
          <w:color w:val="000000" w:themeColor="text1"/>
          <w:szCs w:val="21"/>
        </w:rPr>
        <w:t>“</w:t>
      </w:r>
      <w:r w:rsidRPr="00D97CD7">
        <w:rPr>
          <w:rFonts w:eastAsiaTheme="minorEastAsia"/>
          <w:color w:val="000000" w:themeColor="text1"/>
          <w:szCs w:val="21"/>
        </w:rPr>
        <w:t>疫后复苏</w:t>
      </w:r>
      <w:r w:rsidRPr="00D97CD7">
        <w:rPr>
          <w:rFonts w:eastAsiaTheme="minorEastAsia"/>
          <w:color w:val="000000" w:themeColor="text1"/>
          <w:szCs w:val="21"/>
        </w:rPr>
        <w:t>”</w:t>
      </w:r>
      <w:r w:rsidRPr="00D97CD7">
        <w:rPr>
          <w:rFonts w:eastAsiaTheme="minorEastAsia"/>
          <w:color w:val="000000" w:themeColor="text1"/>
          <w:szCs w:val="21"/>
        </w:rPr>
        <w:t>并且叠加</w:t>
      </w:r>
      <w:r w:rsidRPr="00D97CD7">
        <w:rPr>
          <w:rFonts w:eastAsiaTheme="minorEastAsia"/>
          <w:color w:val="000000" w:themeColor="text1"/>
          <w:szCs w:val="21"/>
        </w:rPr>
        <w:t>“</w:t>
      </w:r>
      <w:r w:rsidRPr="00D97CD7">
        <w:rPr>
          <w:rFonts w:eastAsiaTheme="minorEastAsia"/>
          <w:color w:val="000000" w:themeColor="text1"/>
          <w:szCs w:val="21"/>
        </w:rPr>
        <w:t>政府定向刺激</w:t>
      </w:r>
      <w:r w:rsidRPr="00D97CD7">
        <w:rPr>
          <w:rFonts w:eastAsiaTheme="minorEastAsia"/>
          <w:color w:val="000000" w:themeColor="text1"/>
          <w:szCs w:val="21"/>
        </w:rPr>
        <w:t>”</w:t>
      </w:r>
      <w:r w:rsidRPr="00D97CD7">
        <w:rPr>
          <w:rFonts w:eastAsiaTheme="minorEastAsia"/>
          <w:color w:val="000000" w:themeColor="text1"/>
          <w:szCs w:val="21"/>
        </w:rPr>
        <w:t>，伴随着疫情放开后经济修复，市场盈利和估值都有望迎来修复。主要的风险来自于，政策超预期刺激与宽松、国内疫情超预期、中美货币政策超预期。</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4.4.2</w:t>
      </w:r>
      <w:r w:rsidRPr="00D97CD7">
        <w:rPr>
          <w:rFonts w:eastAsiaTheme="minorEastAsia"/>
          <w:color w:val="000000" w:themeColor="text1"/>
          <w:szCs w:val="21"/>
        </w:rPr>
        <w:t>报告期内基金的业绩表现</w:t>
      </w:r>
    </w:p>
    <w:p w:rsidR="0037580C" w:rsidRDefault="00926AA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w:t>
      </w:r>
      <w:r>
        <w:rPr>
          <w:rFonts w:eastAsiaTheme="minorEastAsia"/>
          <w:color w:val="000000" w:themeColor="text1"/>
          <w:szCs w:val="21"/>
        </w:rPr>
        <w:t>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ETF</w:t>
      </w:r>
      <w:r>
        <w:rPr>
          <w:rFonts w:eastAsiaTheme="minorEastAsia"/>
          <w:color w:val="000000" w:themeColor="text1"/>
          <w:szCs w:val="21"/>
        </w:rPr>
        <w:t>联接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:1.27%</w:t>
      </w:r>
      <w:r>
        <w:rPr>
          <w:rFonts w:eastAsiaTheme="minorEastAsia"/>
          <w:color w:val="000000" w:themeColor="text1"/>
          <w:szCs w:val="21"/>
        </w:rPr>
        <w:t>，同期业绩比较基准收益率为</w:t>
      </w:r>
      <w:r>
        <w:rPr>
          <w:rFonts w:eastAsiaTheme="minorEastAsia"/>
          <w:color w:val="000000" w:themeColor="text1"/>
          <w:szCs w:val="21"/>
        </w:rPr>
        <w:t>:0.98%,</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r w:rsidRPr="00D97CD7">
        <w:rPr>
          <w:rFonts w:eastAsiaTheme="minorEastAsia"/>
          <w:color w:val="000000" w:themeColor="text1"/>
          <w:szCs w:val="21"/>
        </w:rPr>
        <w:t>份额净值增长率为</w:t>
      </w:r>
      <w:r w:rsidRPr="00D97CD7">
        <w:rPr>
          <w:rFonts w:eastAsiaTheme="minorEastAsia"/>
          <w:color w:val="000000" w:themeColor="text1"/>
          <w:szCs w:val="21"/>
        </w:rPr>
        <w:t>:1.24%</w:t>
      </w:r>
      <w:r w:rsidRPr="00D97CD7">
        <w:rPr>
          <w:rFonts w:eastAsiaTheme="minorEastAsia"/>
          <w:color w:val="000000" w:themeColor="text1"/>
          <w:szCs w:val="21"/>
        </w:rPr>
        <w:t>，同期业绩比较基准收益率为</w:t>
      </w:r>
      <w:r w:rsidRPr="00D97CD7">
        <w:rPr>
          <w:rFonts w:eastAsiaTheme="minorEastAsia"/>
          <w:color w:val="000000" w:themeColor="text1"/>
          <w:szCs w:val="21"/>
        </w:rPr>
        <w:t>:0.98%</w:t>
      </w:r>
      <w:r w:rsidRPr="00D97CD7">
        <w:rPr>
          <w:rFonts w:eastAsiaTheme="minorEastAsia"/>
          <w:color w:val="000000" w:themeColor="text1"/>
          <w:szCs w:val="21"/>
        </w:rPr>
        <w:t>。</w:t>
      </w:r>
    </w:p>
    <w:p w:rsidR="00DB3887" w:rsidRPr="00D97CD7" w:rsidRDefault="00DB3887">
      <w:pPr>
        <w:spacing w:line="360" w:lineRule="auto"/>
        <w:ind w:firstLineChars="200" w:firstLine="420"/>
        <w:rPr>
          <w:rFonts w:eastAsiaTheme="minorEastAsia"/>
          <w:color w:val="000000" w:themeColor="text1"/>
          <w:szCs w:val="21"/>
        </w:rPr>
      </w:pPr>
    </w:p>
    <w:p w:rsidR="00DB3887" w:rsidRPr="00D97CD7" w:rsidRDefault="00FC6961">
      <w:pPr>
        <w:spacing w:line="360" w:lineRule="auto"/>
        <w:rPr>
          <w:rFonts w:eastAsiaTheme="minorEastAsia"/>
          <w:color w:val="000000" w:themeColor="text1"/>
          <w:szCs w:val="21"/>
        </w:rPr>
      </w:pPr>
      <w:r w:rsidRPr="00D97CD7">
        <w:rPr>
          <w:rFonts w:eastAsiaTheme="minorEastAsia"/>
          <w:b/>
          <w:color w:val="000000" w:themeColor="text1"/>
          <w:kern w:val="0"/>
          <w:szCs w:val="21"/>
        </w:rPr>
        <w:t>4.5</w:t>
      </w:r>
      <w:r w:rsidRPr="00D97CD7">
        <w:rPr>
          <w:rFonts w:eastAsiaTheme="minorEastAsia"/>
          <w:b/>
          <w:color w:val="000000" w:themeColor="text1"/>
          <w:kern w:val="0"/>
          <w:szCs w:val="21"/>
        </w:rPr>
        <w:t>报告期内基金持有人数或基金资产净值预警说明</w:t>
      </w:r>
    </w:p>
    <w:p w:rsidR="0037580C" w:rsidRDefault="00926AAD">
      <w:pPr>
        <w:spacing w:line="360" w:lineRule="auto"/>
        <w:rPr>
          <w:rFonts w:eastAsiaTheme="minorEastAsia"/>
          <w:color w:val="000000" w:themeColor="text1"/>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01</w:t>
      </w:r>
      <w:r>
        <w:rPr>
          <w:rFonts w:eastAsiaTheme="minorEastAsia"/>
          <w:color w:val="000000" w:themeColor="text1"/>
          <w:kern w:val="0"/>
          <w:szCs w:val="21"/>
        </w:rPr>
        <w:t>日至</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kern w:val="0"/>
          <w:szCs w:val="21"/>
        </w:rPr>
        <w:t>基金管理人拟调整本基金运作方式，加大营销力度，提升基金规模，方案已报监管机关。</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lastRenderedPageBreak/>
        <w:t xml:space="preserve">§5  </w:t>
      </w:r>
      <w:r w:rsidRPr="00D97CD7">
        <w:rPr>
          <w:rFonts w:eastAsiaTheme="minorEastAsia"/>
          <w:color w:val="000000" w:themeColor="text1"/>
          <w:kern w:val="0"/>
          <w:sz w:val="21"/>
          <w:szCs w:val="21"/>
        </w:rPr>
        <w:t>投资组合报告</w:t>
      </w:r>
    </w:p>
    <w:p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5.1 </w:t>
      </w:r>
      <w:r w:rsidRPr="00D97CD7">
        <w:rPr>
          <w:rFonts w:eastAsiaTheme="minorEastAsia"/>
          <w:b/>
          <w:color w:val="000000" w:themeColor="text1"/>
          <w:kern w:val="0"/>
          <w:szCs w:val="21"/>
        </w:rPr>
        <w:t>报告期末基金资产组合情况</w:t>
      </w:r>
    </w:p>
    <w:tbl>
      <w:tblPr>
        <w:tblStyle w:val="afa"/>
        <w:tblW w:w="8528" w:type="dxa"/>
        <w:tblInd w:w="108" w:type="dxa"/>
        <w:tblLayout w:type="fixed"/>
        <w:tblLook w:val="04A0" w:firstRow="1" w:lastRow="0" w:firstColumn="1" w:lastColumn="0" w:noHBand="0" w:noVBand="1"/>
      </w:tblPr>
      <w:tblGrid>
        <w:gridCol w:w="720"/>
        <w:gridCol w:w="3357"/>
        <w:gridCol w:w="2694"/>
        <w:gridCol w:w="1757"/>
      </w:tblGrid>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序号</w:t>
            </w:r>
          </w:p>
        </w:tc>
        <w:tc>
          <w:tcPr>
            <w:tcW w:w="3357"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项目</w:t>
            </w:r>
          </w:p>
        </w:tc>
        <w:tc>
          <w:tcPr>
            <w:tcW w:w="2694"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金额</w:t>
            </w:r>
            <w:r w:rsidRPr="00D97CD7">
              <w:rPr>
                <w:rFonts w:eastAsiaTheme="minorEastAsia"/>
                <w:color w:val="000000" w:themeColor="text1"/>
                <w:szCs w:val="21"/>
              </w:rPr>
              <w:t>(</w:t>
            </w:r>
            <w:r w:rsidRPr="00D97CD7">
              <w:rPr>
                <w:rFonts w:eastAsiaTheme="minorEastAsia"/>
                <w:color w:val="000000" w:themeColor="text1"/>
                <w:szCs w:val="21"/>
              </w:rPr>
              <w:t>元</w:t>
            </w: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占基金总资产的比例</w:t>
            </w: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1</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权益投资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其中：股票</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2</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基金投资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34,359,773.65</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94.61</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3</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固定收益投资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其中：债券</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autoSpaceDE w:val="0"/>
              <w:autoSpaceDN w:val="0"/>
              <w:adjustRightInd w:val="0"/>
              <w:spacing w:before="29" w:line="360" w:lineRule="auto"/>
              <w:ind w:left="17" w:firstLineChars="300" w:firstLine="630"/>
              <w:jc w:val="left"/>
              <w:rPr>
                <w:rFonts w:eastAsiaTheme="minorEastAsia"/>
                <w:color w:val="000000" w:themeColor="text1"/>
                <w:szCs w:val="21"/>
              </w:rPr>
            </w:pPr>
            <w:r w:rsidRPr="00D97CD7">
              <w:rPr>
                <w:rFonts w:eastAsiaTheme="minorEastAsia"/>
                <w:color w:val="000000" w:themeColor="text1"/>
                <w:szCs w:val="21"/>
              </w:rPr>
              <w:t>资产支持证券</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4</w:t>
            </w:r>
          </w:p>
        </w:tc>
        <w:tc>
          <w:tcPr>
            <w:tcW w:w="3357" w:type="dxa"/>
          </w:tcPr>
          <w:p w:rsidR="00DB3887" w:rsidRPr="00D97CD7" w:rsidRDefault="00FC6961">
            <w:pPr>
              <w:spacing w:before="29" w:line="360" w:lineRule="auto"/>
              <w:ind w:leftChars="50" w:left="105"/>
              <w:rPr>
                <w:rFonts w:eastAsiaTheme="minorEastAsia"/>
                <w:color w:val="000000" w:themeColor="text1"/>
                <w:szCs w:val="21"/>
              </w:rPr>
            </w:pPr>
            <w:r w:rsidRPr="00D97CD7">
              <w:rPr>
                <w:rFonts w:eastAsiaTheme="minorEastAsia"/>
                <w:color w:val="000000" w:themeColor="text1"/>
                <w:szCs w:val="21"/>
              </w:rPr>
              <w:t>贵金属投资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5</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金融衍生品投资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6</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买入返售金融资产</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其中：买断式回购的买入返售金融资产</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7</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银行存款和结算备付金合计</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1,918,294.30</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5.28</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8</w:t>
            </w:r>
          </w:p>
        </w:tc>
        <w:tc>
          <w:tcPr>
            <w:tcW w:w="3357"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其他各项资产</w:t>
            </w:r>
          </w:p>
        </w:tc>
        <w:tc>
          <w:tcPr>
            <w:tcW w:w="2694"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37,721.45</w:t>
            </w:r>
          </w:p>
        </w:tc>
        <w:tc>
          <w:tcPr>
            <w:tcW w:w="1757"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0.10</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9</w:t>
            </w:r>
          </w:p>
        </w:tc>
        <w:tc>
          <w:tcPr>
            <w:tcW w:w="3357"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合计</w:t>
            </w:r>
          </w:p>
        </w:tc>
        <w:tc>
          <w:tcPr>
            <w:tcW w:w="2694"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36,315,789.40</w:t>
            </w:r>
          </w:p>
        </w:tc>
        <w:tc>
          <w:tcPr>
            <w:tcW w:w="1757"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100.00</w:t>
            </w:r>
          </w:p>
        </w:tc>
      </w:tr>
    </w:tbl>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5.2</w:t>
      </w:r>
      <w:r w:rsidRPr="00D97CD7">
        <w:rPr>
          <w:rFonts w:eastAsiaTheme="minorEastAsia"/>
          <w:b/>
          <w:color w:val="000000" w:themeColor="text1"/>
          <w:kern w:val="0"/>
          <w:szCs w:val="21"/>
        </w:rPr>
        <w:t>期末投资目标基金明细</w:t>
      </w:r>
    </w:p>
    <w:tbl>
      <w:tblPr>
        <w:tblStyle w:val="afa"/>
        <w:tblW w:w="8928" w:type="dxa"/>
        <w:tblInd w:w="108" w:type="dxa"/>
        <w:tblLayout w:type="fixed"/>
        <w:tblLook w:val="04A0" w:firstRow="1" w:lastRow="0" w:firstColumn="1" w:lastColumn="0" w:noHBand="0" w:noVBand="1"/>
      </w:tblPr>
      <w:tblGrid>
        <w:gridCol w:w="1238"/>
        <w:gridCol w:w="1239"/>
        <w:gridCol w:w="1240"/>
        <w:gridCol w:w="1240"/>
        <w:gridCol w:w="1240"/>
        <w:gridCol w:w="1241"/>
        <w:gridCol w:w="1490"/>
      </w:tblGrid>
      <w:tr w:rsidR="00DB3887" w:rsidRPr="00D97CD7">
        <w:tc>
          <w:tcPr>
            <w:tcW w:w="1238"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序号</w:t>
            </w:r>
          </w:p>
        </w:tc>
        <w:tc>
          <w:tcPr>
            <w:tcW w:w="1239"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基金名称</w:t>
            </w:r>
          </w:p>
        </w:tc>
        <w:tc>
          <w:tcPr>
            <w:tcW w:w="124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基金类型</w:t>
            </w:r>
          </w:p>
        </w:tc>
        <w:tc>
          <w:tcPr>
            <w:tcW w:w="124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运作方式</w:t>
            </w:r>
          </w:p>
        </w:tc>
        <w:tc>
          <w:tcPr>
            <w:tcW w:w="124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管理人</w:t>
            </w:r>
          </w:p>
        </w:tc>
        <w:tc>
          <w:tcPr>
            <w:tcW w:w="1241"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公允价值</w:t>
            </w:r>
          </w:p>
        </w:tc>
        <w:tc>
          <w:tcPr>
            <w:tcW w:w="149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占基金资产净值比例（</w:t>
            </w:r>
            <w:r w:rsidRPr="00D97CD7">
              <w:rPr>
                <w:rFonts w:eastAsiaTheme="minorEastAsia"/>
                <w:color w:val="000000" w:themeColor="text1"/>
                <w:kern w:val="0"/>
                <w:szCs w:val="21"/>
              </w:rPr>
              <w:t>%</w:t>
            </w:r>
            <w:r w:rsidRPr="00D97CD7">
              <w:rPr>
                <w:rFonts w:eastAsiaTheme="minorEastAsia"/>
                <w:color w:val="000000" w:themeColor="text1"/>
                <w:kern w:val="0"/>
                <w:szCs w:val="21"/>
              </w:rPr>
              <w:t>）</w:t>
            </w:r>
          </w:p>
        </w:tc>
      </w:tr>
      <w:tr w:rsidR="0037580C">
        <w:tc>
          <w:tcPr>
            <w:tcW w:w="1238" w:type="dxa"/>
            <w:vAlign w:val="center"/>
          </w:tcPr>
          <w:p w:rsidR="0037580C" w:rsidRDefault="00926AAD">
            <w:pPr>
              <w:jc w:val="center"/>
            </w:pPr>
            <w:r>
              <w:rPr>
                <w:rFonts w:eastAsiaTheme="minorEastAsia"/>
                <w:color w:val="000000" w:themeColor="text1"/>
                <w:szCs w:val="21"/>
              </w:rPr>
              <w:t>1</w:t>
            </w:r>
          </w:p>
        </w:tc>
        <w:tc>
          <w:tcPr>
            <w:tcW w:w="1239" w:type="dxa"/>
            <w:vAlign w:val="center"/>
          </w:tcPr>
          <w:p w:rsidR="0037580C" w:rsidRDefault="00926AAD">
            <w:pPr>
              <w:jc w:val="center"/>
            </w:pP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ETF</w:t>
            </w:r>
          </w:p>
        </w:tc>
        <w:tc>
          <w:tcPr>
            <w:tcW w:w="1240" w:type="dxa"/>
            <w:vAlign w:val="center"/>
          </w:tcPr>
          <w:p w:rsidR="0037580C" w:rsidRDefault="00926AAD">
            <w:pPr>
              <w:jc w:val="center"/>
            </w:pPr>
            <w:r>
              <w:rPr>
                <w:rFonts w:eastAsiaTheme="minorEastAsia"/>
                <w:color w:val="000000" w:themeColor="text1"/>
                <w:szCs w:val="21"/>
              </w:rPr>
              <w:t>股票型</w:t>
            </w:r>
          </w:p>
        </w:tc>
        <w:tc>
          <w:tcPr>
            <w:tcW w:w="1240" w:type="dxa"/>
            <w:vAlign w:val="center"/>
          </w:tcPr>
          <w:p w:rsidR="0037580C" w:rsidRDefault="00926AAD">
            <w:pPr>
              <w:jc w:val="center"/>
            </w:pPr>
            <w:r>
              <w:rPr>
                <w:rFonts w:eastAsiaTheme="minorEastAsia"/>
                <w:color w:val="000000" w:themeColor="text1"/>
                <w:szCs w:val="21"/>
              </w:rPr>
              <w:t>交易型开放式</w:t>
            </w:r>
          </w:p>
        </w:tc>
        <w:tc>
          <w:tcPr>
            <w:tcW w:w="1240" w:type="dxa"/>
            <w:vAlign w:val="center"/>
          </w:tcPr>
          <w:p w:rsidR="0037580C" w:rsidRDefault="00926AAD">
            <w:pPr>
              <w:jc w:val="center"/>
            </w:pPr>
            <w:r>
              <w:rPr>
                <w:rFonts w:eastAsiaTheme="minorEastAsia"/>
                <w:color w:val="000000" w:themeColor="text1"/>
                <w:szCs w:val="21"/>
              </w:rPr>
              <w:t>上投摩根基金管理有限公司</w:t>
            </w:r>
          </w:p>
        </w:tc>
        <w:tc>
          <w:tcPr>
            <w:tcW w:w="1241" w:type="dxa"/>
            <w:vAlign w:val="center"/>
          </w:tcPr>
          <w:p w:rsidR="0037580C" w:rsidRDefault="00926AAD">
            <w:pPr>
              <w:jc w:val="right"/>
            </w:pPr>
            <w:r>
              <w:rPr>
                <w:rFonts w:eastAsiaTheme="minorEastAsia"/>
                <w:color w:val="000000" w:themeColor="text1"/>
                <w:szCs w:val="21"/>
              </w:rPr>
              <w:t>34,359,773.65</w:t>
            </w:r>
          </w:p>
        </w:tc>
        <w:tc>
          <w:tcPr>
            <w:tcW w:w="1490" w:type="dxa"/>
            <w:vAlign w:val="center"/>
          </w:tcPr>
          <w:p w:rsidR="0037580C" w:rsidRDefault="00926AAD">
            <w:pPr>
              <w:jc w:val="right"/>
            </w:pPr>
            <w:r>
              <w:rPr>
                <w:rFonts w:eastAsiaTheme="minorEastAsia"/>
                <w:color w:val="000000" w:themeColor="text1"/>
                <w:szCs w:val="21"/>
              </w:rPr>
              <w:t>95.37</w:t>
            </w:r>
          </w:p>
        </w:tc>
      </w:tr>
    </w:tbl>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5.3 </w:t>
      </w:r>
      <w:r w:rsidRPr="00D97CD7">
        <w:rPr>
          <w:rFonts w:eastAsiaTheme="minorEastAsia"/>
          <w:b/>
          <w:color w:val="000000" w:themeColor="text1"/>
          <w:kern w:val="0"/>
          <w:szCs w:val="21"/>
        </w:rPr>
        <w:t>报告期末按行业分类的股票投资组合</w:t>
      </w:r>
    </w:p>
    <w:p w:rsidR="00DB3887" w:rsidRPr="00D97CD7" w:rsidRDefault="00FC6961">
      <w:pPr>
        <w:rPr>
          <w:b/>
        </w:rPr>
      </w:pPr>
      <w:r w:rsidRPr="00D97CD7">
        <w:rPr>
          <w:rFonts w:eastAsiaTheme="minorEastAsia"/>
          <w:b/>
          <w:color w:val="000000" w:themeColor="text1"/>
          <w:kern w:val="0"/>
          <w:szCs w:val="21"/>
        </w:rPr>
        <w:t>5.3.1</w:t>
      </w:r>
      <w:r w:rsidRPr="00D97CD7">
        <w:rPr>
          <w:rFonts w:eastAsiaTheme="minorEastAsia"/>
          <w:b/>
          <w:color w:val="000000" w:themeColor="text1"/>
          <w:kern w:val="0"/>
          <w:szCs w:val="21"/>
        </w:rPr>
        <w:t>报告期末按行业分类的境内股票投资组合</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本基金本报告期末未持有股票。</w:t>
      </w:r>
    </w:p>
    <w:p w:rsidR="00DB3887" w:rsidRPr="00D97CD7" w:rsidRDefault="00DB3887">
      <w:pPr>
        <w:autoSpaceDE w:val="0"/>
        <w:autoSpaceDN w:val="0"/>
        <w:adjustRightInd w:val="0"/>
        <w:spacing w:line="360" w:lineRule="auto"/>
        <w:ind w:firstLineChars="200" w:firstLine="420"/>
        <w:jc w:val="left"/>
        <w:rPr>
          <w:rFonts w:eastAsiaTheme="minorEastAsia"/>
          <w:color w:val="000000" w:themeColor="text1"/>
          <w:szCs w:val="21"/>
        </w:rPr>
      </w:pPr>
    </w:p>
    <w:p w:rsidR="00D97CD7" w:rsidRPr="007A4E67" w:rsidRDefault="00D97CD7" w:rsidP="00D97CD7">
      <w:pPr>
        <w:spacing w:line="360" w:lineRule="auto"/>
        <w:rPr>
          <w:rFonts w:eastAsiaTheme="minorEastAsia"/>
          <w:szCs w:val="21"/>
        </w:rPr>
      </w:pPr>
      <w:bookmarkStart w:id="2" w:name="_Hlk73460790"/>
      <w:r w:rsidRPr="007A4E67">
        <w:rPr>
          <w:rFonts w:eastAsiaTheme="minorEastAsia"/>
          <w:b/>
          <w:bCs/>
          <w:kern w:val="0"/>
          <w:szCs w:val="21"/>
        </w:rPr>
        <w:lastRenderedPageBreak/>
        <w:t>5.4</w:t>
      </w:r>
      <w:r w:rsidRPr="007A4E67">
        <w:rPr>
          <w:rFonts w:asciiTheme="minorEastAsia" w:eastAsiaTheme="minorEastAsia" w:hAnsiTheme="minorEastAsia" w:hint="eastAsia"/>
          <w:b/>
          <w:bCs/>
          <w:kern w:val="0"/>
          <w:szCs w:val="21"/>
        </w:rPr>
        <w:t>期末按公允价值占基金资产净值比例大小排序的股票投资明细</w:t>
      </w:r>
      <w:r w:rsidRPr="007A4E67">
        <w:rPr>
          <w:rFonts w:asciiTheme="minorEastAsia" w:eastAsiaTheme="minorEastAsia" w:hAnsiTheme="minorEastAsia" w:hint="eastAsia"/>
          <w:b/>
          <w:bCs/>
          <w:kern w:val="0"/>
          <w:szCs w:val="21"/>
        </w:rPr>
        <w:cr/>
      </w:r>
      <w:r w:rsidRPr="007A4E67">
        <w:rPr>
          <w:rFonts w:eastAsiaTheme="minorEastAsia"/>
          <w:b/>
          <w:bCs/>
          <w:kern w:val="0"/>
          <w:szCs w:val="21"/>
        </w:rPr>
        <w:t>5.4.1</w:t>
      </w:r>
      <w:r w:rsidRPr="007A4E67">
        <w:rPr>
          <w:rFonts w:asciiTheme="minorEastAsia" w:eastAsiaTheme="minorEastAsia" w:hAnsiTheme="minorEastAsia" w:hint="eastAsia"/>
          <w:b/>
          <w:bCs/>
          <w:kern w:val="0"/>
          <w:szCs w:val="21"/>
        </w:rPr>
        <w:t>报告期末按公允价值占基金资产净值比例大小排序的前十名股票投资明细</w:t>
      </w:r>
    </w:p>
    <w:p w:rsidR="00D97CD7" w:rsidRPr="007A4E67" w:rsidRDefault="00D97CD7" w:rsidP="00D97CD7">
      <w:pPr>
        <w:spacing w:line="360" w:lineRule="auto"/>
        <w:ind w:firstLineChars="200" w:firstLine="420"/>
        <w:rPr>
          <w:rFonts w:eastAsiaTheme="minorEastAsia"/>
          <w:szCs w:val="21"/>
        </w:rPr>
      </w:pPr>
      <w:r w:rsidRPr="007A4E67">
        <w:rPr>
          <w:rFonts w:eastAsiaTheme="minorEastAsia"/>
          <w:szCs w:val="21"/>
        </w:rPr>
        <w:t>本基金本报告期末未持有股票。</w:t>
      </w:r>
    </w:p>
    <w:bookmarkEnd w:id="2"/>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5.5 </w:t>
      </w:r>
      <w:r w:rsidRPr="00D97CD7">
        <w:rPr>
          <w:rFonts w:eastAsiaTheme="minorEastAsia"/>
          <w:b/>
          <w:color w:val="000000" w:themeColor="text1"/>
          <w:kern w:val="0"/>
          <w:szCs w:val="21"/>
        </w:rPr>
        <w:t>报告期末按债券品种分类的债券投资组合</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本基金本报告期末未持有债券。</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5.6 </w:t>
      </w:r>
      <w:r w:rsidRPr="00D97CD7">
        <w:rPr>
          <w:rFonts w:eastAsiaTheme="minorEastAsia"/>
          <w:b/>
          <w:color w:val="000000" w:themeColor="text1"/>
          <w:kern w:val="0"/>
          <w:szCs w:val="21"/>
        </w:rPr>
        <w:t>报告期末按公允价值占基金资产净值比例大小排序的前五名债券投资明细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本基金本报告期末未持有债券。</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5.7</w:t>
      </w:r>
      <w:r w:rsidRPr="00D97CD7">
        <w:rPr>
          <w:rFonts w:eastAsiaTheme="minorEastAsia"/>
          <w:b/>
          <w:color w:val="000000" w:themeColor="text1"/>
          <w:kern w:val="0"/>
          <w:szCs w:val="21"/>
        </w:rPr>
        <w:t xml:space="preserve">　报告期末按公允价值占基金资产净值比例大小排序的前十名资产支持证券投资明细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本基金本报告期末未持有资产支持证券。</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 xml:space="preserve">5.8 </w:t>
      </w:r>
      <w:r w:rsidRPr="00D97CD7">
        <w:rPr>
          <w:rFonts w:eastAsiaTheme="minorEastAsia"/>
          <w:b/>
          <w:bCs/>
          <w:color w:val="000000" w:themeColor="text1"/>
          <w:kern w:val="0"/>
          <w:szCs w:val="21"/>
        </w:rPr>
        <w:t>报告期末按公允价值占基金资产净值比例大小排序的前五名贵金属投资明细</w:t>
      </w:r>
    </w:p>
    <w:p w:rsidR="00DB3887" w:rsidRPr="00D97CD7" w:rsidRDefault="00FC6961">
      <w:pPr>
        <w:widowControl/>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本基金本报告期末未持有贵金属。</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5.9 </w:t>
      </w:r>
      <w:r w:rsidRPr="00D97CD7">
        <w:rPr>
          <w:rFonts w:eastAsiaTheme="minorEastAsia"/>
          <w:b/>
          <w:color w:val="000000" w:themeColor="text1"/>
          <w:kern w:val="0"/>
          <w:szCs w:val="21"/>
        </w:rPr>
        <w:t>报告</w:t>
      </w:r>
      <w:r w:rsidRPr="00D97CD7">
        <w:rPr>
          <w:rFonts w:eastAsiaTheme="minorEastAsia"/>
          <w:b/>
          <w:bCs/>
          <w:color w:val="000000" w:themeColor="text1"/>
          <w:kern w:val="0"/>
          <w:szCs w:val="21"/>
        </w:rPr>
        <w:t>期末</w:t>
      </w:r>
      <w:r w:rsidRPr="00D97CD7">
        <w:rPr>
          <w:rFonts w:eastAsiaTheme="minorEastAsia"/>
          <w:b/>
          <w:color w:val="000000" w:themeColor="text1"/>
          <w:kern w:val="0"/>
          <w:szCs w:val="21"/>
        </w:rPr>
        <w:t>按公允价值占基金资产净值比例大小排序的前五名权证投资明细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本基金本报告期末未持有权证。</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szCs w:val="21"/>
        </w:rPr>
      </w:pPr>
      <w:r w:rsidRPr="00D97CD7">
        <w:rPr>
          <w:rFonts w:eastAsiaTheme="minorEastAsia"/>
          <w:b/>
          <w:color w:val="000000" w:themeColor="text1"/>
          <w:szCs w:val="21"/>
        </w:rPr>
        <w:t xml:space="preserve">5.10 </w:t>
      </w:r>
      <w:r w:rsidRPr="00D97CD7">
        <w:rPr>
          <w:rFonts w:eastAsiaTheme="minorEastAsia"/>
          <w:b/>
          <w:color w:val="000000" w:themeColor="text1"/>
          <w:szCs w:val="21"/>
        </w:rPr>
        <w:t>报告期末本基金投资的股指期货交易情况说明</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本基金本报告期末未持有股指期货。</w:t>
      </w:r>
    </w:p>
    <w:p w:rsidR="00DB3887" w:rsidRPr="00D97CD7" w:rsidRDefault="00FC6961">
      <w:pPr>
        <w:adjustRightInd w:val="0"/>
        <w:snapToGrid w:val="0"/>
        <w:spacing w:beforeLines="100" w:before="312" w:line="360" w:lineRule="auto"/>
        <w:rPr>
          <w:rFonts w:eastAsiaTheme="minorEastAsia"/>
          <w:b/>
          <w:color w:val="000000" w:themeColor="text1"/>
          <w:szCs w:val="21"/>
        </w:rPr>
      </w:pPr>
      <w:r w:rsidRPr="00D97CD7">
        <w:rPr>
          <w:rFonts w:eastAsiaTheme="minorEastAsia"/>
          <w:b/>
          <w:color w:val="000000" w:themeColor="text1"/>
          <w:szCs w:val="21"/>
        </w:rPr>
        <w:t>5.11</w:t>
      </w:r>
      <w:r w:rsidRPr="00D97CD7">
        <w:rPr>
          <w:rFonts w:eastAsiaTheme="minorEastAsia"/>
          <w:b/>
          <w:color w:val="000000" w:themeColor="text1"/>
          <w:szCs w:val="21"/>
        </w:rPr>
        <w:t>报告期末本基金投资的国债期货交易情况说明</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本基金本报告期末未持有国债期货。</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5.12</w:t>
      </w:r>
      <w:r w:rsidRPr="00D97CD7">
        <w:rPr>
          <w:rFonts w:eastAsiaTheme="minorEastAsia"/>
          <w:b/>
          <w:color w:val="000000" w:themeColor="text1"/>
          <w:kern w:val="0"/>
          <w:szCs w:val="21"/>
        </w:rPr>
        <w:t>投资组合报告附注</w:t>
      </w:r>
    </w:p>
    <w:p w:rsidR="00DB3887" w:rsidRPr="00D97CD7" w:rsidRDefault="00FC6961">
      <w:pPr>
        <w:widowControl/>
        <w:spacing w:line="360" w:lineRule="auto"/>
        <w:rPr>
          <w:rFonts w:eastAsiaTheme="minorEastAsia"/>
          <w:color w:val="000000" w:themeColor="text1"/>
          <w:szCs w:val="21"/>
        </w:rPr>
      </w:pPr>
      <w:r w:rsidRPr="00D97CD7">
        <w:rPr>
          <w:rFonts w:eastAsiaTheme="minorEastAsia"/>
          <w:color w:val="000000" w:themeColor="text1"/>
          <w:szCs w:val="21"/>
        </w:rPr>
        <w:t>5.12.1</w:t>
      </w:r>
      <w:r w:rsidRPr="00D97CD7">
        <w:rPr>
          <w:rFonts w:eastAsiaTheme="minorEastAsia"/>
          <w:color w:val="000000" w:themeColor="text1"/>
          <w:szCs w:val="21"/>
        </w:rPr>
        <w:t>本基金投资的前十名证券的发行主体本期未出现被监管部门立案调查，或在报告编制日前一年内受到公开谴责、处罚的情形。</w:t>
      </w:r>
    </w:p>
    <w:p w:rsidR="00DB3887" w:rsidRPr="00D97CD7" w:rsidRDefault="00FC6961">
      <w:pPr>
        <w:widowControl/>
        <w:spacing w:line="360" w:lineRule="auto"/>
        <w:rPr>
          <w:rFonts w:eastAsiaTheme="minorEastAsia"/>
          <w:color w:val="000000" w:themeColor="text1"/>
          <w:szCs w:val="21"/>
        </w:rPr>
      </w:pPr>
      <w:r w:rsidRPr="00D97CD7">
        <w:rPr>
          <w:rFonts w:eastAsiaTheme="minorEastAsia"/>
          <w:color w:val="000000" w:themeColor="text1"/>
          <w:szCs w:val="21"/>
        </w:rPr>
        <w:t>5.12.2</w:t>
      </w:r>
      <w:r w:rsidRPr="00D97CD7">
        <w:rPr>
          <w:rFonts w:eastAsiaTheme="minorEastAsia"/>
          <w:color w:val="000000" w:themeColor="text1"/>
          <w:szCs w:val="21"/>
        </w:rPr>
        <w:t>报告期内本基金投资的前十名股票中没有在基金合同规定备选股票库之外的股票。</w:t>
      </w:r>
    </w:p>
    <w:p w:rsidR="00DB3887" w:rsidRPr="00D97CD7" w:rsidRDefault="00FC6961">
      <w:pPr>
        <w:autoSpaceDE w:val="0"/>
        <w:autoSpaceDN w:val="0"/>
        <w:adjustRightInd w:val="0"/>
        <w:spacing w:line="360" w:lineRule="auto"/>
        <w:rPr>
          <w:rFonts w:eastAsiaTheme="minorEastAsia"/>
          <w:b/>
          <w:color w:val="000000" w:themeColor="text1"/>
          <w:kern w:val="0"/>
          <w:szCs w:val="21"/>
        </w:rPr>
      </w:pPr>
      <w:r w:rsidRPr="00D97CD7">
        <w:rPr>
          <w:rFonts w:eastAsiaTheme="minorEastAsia"/>
          <w:b/>
          <w:color w:val="000000" w:themeColor="text1"/>
          <w:kern w:val="0"/>
          <w:szCs w:val="21"/>
        </w:rPr>
        <w:t>5.12.3</w:t>
      </w:r>
      <w:r w:rsidRPr="00D97CD7">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DB3887" w:rsidRPr="00D97CD7">
        <w:tc>
          <w:tcPr>
            <w:tcW w:w="1110" w:type="dxa"/>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序号</w:t>
            </w:r>
          </w:p>
        </w:tc>
        <w:tc>
          <w:tcPr>
            <w:tcW w:w="2761" w:type="dxa"/>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名称</w:t>
            </w:r>
          </w:p>
        </w:tc>
        <w:tc>
          <w:tcPr>
            <w:tcW w:w="4808" w:type="dxa"/>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金额</w:t>
            </w:r>
            <w:r w:rsidRPr="00D97CD7">
              <w:rPr>
                <w:rFonts w:eastAsiaTheme="minorEastAsia"/>
                <w:color w:val="000000" w:themeColor="text1"/>
                <w:kern w:val="0"/>
                <w:szCs w:val="21"/>
              </w:rPr>
              <w:t>(</w:t>
            </w:r>
            <w:r w:rsidRPr="00D97CD7">
              <w:rPr>
                <w:rFonts w:eastAsiaTheme="minorEastAsia"/>
                <w:color w:val="000000" w:themeColor="text1"/>
                <w:kern w:val="0"/>
                <w:szCs w:val="21"/>
              </w:rPr>
              <w:t>元</w:t>
            </w: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szCs w:val="21"/>
              </w:rPr>
              <w:t>1</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存出保证金</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2,294.44</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lastRenderedPageBreak/>
              <w:t>2</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应收证券清算款</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3</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应收股利</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4</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应收利息</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5</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应收申购款</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35,427.01</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6</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其他应收款</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7</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szCs w:val="21"/>
              </w:rPr>
            </w:pPr>
            <w:r w:rsidRPr="00D97CD7">
              <w:rPr>
                <w:rFonts w:eastAsiaTheme="minorEastAsia"/>
                <w:color w:val="000000" w:themeColor="text1"/>
                <w:szCs w:val="21"/>
              </w:rPr>
              <w:t>待摊费用</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8</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其他</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9</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合计</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37,721.45</w:t>
            </w:r>
          </w:p>
        </w:tc>
      </w:tr>
    </w:tbl>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5.12.4</w:t>
      </w:r>
      <w:r w:rsidRPr="00D97CD7">
        <w:rPr>
          <w:rFonts w:eastAsiaTheme="minorEastAsia"/>
          <w:b/>
          <w:color w:val="000000" w:themeColor="text1"/>
          <w:kern w:val="0"/>
          <w:szCs w:val="21"/>
        </w:rPr>
        <w:t>报告期末持有的处于转股期的可转换债券明细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本基金本报告期末未持有处于转股期的可转换债券。</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szCs w:val="21"/>
        </w:rPr>
      </w:pPr>
      <w:r w:rsidRPr="00D97CD7">
        <w:rPr>
          <w:rFonts w:eastAsiaTheme="minorEastAsia"/>
          <w:b/>
          <w:color w:val="000000" w:themeColor="text1"/>
          <w:kern w:val="0"/>
          <w:szCs w:val="21"/>
        </w:rPr>
        <w:t>5.12.5</w:t>
      </w:r>
      <w:r w:rsidRPr="00D97CD7">
        <w:rPr>
          <w:rFonts w:eastAsiaTheme="minorEastAsia"/>
          <w:b/>
          <w:bCs/>
          <w:color w:val="000000" w:themeColor="text1"/>
          <w:szCs w:val="21"/>
        </w:rPr>
        <w:t>报告期末前十名股票中存在流通受限情况的说明</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本基金本报告期末前十名股票中不存在流通受限情况。</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5.12.6</w:t>
      </w:r>
      <w:r w:rsidRPr="00D97CD7">
        <w:rPr>
          <w:rFonts w:eastAsiaTheme="minorEastAsia"/>
          <w:b/>
          <w:color w:val="000000" w:themeColor="text1"/>
          <w:kern w:val="0"/>
          <w:szCs w:val="21"/>
        </w:rPr>
        <w:t>投资组合报告附注的其他文字描述部分</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因四舍五入原因，投资组合报告中分项之和与合计可能存在尾差。</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§6  </w:t>
      </w:r>
      <w:r w:rsidRPr="00D97CD7">
        <w:rPr>
          <w:rFonts w:eastAsiaTheme="minorEastAsia"/>
          <w:color w:val="000000" w:themeColor="text1"/>
          <w:kern w:val="0"/>
          <w:sz w:val="21"/>
          <w:szCs w:val="21"/>
        </w:rPr>
        <w:t>开放式基金份额变动</w:t>
      </w:r>
    </w:p>
    <w:p w:rsidR="00DB3887" w:rsidRPr="00D97CD7" w:rsidRDefault="00FC6961">
      <w:pPr>
        <w:autoSpaceDE w:val="0"/>
        <w:autoSpaceDN w:val="0"/>
        <w:adjustRightInd w:val="0"/>
        <w:spacing w:before="29" w:line="288" w:lineRule="auto"/>
        <w:ind w:left="15" w:right="480"/>
        <w:jc w:val="right"/>
        <w:rPr>
          <w:rFonts w:eastAsiaTheme="minorEastAsia"/>
          <w:color w:val="000000" w:themeColor="text1"/>
          <w:kern w:val="0"/>
          <w:szCs w:val="21"/>
        </w:rPr>
      </w:pPr>
      <w:r w:rsidRPr="00D97CD7">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26,635,229.13</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11,237,463.22</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2,114,930.37</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12,473,929.44</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752,188.49</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13,463,069.63</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27,997,971.01</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10,248,323.03</w:t>
            </w:r>
          </w:p>
        </w:tc>
      </w:tr>
    </w:tbl>
    <w:p w:rsidR="00DB3887" w:rsidRPr="00D97CD7" w:rsidRDefault="00FC6961">
      <w:pPr>
        <w:pStyle w:val="1"/>
        <w:tabs>
          <w:tab w:val="center" w:pos="4156"/>
          <w:tab w:val="right" w:pos="8312"/>
        </w:tabs>
        <w:spacing w:beforeLines="100" w:before="312" w:afterLines="100" w:after="312" w:line="360" w:lineRule="auto"/>
        <w:jc w:val="center"/>
        <w:rPr>
          <w:rFonts w:eastAsiaTheme="minorEastAsia"/>
          <w:color w:val="000000" w:themeColor="text1"/>
          <w:sz w:val="21"/>
          <w:szCs w:val="21"/>
        </w:rPr>
      </w:pPr>
      <w:r w:rsidRPr="00D97CD7">
        <w:rPr>
          <w:rFonts w:eastAsiaTheme="minorEastAsia"/>
          <w:color w:val="000000" w:themeColor="text1"/>
          <w:kern w:val="0"/>
          <w:sz w:val="21"/>
          <w:szCs w:val="21"/>
        </w:rPr>
        <w:lastRenderedPageBreak/>
        <w:t xml:space="preserve">§7  </w:t>
      </w:r>
      <w:r w:rsidRPr="00D97CD7">
        <w:rPr>
          <w:rFonts w:eastAsiaTheme="minorEastAsia"/>
          <w:color w:val="000000" w:themeColor="text1"/>
          <w:sz w:val="21"/>
          <w:szCs w:val="21"/>
        </w:rPr>
        <w:t>基金管理人运用固有资金投资本基金情况</w:t>
      </w:r>
    </w:p>
    <w:p w:rsidR="00DB3887" w:rsidRPr="00D97CD7" w:rsidRDefault="00FC6961">
      <w:pPr>
        <w:spacing w:line="360" w:lineRule="auto"/>
        <w:jc w:val="left"/>
        <w:rPr>
          <w:rFonts w:eastAsiaTheme="minorEastAsia"/>
          <w:color w:val="000000" w:themeColor="text1"/>
          <w:szCs w:val="21"/>
        </w:rPr>
      </w:pPr>
      <w:r w:rsidRPr="00D97CD7">
        <w:rPr>
          <w:rFonts w:eastAsiaTheme="minorEastAsia"/>
          <w:b/>
          <w:color w:val="000000" w:themeColor="text1"/>
          <w:szCs w:val="21"/>
        </w:rPr>
        <w:t xml:space="preserve">7.1 </w:t>
      </w:r>
      <w:r w:rsidRPr="00D97CD7">
        <w:rPr>
          <w:rFonts w:eastAsiaTheme="minorEastAsia"/>
          <w:b/>
          <w:bCs/>
          <w:color w:val="000000" w:themeColor="text1"/>
          <w:kern w:val="44"/>
          <w:szCs w:val="21"/>
        </w:rPr>
        <w:t>基金管理人持有本基金份额变动情况</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无。</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§8</w:t>
      </w:r>
      <w:r w:rsidRPr="00D97CD7">
        <w:rPr>
          <w:rFonts w:eastAsiaTheme="minorEastAsia"/>
          <w:color w:val="000000" w:themeColor="text1"/>
          <w:kern w:val="0"/>
          <w:sz w:val="21"/>
          <w:szCs w:val="21"/>
        </w:rPr>
        <w:t>备查文件目录</w:t>
      </w:r>
    </w:p>
    <w:p w:rsidR="00DB3887" w:rsidRPr="00D97CD7" w:rsidRDefault="00FC6961">
      <w:pPr>
        <w:autoSpaceDE w:val="0"/>
        <w:autoSpaceDN w:val="0"/>
        <w:adjustRightInd w:val="0"/>
        <w:spacing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8.1</w:t>
      </w:r>
      <w:r w:rsidRPr="00D97CD7">
        <w:rPr>
          <w:rFonts w:eastAsiaTheme="minorEastAsia"/>
          <w:b/>
          <w:bCs/>
          <w:color w:val="000000" w:themeColor="text1"/>
          <w:kern w:val="0"/>
          <w:szCs w:val="21"/>
        </w:rPr>
        <w:t>备查文件目录</w:t>
      </w:r>
    </w:p>
    <w:p w:rsidR="0037580C" w:rsidRDefault="00926AA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股交易型开放式指数证券投资基金联接基金募集注册的文件</w:t>
      </w:r>
    </w:p>
    <w:p w:rsidR="0037580C" w:rsidRDefault="00926AA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股交易型开放式指数证券投资基金联接基金基金合同</w:t>
      </w:r>
    </w:p>
    <w:p w:rsidR="0037580C" w:rsidRDefault="00926AA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股交易型开放式指数证券投资基金联接基金托管协议</w:t>
      </w:r>
    </w:p>
    <w:p w:rsidR="0037580C" w:rsidRDefault="00926AA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37580C" w:rsidRDefault="00926AA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37580C" w:rsidRDefault="00926AA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37580C" w:rsidRDefault="00926AA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上投摩根基金管理有限公司开放式基金业务规则</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w:t>
      </w:r>
      <w:r w:rsidRPr="00D97CD7">
        <w:rPr>
          <w:rFonts w:eastAsiaTheme="minorEastAsia"/>
          <w:color w:val="000000" w:themeColor="text1"/>
          <w:szCs w:val="21"/>
        </w:rPr>
        <w:t>八</w:t>
      </w:r>
      <w:r w:rsidRPr="00D97CD7">
        <w:rPr>
          <w:rFonts w:eastAsiaTheme="minorEastAsia"/>
          <w:color w:val="000000" w:themeColor="text1"/>
          <w:szCs w:val="21"/>
        </w:rPr>
        <w:t>)</w:t>
      </w:r>
      <w:r w:rsidRPr="00D97CD7">
        <w:rPr>
          <w:rFonts w:eastAsiaTheme="minorEastAsia"/>
          <w:color w:val="000000" w:themeColor="text1"/>
          <w:szCs w:val="21"/>
        </w:rPr>
        <w:t>中国证监会要求的其他文件</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8.2</w:t>
      </w:r>
      <w:r w:rsidRPr="00D97CD7">
        <w:rPr>
          <w:rFonts w:eastAsiaTheme="minorEastAsia"/>
          <w:b/>
          <w:bCs/>
          <w:color w:val="000000" w:themeColor="text1"/>
          <w:kern w:val="0"/>
          <w:szCs w:val="21"/>
        </w:rPr>
        <w:t>存放地点</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基金管理人或基金托管人住所。</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8.3</w:t>
      </w:r>
      <w:r w:rsidRPr="00D97CD7">
        <w:rPr>
          <w:rFonts w:eastAsiaTheme="minorEastAsia"/>
          <w:b/>
          <w:bCs/>
          <w:color w:val="000000" w:themeColor="text1"/>
          <w:kern w:val="0"/>
          <w:szCs w:val="21"/>
        </w:rPr>
        <w:t>查阅方式</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投资者可在营业时间免费查阅，也可按工本费购买复印件。</w:t>
      </w:r>
    </w:p>
    <w:p w:rsidR="00DB3887" w:rsidRPr="00D97CD7" w:rsidRDefault="00DB3887">
      <w:pPr>
        <w:spacing w:line="360" w:lineRule="auto"/>
        <w:ind w:left="840"/>
        <w:jc w:val="right"/>
        <w:rPr>
          <w:rFonts w:eastAsiaTheme="minorEastAsia"/>
          <w:color w:val="000000" w:themeColor="text1"/>
          <w:szCs w:val="21"/>
        </w:rPr>
      </w:pPr>
    </w:p>
    <w:p w:rsidR="00DB3887" w:rsidRPr="00D97CD7" w:rsidRDefault="00DB3887">
      <w:pPr>
        <w:spacing w:line="360" w:lineRule="auto"/>
        <w:ind w:left="840"/>
        <w:jc w:val="center"/>
        <w:rPr>
          <w:rFonts w:eastAsiaTheme="minorEastAsia"/>
          <w:b/>
          <w:color w:val="000000" w:themeColor="text1"/>
          <w:szCs w:val="21"/>
        </w:rPr>
      </w:pPr>
    </w:p>
    <w:p w:rsidR="00DB3887" w:rsidRPr="00D97CD7" w:rsidRDefault="00FC6961">
      <w:pPr>
        <w:spacing w:line="360" w:lineRule="auto"/>
        <w:jc w:val="right"/>
        <w:rPr>
          <w:rFonts w:eastAsiaTheme="minorEastAsia"/>
          <w:b/>
          <w:bCs/>
          <w:color w:val="000000" w:themeColor="text1"/>
          <w:szCs w:val="21"/>
        </w:rPr>
      </w:pPr>
      <w:r w:rsidRPr="00D97CD7">
        <w:rPr>
          <w:rFonts w:eastAsiaTheme="minorEastAsia"/>
          <w:b/>
          <w:bCs/>
          <w:color w:val="000000" w:themeColor="text1"/>
          <w:szCs w:val="21"/>
        </w:rPr>
        <w:t>上投摩根基金管理有限公司</w:t>
      </w:r>
    </w:p>
    <w:p w:rsidR="00DB3887" w:rsidRPr="00D97CD7" w:rsidRDefault="00FC6961">
      <w:pPr>
        <w:spacing w:line="360" w:lineRule="auto"/>
        <w:jc w:val="right"/>
        <w:rPr>
          <w:rFonts w:eastAsiaTheme="minorEastAsia"/>
          <w:b/>
          <w:bCs/>
          <w:color w:val="000000" w:themeColor="text1"/>
          <w:szCs w:val="21"/>
        </w:rPr>
      </w:pPr>
      <w:r w:rsidRPr="00D97CD7">
        <w:rPr>
          <w:rFonts w:eastAsiaTheme="minorEastAsia"/>
          <w:b/>
          <w:bCs/>
          <w:color w:val="000000" w:themeColor="text1"/>
          <w:szCs w:val="21"/>
        </w:rPr>
        <w:t>二〇二三年一月二十日</w:t>
      </w:r>
    </w:p>
    <w:sectPr w:rsidR="00DB3887" w:rsidRPr="00D97CD7">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1F9" w:rsidRDefault="00DA01F9">
      <w:r>
        <w:separator/>
      </w:r>
    </w:p>
  </w:endnote>
  <w:endnote w:type="continuationSeparator" w:id="0">
    <w:p w:rsidR="00DA01F9" w:rsidRDefault="00DA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26AAD">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26AAD">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FC6961" w:rsidRDefault="00FC6961">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926AAD">
      <w:rPr>
        <w:rStyle w:val="af6"/>
        <w:noProof/>
      </w:rPr>
      <w:t>2</w:t>
    </w:r>
    <w:r>
      <w:rPr>
        <w:rStyle w:val="af6"/>
      </w:rPr>
      <w:fldChar w:fldCharType="end"/>
    </w:r>
  </w:p>
  <w:p w:rsidR="00FC6961" w:rsidRDefault="00FC696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1F9" w:rsidRDefault="00DA01F9">
      <w:r>
        <w:separator/>
      </w:r>
    </w:p>
  </w:footnote>
  <w:footnote w:type="continuationSeparator" w:id="0">
    <w:p w:rsidR="00DA01F9" w:rsidRDefault="00DA0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f"/>
      <w:pBdr>
        <w:bottom w:val="single" w:sz="6" w:space="0" w:color="auto"/>
      </w:pBdr>
      <w:jc w:val="right"/>
    </w:pPr>
    <w:r>
      <w:rPr>
        <w:sz w:val="21"/>
        <w:szCs w:val="21"/>
      </w:rPr>
      <w:t>上投摩根</w:t>
    </w:r>
    <w:r>
      <w:rPr>
        <w:sz w:val="21"/>
        <w:szCs w:val="21"/>
      </w:rPr>
      <w:t>MSCI</w:t>
    </w:r>
    <w:r>
      <w:rPr>
        <w:sz w:val="21"/>
        <w:szCs w:val="21"/>
      </w:rPr>
      <w:t>中国</w:t>
    </w:r>
    <w:r>
      <w:rPr>
        <w:sz w:val="21"/>
        <w:szCs w:val="21"/>
      </w:rPr>
      <w:t>A</w:t>
    </w:r>
    <w:r>
      <w:rPr>
        <w:sz w:val="21"/>
        <w:szCs w:val="21"/>
      </w:rPr>
      <w:t>股交易型开放式指数证券投资基金联接基金</w:t>
    </w:r>
    <w:r>
      <w:rPr>
        <w:sz w:val="21"/>
        <w:szCs w:val="21"/>
      </w:rPr>
      <w:t>2022</w:t>
    </w:r>
    <w:r>
      <w:rPr>
        <w:sz w:val="21"/>
        <w:szCs w:val="21"/>
      </w:rPr>
      <w:t>年第</w:t>
    </w:r>
    <w:r>
      <w:rPr>
        <w:sz w:val="21"/>
        <w:szCs w:val="21"/>
      </w:rPr>
      <w:t>4</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4851"/>
    <w:rsid w:val="0001579C"/>
    <w:rsid w:val="00016551"/>
    <w:rsid w:val="00016934"/>
    <w:rsid w:val="00020737"/>
    <w:rsid w:val="00020C27"/>
    <w:rsid w:val="000219D5"/>
    <w:rsid w:val="00022396"/>
    <w:rsid w:val="00023073"/>
    <w:rsid w:val="00023B97"/>
    <w:rsid w:val="00024836"/>
    <w:rsid w:val="000252D8"/>
    <w:rsid w:val="0003564A"/>
    <w:rsid w:val="00035B0C"/>
    <w:rsid w:val="00042065"/>
    <w:rsid w:val="00043FD2"/>
    <w:rsid w:val="00045BA9"/>
    <w:rsid w:val="00047D87"/>
    <w:rsid w:val="000510AB"/>
    <w:rsid w:val="00053FFD"/>
    <w:rsid w:val="00055F3C"/>
    <w:rsid w:val="00056D5C"/>
    <w:rsid w:val="00061B0B"/>
    <w:rsid w:val="00061E09"/>
    <w:rsid w:val="00062C69"/>
    <w:rsid w:val="00062E1F"/>
    <w:rsid w:val="00064601"/>
    <w:rsid w:val="00064AE3"/>
    <w:rsid w:val="0006750A"/>
    <w:rsid w:val="000776C0"/>
    <w:rsid w:val="00077849"/>
    <w:rsid w:val="000803AD"/>
    <w:rsid w:val="000813D6"/>
    <w:rsid w:val="00081D05"/>
    <w:rsid w:val="000827CC"/>
    <w:rsid w:val="000871DB"/>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3452"/>
    <w:rsid w:val="000C45E7"/>
    <w:rsid w:val="000C5956"/>
    <w:rsid w:val="000C757F"/>
    <w:rsid w:val="000C7DD4"/>
    <w:rsid w:val="000D1164"/>
    <w:rsid w:val="000D1BBE"/>
    <w:rsid w:val="000D3773"/>
    <w:rsid w:val="000D4DE9"/>
    <w:rsid w:val="000D6660"/>
    <w:rsid w:val="000D6BA0"/>
    <w:rsid w:val="000D7ECA"/>
    <w:rsid w:val="000E2F81"/>
    <w:rsid w:val="000E3726"/>
    <w:rsid w:val="000E39DB"/>
    <w:rsid w:val="000F0558"/>
    <w:rsid w:val="000F0AC3"/>
    <w:rsid w:val="000F175F"/>
    <w:rsid w:val="000F17D1"/>
    <w:rsid w:val="000F1CC9"/>
    <w:rsid w:val="000F5ABD"/>
    <w:rsid w:val="000F60FF"/>
    <w:rsid w:val="000F6F7C"/>
    <w:rsid w:val="001005BB"/>
    <w:rsid w:val="00103B0E"/>
    <w:rsid w:val="001040EA"/>
    <w:rsid w:val="00112BCF"/>
    <w:rsid w:val="00114942"/>
    <w:rsid w:val="00114E7E"/>
    <w:rsid w:val="00117465"/>
    <w:rsid w:val="00117F22"/>
    <w:rsid w:val="00120280"/>
    <w:rsid w:val="001207F2"/>
    <w:rsid w:val="00121533"/>
    <w:rsid w:val="0012304E"/>
    <w:rsid w:val="00123051"/>
    <w:rsid w:val="001257C7"/>
    <w:rsid w:val="00125E66"/>
    <w:rsid w:val="00126AC0"/>
    <w:rsid w:val="00126C2B"/>
    <w:rsid w:val="00127A01"/>
    <w:rsid w:val="00130D77"/>
    <w:rsid w:val="00131EF6"/>
    <w:rsid w:val="0013251D"/>
    <w:rsid w:val="00134734"/>
    <w:rsid w:val="00134CBE"/>
    <w:rsid w:val="001364DC"/>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874"/>
    <w:rsid w:val="0017725A"/>
    <w:rsid w:val="0018052A"/>
    <w:rsid w:val="00180952"/>
    <w:rsid w:val="0018191A"/>
    <w:rsid w:val="00185B68"/>
    <w:rsid w:val="00186199"/>
    <w:rsid w:val="00194155"/>
    <w:rsid w:val="001A0417"/>
    <w:rsid w:val="001A0B71"/>
    <w:rsid w:val="001A1389"/>
    <w:rsid w:val="001A3016"/>
    <w:rsid w:val="001A3914"/>
    <w:rsid w:val="001A5FA6"/>
    <w:rsid w:val="001B053A"/>
    <w:rsid w:val="001B06D5"/>
    <w:rsid w:val="001B0C78"/>
    <w:rsid w:val="001B1A13"/>
    <w:rsid w:val="001B22BA"/>
    <w:rsid w:val="001B67D3"/>
    <w:rsid w:val="001C2045"/>
    <w:rsid w:val="001C5040"/>
    <w:rsid w:val="001C715A"/>
    <w:rsid w:val="001D0F6A"/>
    <w:rsid w:val="001D2FA5"/>
    <w:rsid w:val="001D3394"/>
    <w:rsid w:val="001D3D57"/>
    <w:rsid w:val="001D4980"/>
    <w:rsid w:val="001D5045"/>
    <w:rsid w:val="001D5A44"/>
    <w:rsid w:val="001D5CD0"/>
    <w:rsid w:val="001D724B"/>
    <w:rsid w:val="001E023C"/>
    <w:rsid w:val="001E0BA5"/>
    <w:rsid w:val="001E0C72"/>
    <w:rsid w:val="001F03E1"/>
    <w:rsid w:val="001F1F19"/>
    <w:rsid w:val="001F2BD1"/>
    <w:rsid w:val="001F3080"/>
    <w:rsid w:val="001F3CC6"/>
    <w:rsid w:val="001F5028"/>
    <w:rsid w:val="001F5F5F"/>
    <w:rsid w:val="001F66D3"/>
    <w:rsid w:val="00205064"/>
    <w:rsid w:val="0020548A"/>
    <w:rsid w:val="00206EC3"/>
    <w:rsid w:val="00211668"/>
    <w:rsid w:val="002118A6"/>
    <w:rsid w:val="002122FF"/>
    <w:rsid w:val="002125F7"/>
    <w:rsid w:val="0021288A"/>
    <w:rsid w:val="002150AC"/>
    <w:rsid w:val="00221938"/>
    <w:rsid w:val="00222262"/>
    <w:rsid w:val="002230A8"/>
    <w:rsid w:val="00227D20"/>
    <w:rsid w:val="00231BCE"/>
    <w:rsid w:val="00233CFB"/>
    <w:rsid w:val="0023524C"/>
    <w:rsid w:val="002359EB"/>
    <w:rsid w:val="0023649E"/>
    <w:rsid w:val="00241740"/>
    <w:rsid w:val="002424E4"/>
    <w:rsid w:val="00243122"/>
    <w:rsid w:val="002437F5"/>
    <w:rsid w:val="00244DB1"/>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6645"/>
    <w:rsid w:val="00267386"/>
    <w:rsid w:val="00267C2E"/>
    <w:rsid w:val="00267DA9"/>
    <w:rsid w:val="00275FD0"/>
    <w:rsid w:val="00280514"/>
    <w:rsid w:val="002819E7"/>
    <w:rsid w:val="00282FF2"/>
    <w:rsid w:val="00283483"/>
    <w:rsid w:val="002844B5"/>
    <w:rsid w:val="0028459B"/>
    <w:rsid w:val="002872F8"/>
    <w:rsid w:val="00296E4A"/>
    <w:rsid w:val="002976E5"/>
    <w:rsid w:val="002A1F14"/>
    <w:rsid w:val="002A2678"/>
    <w:rsid w:val="002A3369"/>
    <w:rsid w:val="002A4B8A"/>
    <w:rsid w:val="002A5161"/>
    <w:rsid w:val="002A5C0F"/>
    <w:rsid w:val="002A61BA"/>
    <w:rsid w:val="002A6385"/>
    <w:rsid w:val="002A7929"/>
    <w:rsid w:val="002B41D7"/>
    <w:rsid w:val="002B5240"/>
    <w:rsid w:val="002B6A13"/>
    <w:rsid w:val="002C0904"/>
    <w:rsid w:val="002C0F67"/>
    <w:rsid w:val="002C1E84"/>
    <w:rsid w:val="002C32ED"/>
    <w:rsid w:val="002C36C3"/>
    <w:rsid w:val="002C77CC"/>
    <w:rsid w:val="002D2A00"/>
    <w:rsid w:val="002D5199"/>
    <w:rsid w:val="002E2862"/>
    <w:rsid w:val="002E4C01"/>
    <w:rsid w:val="002F0516"/>
    <w:rsid w:val="002F22D2"/>
    <w:rsid w:val="002F778A"/>
    <w:rsid w:val="00302187"/>
    <w:rsid w:val="003028D8"/>
    <w:rsid w:val="0030290F"/>
    <w:rsid w:val="00302DE9"/>
    <w:rsid w:val="00303869"/>
    <w:rsid w:val="00303F1D"/>
    <w:rsid w:val="00305084"/>
    <w:rsid w:val="00307E1A"/>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0C22"/>
    <w:rsid w:val="00351704"/>
    <w:rsid w:val="003570C8"/>
    <w:rsid w:val="00367770"/>
    <w:rsid w:val="00371424"/>
    <w:rsid w:val="00371FF4"/>
    <w:rsid w:val="00372209"/>
    <w:rsid w:val="0037580C"/>
    <w:rsid w:val="003771ED"/>
    <w:rsid w:val="0037768B"/>
    <w:rsid w:val="00382E6F"/>
    <w:rsid w:val="00387C00"/>
    <w:rsid w:val="00397960"/>
    <w:rsid w:val="00397F75"/>
    <w:rsid w:val="003A2008"/>
    <w:rsid w:val="003A3BC4"/>
    <w:rsid w:val="003A4AA3"/>
    <w:rsid w:val="003B405E"/>
    <w:rsid w:val="003B4843"/>
    <w:rsid w:val="003B494E"/>
    <w:rsid w:val="003B560C"/>
    <w:rsid w:val="003C4EDC"/>
    <w:rsid w:val="003C6E9E"/>
    <w:rsid w:val="003C792F"/>
    <w:rsid w:val="003D117A"/>
    <w:rsid w:val="003D1AD1"/>
    <w:rsid w:val="003D36B2"/>
    <w:rsid w:val="003D42D5"/>
    <w:rsid w:val="003D78B5"/>
    <w:rsid w:val="003E0BD4"/>
    <w:rsid w:val="003E45B9"/>
    <w:rsid w:val="003E654C"/>
    <w:rsid w:val="003F0DE5"/>
    <w:rsid w:val="003F46FC"/>
    <w:rsid w:val="003F4AA5"/>
    <w:rsid w:val="003F697D"/>
    <w:rsid w:val="003F7C45"/>
    <w:rsid w:val="00400500"/>
    <w:rsid w:val="0040132C"/>
    <w:rsid w:val="0040218E"/>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8BB"/>
    <w:rsid w:val="0042785F"/>
    <w:rsid w:val="004314FF"/>
    <w:rsid w:val="004408EC"/>
    <w:rsid w:val="00440F74"/>
    <w:rsid w:val="00441FEC"/>
    <w:rsid w:val="004425E8"/>
    <w:rsid w:val="0044280E"/>
    <w:rsid w:val="00443C8F"/>
    <w:rsid w:val="00447BC6"/>
    <w:rsid w:val="004501CE"/>
    <w:rsid w:val="00452481"/>
    <w:rsid w:val="00453417"/>
    <w:rsid w:val="00454A0F"/>
    <w:rsid w:val="0046335D"/>
    <w:rsid w:val="00463C2C"/>
    <w:rsid w:val="00483271"/>
    <w:rsid w:val="004856A9"/>
    <w:rsid w:val="0049210E"/>
    <w:rsid w:val="0049297D"/>
    <w:rsid w:val="0049327D"/>
    <w:rsid w:val="0049405D"/>
    <w:rsid w:val="0049455C"/>
    <w:rsid w:val="00495A03"/>
    <w:rsid w:val="004A1BE1"/>
    <w:rsid w:val="004A63CB"/>
    <w:rsid w:val="004A67B0"/>
    <w:rsid w:val="004A6FB2"/>
    <w:rsid w:val="004B0847"/>
    <w:rsid w:val="004B0E6D"/>
    <w:rsid w:val="004B16E8"/>
    <w:rsid w:val="004B54B8"/>
    <w:rsid w:val="004C0541"/>
    <w:rsid w:val="004C634A"/>
    <w:rsid w:val="004C660B"/>
    <w:rsid w:val="004D050C"/>
    <w:rsid w:val="004D23D9"/>
    <w:rsid w:val="004D3537"/>
    <w:rsid w:val="004D45B6"/>
    <w:rsid w:val="004D4D4E"/>
    <w:rsid w:val="004D614E"/>
    <w:rsid w:val="004D650F"/>
    <w:rsid w:val="004E2133"/>
    <w:rsid w:val="004E4E04"/>
    <w:rsid w:val="004F521C"/>
    <w:rsid w:val="00502CD8"/>
    <w:rsid w:val="0050361C"/>
    <w:rsid w:val="00506A40"/>
    <w:rsid w:val="0051064F"/>
    <w:rsid w:val="00513A0E"/>
    <w:rsid w:val="005147F3"/>
    <w:rsid w:val="00515D7B"/>
    <w:rsid w:val="00515F29"/>
    <w:rsid w:val="0052009E"/>
    <w:rsid w:val="00524880"/>
    <w:rsid w:val="00530161"/>
    <w:rsid w:val="00532998"/>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7209"/>
    <w:rsid w:val="005800A9"/>
    <w:rsid w:val="00581139"/>
    <w:rsid w:val="00581645"/>
    <w:rsid w:val="00583723"/>
    <w:rsid w:val="005852D1"/>
    <w:rsid w:val="0058607A"/>
    <w:rsid w:val="0058694E"/>
    <w:rsid w:val="005875F9"/>
    <w:rsid w:val="00593A35"/>
    <w:rsid w:val="00593C74"/>
    <w:rsid w:val="00597D8B"/>
    <w:rsid w:val="005A46FF"/>
    <w:rsid w:val="005A509C"/>
    <w:rsid w:val="005A557E"/>
    <w:rsid w:val="005A63FD"/>
    <w:rsid w:val="005B462A"/>
    <w:rsid w:val="005B5137"/>
    <w:rsid w:val="005B6047"/>
    <w:rsid w:val="005C0ED7"/>
    <w:rsid w:val="005C5409"/>
    <w:rsid w:val="005C6FF7"/>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5F7D47"/>
    <w:rsid w:val="0060008E"/>
    <w:rsid w:val="00602321"/>
    <w:rsid w:val="006033E3"/>
    <w:rsid w:val="00606B29"/>
    <w:rsid w:val="0060758A"/>
    <w:rsid w:val="00607D0E"/>
    <w:rsid w:val="006101F5"/>
    <w:rsid w:val="00610DA5"/>
    <w:rsid w:val="00611663"/>
    <w:rsid w:val="0061321C"/>
    <w:rsid w:val="00613F44"/>
    <w:rsid w:val="006160BD"/>
    <w:rsid w:val="00617125"/>
    <w:rsid w:val="00620EDB"/>
    <w:rsid w:val="0062386E"/>
    <w:rsid w:val="00623DB6"/>
    <w:rsid w:val="006253EF"/>
    <w:rsid w:val="00626075"/>
    <w:rsid w:val="0062680E"/>
    <w:rsid w:val="00631158"/>
    <w:rsid w:val="00632923"/>
    <w:rsid w:val="006341E6"/>
    <w:rsid w:val="00634439"/>
    <w:rsid w:val="006366C6"/>
    <w:rsid w:val="00636B55"/>
    <w:rsid w:val="00636EB1"/>
    <w:rsid w:val="006373D6"/>
    <w:rsid w:val="006403D4"/>
    <w:rsid w:val="00642CBC"/>
    <w:rsid w:val="0064454A"/>
    <w:rsid w:val="00645293"/>
    <w:rsid w:val="00651B78"/>
    <w:rsid w:val="0065237A"/>
    <w:rsid w:val="00652FF5"/>
    <w:rsid w:val="00654382"/>
    <w:rsid w:val="00661244"/>
    <w:rsid w:val="006640DF"/>
    <w:rsid w:val="00666A3C"/>
    <w:rsid w:val="00667519"/>
    <w:rsid w:val="006676A0"/>
    <w:rsid w:val="00670857"/>
    <w:rsid w:val="00670868"/>
    <w:rsid w:val="00673D69"/>
    <w:rsid w:val="00676431"/>
    <w:rsid w:val="0068050D"/>
    <w:rsid w:val="00685FFC"/>
    <w:rsid w:val="00686943"/>
    <w:rsid w:val="00686EDE"/>
    <w:rsid w:val="00687AD5"/>
    <w:rsid w:val="00690A31"/>
    <w:rsid w:val="006911CE"/>
    <w:rsid w:val="00695251"/>
    <w:rsid w:val="00695B58"/>
    <w:rsid w:val="0069798D"/>
    <w:rsid w:val="006A4828"/>
    <w:rsid w:val="006A7C09"/>
    <w:rsid w:val="006B046C"/>
    <w:rsid w:val="006B252F"/>
    <w:rsid w:val="006B3940"/>
    <w:rsid w:val="006B3FDB"/>
    <w:rsid w:val="006B66FE"/>
    <w:rsid w:val="006C168D"/>
    <w:rsid w:val="006C4033"/>
    <w:rsid w:val="006C642C"/>
    <w:rsid w:val="006D7386"/>
    <w:rsid w:val="006E0DAD"/>
    <w:rsid w:val="006E313F"/>
    <w:rsid w:val="006E3EFB"/>
    <w:rsid w:val="006F1F1A"/>
    <w:rsid w:val="006F5AC2"/>
    <w:rsid w:val="006F5B4C"/>
    <w:rsid w:val="006F6C28"/>
    <w:rsid w:val="007007EB"/>
    <w:rsid w:val="00701F57"/>
    <w:rsid w:val="00703E8A"/>
    <w:rsid w:val="00706046"/>
    <w:rsid w:val="007112F0"/>
    <w:rsid w:val="00711343"/>
    <w:rsid w:val="00712305"/>
    <w:rsid w:val="00714309"/>
    <w:rsid w:val="0071450F"/>
    <w:rsid w:val="00717772"/>
    <w:rsid w:val="00721DBE"/>
    <w:rsid w:val="007226EC"/>
    <w:rsid w:val="00722B5E"/>
    <w:rsid w:val="00724F6D"/>
    <w:rsid w:val="0072678C"/>
    <w:rsid w:val="00732D1D"/>
    <w:rsid w:val="007350D4"/>
    <w:rsid w:val="00736034"/>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008C"/>
    <w:rsid w:val="0078105B"/>
    <w:rsid w:val="00782B50"/>
    <w:rsid w:val="00783DFF"/>
    <w:rsid w:val="00784FE0"/>
    <w:rsid w:val="007858B1"/>
    <w:rsid w:val="0078648E"/>
    <w:rsid w:val="00791A3A"/>
    <w:rsid w:val="00791D9C"/>
    <w:rsid w:val="007A13FC"/>
    <w:rsid w:val="007A391B"/>
    <w:rsid w:val="007A4409"/>
    <w:rsid w:val="007A4E67"/>
    <w:rsid w:val="007A4F37"/>
    <w:rsid w:val="007A5241"/>
    <w:rsid w:val="007A5738"/>
    <w:rsid w:val="007A59B8"/>
    <w:rsid w:val="007B06C7"/>
    <w:rsid w:val="007B3D06"/>
    <w:rsid w:val="007B42F5"/>
    <w:rsid w:val="007B5157"/>
    <w:rsid w:val="007B5CD8"/>
    <w:rsid w:val="007C04A1"/>
    <w:rsid w:val="007C1122"/>
    <w:rsid w:val="007C19EC"/>
    <w:rsid w:val="007C364E"/>
    <w:rsid w:val="007C5359"/>
    <w:rsid w:val="007C6701"/>
    <w:rsid w:val="007D16ED"/>
    <w:rsid w:val="007D2398"/>
    <w:rsid w:val="007D440B"/>
    <w:rsid w:val="007D5908"/>
    <w:rsid w:val="007D62F9"/>
    <w:rsid w:val="007D63A4"/>
    <w:rsid w:val="007D732D"/>
    <w:rsid w:val="007E0F19"/>
    <w:rsid w:val="007E2A84"/>
    <w:rsid w:val="007E5ECB"/>
    <w:rsid w:val="007F063D"/>
    <w:rsid w:val="007F0D73"/>
    <w:rsid w:val="007F432A"/>
    <w:rsid w:val="007F63AA"/>
    <w:rsid w:val="008006B7"/>
    <w:rsid w:val="008032FD"/>
    <w:rsid w:val="00806461"/>
    <w:rsid w:val="008064CE"/>
    <w:rsid w:val="0080673A"/>
    <w:rsid w:val="00807A94"/>
    <w:rsid w:val="00810B79"/>
    <w:rsid w:val="00810EAD"/>
    <w:rsid w:val="00812803"/>
    <w:rsid w:val="008129C0"/>
    <w:rsid w:val="00813B0C"/>
    <w:rsid w:val="00814530"/>
    <w:rsid w:val="00815386"/>
    <w:rsid w:val="00821F9C"/>
    <w:rsid w:val="00825570"/>
    <w:rsid w:val="00826403"/>
    <w:rsid w:val="00827990"/>
    <w:rsid w:val="00834CA6"/>
    <w:rsid w:val="0083623B"/>
    <w:rsid w:val="008379E4"/>
    <w:rsid w:val="00837E59"/>
    <w:rsid w:val="00842100"/>
    <w:rsid w:val="008428A9"/>
    <w:rsid w:val="0084308F"/>
    <w:rsid w:val="00846C2B"/>
    <w:rsid w:val="0085139A"/>
    <w:rsid w:val="008524F6"/>
    <w:rsid w:val="00854B3F"/>
    <w:rsid w:val="00861C2C"/>
    <w:rsid w:val="008668B8"/>
    <w:rsid w:val="0086748F"/>
    <w:rsid w:val="00867B4D"/>
    <w:rsid w:val="00867CF3"/>
    <w:rsid w:val="00870278"/>
    <w:rsid w:val="008739BB"/>
    <w:rsid w:val="00874AB5"/>
    <w:rsid w:val="00875A68"/>
    <w:rsid w:val="00877671"/>
    <w:rsid w:val="00877A13"/>
    <w:rsid w:val="008869BC"/>
    <w:rsid w:val="00887DDD"/>
    <w:rsid w:val="00887DE6"/>
    <w:rsid w:val="00887E9F"/>
    <w:rsid w:val="008908AA"/>
    <w:rsid w:val="00890E08"/>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6CA1"/>
    <w:rsid w:val="008B7110"/>
    <w:rsid w:val="008B7F4A"/>
    <w:rsid w:val="008C04E1"/>
    <w:rsid w:val="008C04FE"/>
    <w:rsid w:val="008C2F50"/>
    <w:rsid w:val="008C3109"/>
    <w:rsid w:val="008C4966"/>
    <w:rsid w:val="008C5312"/>
    <w:rsid w:val="008C5DBD"/>
    <w:rsid w:val="008C61D6"/>
    <w:rsid w:val="008D49AF"/>
    <w:rsid w:val="008D4A2B"/>
    <w:rsid w:val="008D4A9F"/>
    <w:rsid w:val="008D6294"/>
    <w:rsid w:val="008E1FE0"/>
    <w:rsid w:val="008E3939"/>
    <w:rsid w:val="008E3DDD"/>
    <w:rsid w:val="008F1426"/>
    <w:rsid w:val="008F23F4"/>
    <w:rsid w:val="008F61C4"/>
    <w:rsid w:val="008F7763"/>
    <w:rsid w:val="009007CB"/>
    <w:rsid w:val="009010F0"/>
    <w:rsid w:val="00901162"/>
    <w:rsid w:val="00901D46"/>
    <w:rsid w:val="009028E2"/>
    <w:rsid w:val="00903692"/>
    <w:rsid w:val="00904E07"/>
    <w:rsid w:val="00912BAF"/>
    <w:rsid w:val="00914EAB"/>
    <w:rsid w:val="0091541F"/>
    <w:rsid w:val="00920D98"/>
    <w:rsid w:val="00922D49"/>
    <w:rsid w:val="009238DB"/>
    <w:rsid w:val="00925E37"/>
    <w:rsid w:val="00925EDD"/>
    <w:rsid w:val="00926AAD"/>
    <w:rsid w:val="00930079"/>
    <w:rsid w:val="00930966"/>
    <w:rsid w:val="00932F64"/>
    <w:rsid w:val="00936075"/>
    <w:rsid w:val="00936D40"/>
    <w:rsid w:val="00937ABF"/>
    <w:rsid w:val="00937DB1"/>
    <w:rsid w:val="009407FE"/>
    <w:rsid w:val="009463CC"/>
    <w:rsid w:val="00950413"/>
    <w:rsid w:val="0095078E"/>
    <w:rsid w:val="00952404"/>
    <w:rsid w:val="00952A72"/>
    <w:rsid w:val="0095465B"/>
    <w:rsid w:val="009550A8"/>
    <w:rsid w:val="00955FF2"/>
    <w:rsid w:val="0095693D"/>
    <w:rsid w:val="00956B0D"/>
    <w:rsid w:val="0096260B"/>
    <w:rsid w:val="009631C1"/>
    <w:rsid w:val="00963918"/>
    <w:rsid w:val="00970C69"/>
    <w:rsid w:val="00973B57"/>
    <w:rsid w:val="00973E0D"/>
    <w:rsid w:val="0097403F"/>
    <w:rsid w:val="00975D18"/>
    <w:rsid w:val="00976797"/>
    <w:rsid w:val="00980C0C"/>
    <w:rsid w:val="00982E47"/>
    <w:rsid w:val="00983E7D"/>
    <w:rsid w:val="00991642"/>
    <w:rsid w:val="0099260C"/>
    <w:rsid w:val="009942F4"/>
    <w:rsid w:val="00995B3C"/>
    <w:rsid w:val="009A045B"/>
    <w:rsid w:val="009A0513"/>
    <w:rsid w:val="009A2283"/>
    <w:rsid w:val="009A31AF"/>
    <w:rsid w:val="009A3507"/>
    <w:rsid w:val="009A5C1D"/>
    <w:rsid w:val="009B4286"/>
    <w:rsid w:val="009B5BF9"/>
    <w:rsid w:val="009B5DAF"/>
    <w:rsid w:val="009B5F83"/>
    <w:rsid w:val="009B61C5"/>
    <w:rsid w:val="009B769E"/>
    <w:rsid w:val="009C03E5"/>
    <w:rsid w:val="009C4D19"/>
    <w:rsid w:val="009C5FDB"/>
    <w:rsid w:val="009C65AF"/>
    <w:rsid w:val="009C67A4"/>
    <w:rsid w:val="009C70CB"/>
    <w:rsid w:val="009C74DD"/>
    <w:rsid w:val="009D27AA"/>
    <w:rsid w:val="009D2AD9"/>
    <w:rsid w:val="009D4346"/>
    <w:rsid w:val="009D514E"/>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6437"/>
    <w:rsid w:val="00A32410"/>
    <w:rsid w:val="00A32B48"/>
    <w:rsid w:val="00A36D00"/>
    <w:rsid w:val="00A43389"/>
    <w:rsid w:val="00A4642E"/>
    <w:rsid w:val="00A47AF8"/>
    <w:rsid w:val="00A50AC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5B37"/>
    <w:rsid w:val="00A96B6F"/>
    <w:rsid w:val="00AA0CE8"/>
    <w:rsid w:val="00AA35FD"/>
    <w:rsid w:val="00AA3DB7"/>
    <w:rsid w:val="00AA5F63"/>
    <w:rsid w:val="00AA7EBD"/>
    <w:rsid w:val="00AB2431"/>
    <w:rsid w:val="00AB69EF"/>
    <w:rsid w:val="00AC11DC"/>
    <w:rsid w:val="00AC3E87"/>
    <w:rsid w:val="00AC469F"/>
    <w:rsid w:val="00AD0611"/>
    <w:rsid w:val="00AD0E4F"/>
    <w:rsid w:val="00AD26D7"/>
    <w:rsid w:val="00AD3905"/>
    <w:rsid w:val="00AD4555"/>
    <w:rsid w:val="00AD4A31"/>
    <w:rsid w:val="00AD5638"/>
    <w:rsid w:val="00AD7214"/>
    <w:rsid w:val="00AE1066"/>
    <w:rsid w:val="00AE12A4"/>
    <w:rsid w:val="00AE2E1B"/>
    <w:rsid w:val="00AE33EA"/>
    <w:rsid w:val="00AE5129"/>
    <w:rsid w:val="00AE5645"/>
    <w:rsid w:val="00AF1D6B"/>
    <w:rsid w:val="00AF24AA"/>
    <w:rsid w:val="00AF3AF9"/>
    <w:rsid w:val="00AF3E5F"/>
    <w:rsid w:val="00AF4F09"/>
    <w:rsid w:val="00AF643E"/>
    <w:rsid w:val="00AF79C8"/>
    <w:rsid w:val="00B007B6"/>
    <w:rsid w:val="00B00FA8"/>
    <w:rsid w:val="00B011B0"/>
    <w:rsid w:val="00B0270C"/>
    <w:rsid w:val="00B0391C"/>
    <w:rsid w:val="00B047F6"/>
    <w:rsid w:val="00B06019"/>
    <w:rsid w:val="00B0700F"/>
    <w:rsid w:val="00B1493B"/>
    <w:rsid w:val="00B15119"/>
    <w:rsid w:val="00B17169"/>
    <w:rsid w:val="00B20F47"/>
    <w:rsid w:val="00B23996"/>
    <w:rsid w:val="00B23CB2"/>
    <w:rsid w:val="00B24A18"/>
    <w:rsid w:val="00B255C5"/>
    <w:rsid w:val="00B25807"/>
    <w:rsid w:val="00B268B3"/>
    <w:rsid w:val="00B268DD"/>
    <w:rsid w:val="00B32AE1"/>
    <w:rsid w:val="00B37780"/>
    <w:rsid w:val="00B37813"/>
    <w:rsid w:val="00B37EEF"/>
    <w:rsid w:val="00B41ABB"/>
    <w:rsid w:val="00B41C1D"/>
    <w:rsid w:val="00B43917"/>
    <w:rsid w:val="00B4515C"/>
    <w:rsid w:val="00B46220"/>
    <w:rsid w:val="00B464EA"/>
    <w:rsid w:val="00B47574"/>
    <w:rsid w:val="00B50DF7"/>
    <w:rsid w:val="00B5430C"/>
    <w:rsid w:val="00B56A90"/>
    <w:rsid w:val="00B5711C"/>
    <w:rsid w:val="00B57BCF"/>
    <w:rsid w:val="00B57E36"/>
    <w:rsid w:val="00B60209"/>
    <w:rsid w:val="00B606A3"/>
    <w:rsid w:val="00B65D6F"/>
    <w:rsid w:val="00B664B8"/>
    <w:rsid w:val="00B673F3"/>
    <w:rsid w:val="00B67A25"/>
    <w:rsid w:val="00B70229"/>
    <w:rsid w:val="00B7354A"/>
    <w:rsid w:val="00B7435B"/>
    <w:rsid w:val="00B74446"/>
    <w:rsid w:val="00B74B59"/>
    <w:rsid w:val="00B77142"/>
    <w:rsid w:val="00B8024E"/>
    <w:rsid w:val="00B80C3A"/>
    <w:rsid w:val="00B81633"/>
    <w:rsid w:val="00B84643"/>
    <w:rsid w:val="00B90452"/>
    <w:rsid w:val="00B90780"/>
    <w:rsid w:val="00B916D6"/>
    <w:rsid w:val="00B91AD8"/>
    <w:rsid w:val="00B9209B"/>
    <w:rsid w:val="00B9240D"/>
    <w:rsid w:val="00B95753"/>
    <w:rsid w:val="00B97E42"/>
    <w:rsid w:val="00BA0C05"/>
    <w:rsid w:val="00BA54D0"/>
    <w:rsid w:val="00BB1013"/>
    <w:rsid w:val="00BB44F9"/>
    <w:rsid w:val="00BB4515"/>
    <w:rsid w:val="00BB7B89"/>
    <w:rsid w:val="00BC1A9B"/>
    <w:rsid w:val="00BC2A22"/>
    <w:rsid w:val="00BC4986"/>
    <w:rsid w:val="00BC5E2E"/>
    <w:rsid w:val="00BC6379"/>
    <w:rsid w:val="00BC7EEF"/>
    <w:rsid w:val="00BD43BB"/>
    <w:rsid w:val="00BD7ADE"/>
    <w:rsid w:val="00BE1A85"/>
    <w:rsid w:val="00BE46ED"/>
    <w:rsid w:val="00BE4FD1"/>
    <w:rsid w:val="00BE642D"/>
    <w:rsid w:val="00BE6D7A"/>
    <w:rsid w:val="00BF2511"/>
    <w:rsid w:val="00BF377F"/>
    <w:rsid w:val="00BF3F88"/>
    <w:rsid w:val="00BF57BE"/>
    <w:rsid w:val="00C0042B"/>
    <w:rsid w:val="00C02E58"/>
    <w:rsid w:val="00C030B6"/>
    <w:rsid w:val="00C04B38"/>
    <w:rsid w:val="00C067B7"/>
    <w:rsid w:val="00C10A09"/>
    <w:rsid w:val="00C121BC"/>
    <w:rsid w:val="00C14D92"/>
    <w:rsid w:val="00C15AEF"/>
    <w:rsid w:val="00C16739"/>
    <w:rsid w:val="00C17F3F"/>
    <w:rsid w:val="00C23BA2"/>
    <w:rsid w:val="00C260A2"/>
    <w:rsid w:val="00C30DEC"/>
    <w:rsid w:val="00C31142"/>
    <w:rsid w:val="00C31DEF"/>
    <w:rsid w:val="00C338EB"/>
    <w:rsid w:val="00C35BB7"/>
    <w:rsid w:val="00C36B35"/>
    <w:rsid w:val="00C400CD"/>
    <w:rsid w:val="00C41617"/>
    <w:rsid w:val="00C4309A"/>
    <w:rsid w:val="00C43F23"/>
    <w:rsid w:val="00C43FF1"/>
    <w:rsid w:val="00C45494"/>
    <w:rsid w:val="00C51D3D"/>
    <w:rsid w:val="00C52D18"/>
    <w:rsid w:val="00C559CE"/>
    <w:rsid w:val="00C55E19"/>
    <w:rsid w:val="00C563BF"/>
    <w:rsid w:val="00C57512"/>
    <w:rsid w:val="00C57607"/>
    <w:rsid w:val="00C61133"/>
    <w:rsid w:val="00C64009"/>
    <w:rsid w:val="00C7016D"/>
    <w:rsid w:val="00C767B3"/>
    <w:rsid w:val="00C76C07"/>
    <w:rsid w:val="00C80F23"/>
    <w:rsid w:val="00C817E5"/>
    <w:rsid w:val="00C850A3"/>
    <w:rsid w:val="00C87568"/>
    <w:rsid w:val="00C92451"/>
    <w:rsid w:val="00C9272C"/>
    <w:rsid w:val="00C97764"/>
    <w:rsid w:val="00C97C9B"/>
    <w:rsid w:val="00CA344C"/>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05C9"/>
    <w:rsid w:val="00D3194F"/>
    <w:rsid w:val="00D33751"/>
    <w:rsid w:val="00D37343"/>
    <w:rsid w:val="00D37495"/>
    <w:rsid w:val="00D41727"/>
    <w:rsid w:val="00D427E4"/>
    <w:rsid w:val="00D45F1B"/>
    <w:rsid w:val="00D472A5"/>
    <w:rsid w:val="00D52289"/>
    <w:rsid w:val="00D55A37"/>
    <w:rsid w:val="00D55B7E"/>
    <w:rsid w:val="00D64354"/>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110D"/>
    <w:rsid w:val="00D91124"/>
    <w:rsid w:val="00D91987"/>
    <w:rsid w:val="00D92168"/>
    <w:rsid w:val="00D93426"/>
    <w:rsid w:val="00D94B22"/>
    <w:rsid w:val="00D958D3"/>
    <w:rsid w:val="00D9594F"/>
    <w:rsid w:val="00D97213"/>
    <w:rsid w:val="00D97CD7"/>
    <w:rsid w:val="00DA01F9"/>
    <w:rsid w:val="00DA134E"/>
    <w:rsid w:val="00DA13F3"/>
    <w:rsid w:val="00DA2DE3"/>
    <w:rsid w:val="00DA64AF"/>
    <w:rsid w:val="00DB1F4F"/>
    <w:rsid w:val="00DB2AC7"/>
    <w:rsid w:val="00DB3887"/>
    <w:rsid w:val="00DB704C"/>
    <w:rsid w:val="00DC2623"/>
    <w:rsid w:val="00DC693B"/>
    <w:rsid w:val="00DC7C77"/>
    <w:rsid w:val="00DD0F5D"/>
    <w:rsid w:val="00DD426D"/>
    <w:rsid w:val="00DD74FC"/>
    <w:rsid w:val="00DE117F"/>
    <w:rsid w:val="00DE1769"/>
    <w:rsid w:val="00DE1A17"/>
    <w:rsid w:val="00DE44C8"/>
    <w:rsid w:val="00DE64CC"/>
    <w:rsid w:val="00DE6AA9"/>
    <w:rsid w:val="00DE7B30"/>
    <w:rsid w:val="00DF20C7"/>
    <w:rsid w:val="00DF4D0C"/>
    <w:rsid w:val="00DF5C20"/>
    <w:rsid w:val="00DF7D81"/>
    <w:rsid w:val="00E00789"/>
    <w:rsid w:val="00E02DEB"/>
    <w:rsid w:val="00E042A1"/>
    <w:rsid w:val="00E0476C"/>
    <w:rsid w:val="00E0576B"/>
    <w:rsid w:val="00E067EA"/>
    <w:rsid w:val="00E06D18"/>
    <w:rsid w:val="00E104FA"/>
    <w:rsid w:val="00E1320D"/>
    <w:rsid w:val="00E15FD1"/>
    <w:rsid w:val="00E16022"/>
    <w:rsid w:val="00E1738C"/>
    <w:rsid w:val="00E174FF"/>
    <w:rsid w:val="00E205AA"/>
    <w:rsid w:val="00E22296"/>
    <w:rsid w:val="00E27360"/>
    <w:rsid w:val="00E27C04"/>
    <w:rsid w:val="00E30713"/>
    <w:rsid w:val="00E30EDF"/>
    <w:rsid w:val="00E31FBA"/>
    <w:rsid w:val="00E328E2"/>
    <w:rsid w:val="00E336BB"/>
    <w:rsid w:val="00E3384E"/>
    <w:rsid w:val="00E374C8"/>
    <w:rsid w:val="00E4042D"/>
    <w:rsid w:val="00E4135D"/>
    <w:rsid w:val="00E43750"/>
    <w:rsid w:val="00E508EB"/>
    <w:rsid w:val="00E521E3"/>
    <w:rsid w:val="00E53B7A"/>
    <w:rsid w:val="00E550C9"/>
    <w:rsid w:val="00E55405"/>
    <w:rsid w:val="00E561F9"/>
    <w:rsid w:val="00E5645D"/>
    <w:rsid w:val="00E627A4"/>
    <w:rsid w:val="00E6280E"/>
    <w:rsid w:val="00E62C9C"/>
    <w:rsid w:val="00E630EE"/>
    <w:rsid w:val="00E67A61"/>
    <w:rsid w:val="00E70455"/>
    <w:rsid w:val="00E73221"/>
    <w:rsid w:val="00E75116"/>
    <w:rsid w:val="00E763EB"/>
    <w:rsid w:val="00E8249B"/>
    <w:rsid w:val="00E8342F"/>
    <w:rsid w:val="00E84632"/>
    <w:rsid w:val="00E847EE"/>
    <w:rsid w:val="00E876F9"/>
    <w:rsid w:val="00E92BEA"/>
    <w:rsid w:val="00E96A72"/>
    <w:rsid w:val="00E96B52"/>
    <w:rsid w:val="00EA01F7"/>
    <w:rsid w:val="00EA1D33"/>
    <w:rsid w:val="00EA1F5A"/>
    <w:rsid w:val="00EA375F"/>
    <w:rsid w:val="00EA7104"/>
    <w:rsid w:val="00EA7533"/>
    <w:rsid w:val="00EB067F"/>
    <w:rsid w:val="00EB2419"/>
    <w:rsid w:val="00EB58F5"/>
    <w:rsid w:val="00EB6E6B"/>
    <w:rsid w:val="00EC010F"/>
    <w:rsid w:val="00EC2E3A"/>
    <w:rsid w:val="00EC3CCB"/>
    <w:rsid w:val="00EC5A74"/>
    <w:rsid w:val="00EC5D21"/>
    <w:rsid w:val="00EC737D"/>
    <w:rsid w:val="00ED2154"/>
    <w:rsid w:val="00ED4277"/>
    <w:rsid w:val="00ED7C8C"/>
    <w:rsid w:val="00ED7DDB"/>
    <w:rsid w:val="00EE431B"/>
    <w:rsid w:val="00EE4874"/>
    <w:rsid w:val="00EE53E5"/>
    <w:rsid w:val="00EE6852"/>
    <w:rsid w:val="00EE73FB"/>
    <w:rsid w:val="00EE7BF0"/>
    <w:rsid w:val="00EF2674"/>
    <w:rsid w:val="00EF556F"/>
    <w:rsid w:val="00EF7D07"/>
    <w:rsid w:val="00F0181C"/>
    <w:rsid w:val="00F03512"/>
    <w:rsid w:val="00F0433A"/>
    <w:rsid w:val="00F0519B"/>
    <w:rsid w:val="00F059D4"/>
    <w:rsid w:val="00F11783"/>
    <w:rsid w:val="00F119AF"/>
    <w:rsid w:val="00F1480B"/>
    <w:rsid w:val="00F1498D"/>
    <w:rsid w:val="00F15173"/>
    <w:rsid w:val="00F20065"/>
    <w:rsid w:val="00F22211"/>
    <w:rsid w:val="00F22341"/>
    <w:rsid w:val="00F24039"/>
    <w:rsid w:val="00F24E0E"/>
    <w:rsid w:val="00F26693"/>
    <w:rsid w:val="00F3477D"/>
    <w:rsid w:val="00F347FE"/>
    <w:rsid w:val="00F34859"/>
    <w:rsid w:val="00F356F7"/>
    <w:rsid w:val="00F40055"/>
    <w:rsid w:val="00F40868"/>
    <w:rsid w:val="00F421D5"/>
    <w:rsid w:val="00F44FDE"/>
    <w:rsid w:val="00F46467"/>
    <w:rsid w:val="00F46B63"/>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91B52"/>
    <w:rsid w:val="00F961A9"/>
    <w:rsid w:val="00F97478"/>
    <w:rsid w:val="00F97B71"/>
    <w:rsid w:val="00F97B9E"/>
    <w:rsid w:val="00FA0527"/>
    <w:rsid w:val="00FA085E"/>
    <w:rsid w:val="00FA0947"/>
    <w:rsid w:val="00FA2D49"/>
    <w:rsid w:val="00FA4B52"/>
    <w:rsid w:val="00FA4D4F"/>
    <w:rsid w:val="00FA4D5B"/>
    <w:rsid w:val="00FA54E8"/>
    <w:rsid w:val="00FA621E"/>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961"/>
    <w:rsid w:val="00FC7F43"/>
    <w:rsid w:val="00FD7D41"/>
    <w:rsid w:val="00FE0072"/>
    <w:rsid w:val="00FE0C71"/>
    <w:rsid w:val="00FE0C8B"/>
    <w:rsid w:val="00FE1E47"/>
    <w:rsid w:val="00FE275D"/>
    <w:rsid w:val="00FE7FBD"/>
    <w:rsid w:val="00FF10BC"/>
    <w:rsid w:val="00FF5DCF"/>
    <w:rsid w:val="00FF6ADB"/>
    <w:rsid w:val="404B1C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329908D-DE47-4094-8239-F43C4054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Normal Indent" w:uiPriority="99"/>
    <w:lsdException w:name="footnote text" w:qFormat="1"/>
    <w:lsdException w:name="annotation text" w:semiHidden="1" w:qFormat="1"/>
    <w:lsdException w:name="header" w:uiPriority="99"/>
    <w:lsdException w:name="caption" w:semiHidden="1" w:unhideWhenUsed="1" w:qFormat="1"/>
    <w:lsdException w:name="footnote reference" w:qFormat="1"/>
    <w:lsdException w:name="annotation reference" w:semiHidden="1"/>
    <w:lsdException w:name="Title" w:qFormat="1"/>
    <w:lsdException w:name="Default Paragraph Font" w:semiHidden="1" w:uiPriority="1" w:unhideWhenUsed="1"/>
    <w:lsdException w:name="Subtitle" w:qFormat="1"/>
    <w:lsdException w:name="Date" w:uiPriority="99"/>
    <w:lsdException w:name="Strong" w:uiPriority="22" w:qFormat="1"/>
    <w:lsdException w:name="Emphasis" w:qFormat="1"/>
    <w:lsdException w:name="Document Map" w:semiHidden="1" w:qFormat="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
    <w:name w:val="Body Text Indent 3"/>
    <w:basedOn w:val="a"/>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5">
    <w:name w:val="Strong"/>
    <w:basedOn w:val="a1"/>
    <w:uiPriority w:val="22"/>
    <w:qFormat/>
    <w:rPr>
      <w:b/>
      <w:bCs/>
    </w:rPr>
  </w:style>
  <w:style w:type="character" w:styleId="af6">
    <w:name w:val="page number"/>
    <w:basedOn w:val="a1"/>
  </w:style>
  <w:style w:type="character" w:styleId="af7">
    <w:name w:val="Hyperlink"/>
    <w:basedOn w:val="a1"/>
    <w:rPr>
      <w:color w:val="0000FF"/>
      <w:u w:val="single"/>
    </w:rPr>
  </w:style>
  <w:style w:type="character" w:styleId="af8">
    <w:name w:val="annotation reference"/>
    <w:basedOn w:val="a1"/>
    <w:semiHidden/>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rPr>
      <w:color w:val="800080"/>
      <w:u w:val="single"/>
    </w:r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qFormat/>
    <w:rPr>
      <w:color w:val="990000"/>
    </w:rPr>
  </w:style>
  <w:style w:type="character" w:customStyle="1" w:styleId="aa">
    <w:name w:val="纯文本 字符"/>
    <w:basedOn w:val="a1"/>
    <w:link w:val="a9"/>
    <w:uiPriority w:val="99"/>
    <w:qFormat/>
    <w:rPr>
      <w:rFonts w:ascii="宋体" w:hAnsi="Courier New"/>
      <w:kern w:val="2"/>
      <w:sz w:val="21"/>
      <w:szCs w:val="21"/>
    </w:rPr>
  </w:style>
  <w:style w:type="character" w:customStyle="1" w:styleId="af3">
    <w:name w:val="脚注文本 字符"/>
    <w:basedOn w:val="a1"/>
    <w:link w:val="af2"/>
    <w:qFormat/>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7262">
      <w:bodyDiv w:val="1"/>
      <w:marLeft w:val="0"/>
      <w:marRight w:val="0"/>
      <w:marTop w:val="0"/>
      <w:marBottom w:val="0"/>
      <w:divBdr>
        <w:top w:val="none" w:sz="0" w:space="0" w:color="auto"/>
        <w:left w:val="none" w:sz="0" w:space="0" w:color="auto"/>
        <w:bottom w:val="none" w:sz="0" w:space="0" w:color="auto"/>
        <w:right w:val="none" w:sz="0" w:space="0" w:color="auto"/>
      </w:divBdr>
    </w:div>
    <w:div w:id="90953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58832-AF43-4E89-A717-68A30378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15</Pages>
  <Words>1283</Words>
  <Characters>7315</Characters>
  <Application>Microsoft Office Word</Application>
  <DocSecurity>0</DocSecurity>
  <Lines>60</Lines>
  <Paragraphs>17</Paragraphs>
  <ScaleCrop>false</ScaleCrop>
  <Company>TRT. Ltd. Co.</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23</cp:revision>
  <cp:lastPrinted>2007-07-19T00:46:00Z</cp:lastPrinted>
  <dcterms:created xsi:type="dcterms:W3CDTF">2014-12-16T08:49:00Z</dcterms:created>
  <dcterms:modified xsi:type="dcterms:W3CDTF">2023-01-19T06:39:00Z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