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2023</w:t>
      </w:r>
      <w:r w:rsidRPr="00D97CD7">
        <w:rPr>
          <w:rFonts w:eastAsiaTheme="minorEastAsia"/>
          <w:b/>
          <w:color w:val="000000" w:themeColor="text1"/>
          <w:sz w:val="36"/>
          <w:szCs w:val="36"/>
        </w:rPr>
        <w:t>年第</w:t>
      </w:r>
      <w:r w:rsidRPr="00D97CD7">
        <w:rPr>
          <w:rFonts w:eastAsiaTheme="minorEastAsia"/>
          <w:b/>
          <w:color w:val="000000" w:themeColor="text1"/>
          <w:sz w:val="36"/>
          <w:szCs w:val="36"/>
        </w:rPr>
        <w:t>4</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2023</w:t>
      </w:r>
      <w:r w:rsidRPr="00D97CD7">
        <w:rPr>
          <w:rFonts w:eastAsiaTheme="minorEastAsia"/>
          <w:b/>
          <w:color w:val="000000" w:themeColor="text1"/>
          <w:sz w:val="36"/>
          <w:szCs w:val="36"/>
        </w:rPr>
        <w:t>年</w:t>
      </w:r>
      <w:r w:rsidRPr="00D97CD7">
        <w:rPr>
          <w:rFonts w:eastAsiaTheme="minorEastAsia"/>
          <w:b/>
          <w:color w:val="000000" w:themeColor="text1"/>
          <w:sz w:val="36"/>
          <w:szCs w:val="36"/>
        </w:rPr>
        <w:t>12</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报告送出日期：二〇二四年一月二十二日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2023</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37,458,569.91</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w:t>
            </w:r>
            <w:r>
              <w:rPr>
                <w:rFonts w:eastAsiaTheme="minorEastAsia"/>
                <w:color w:val="000000" w:themeColor="text1"/>
                <w:kern w:val="0"/>
                <w:szCs w:val="21"/>
              </w:rPr>
              <w:lastRenderedPageBreak/>
              <w:t>步扩大。</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理有效的利用，从而提高投资组合收益。</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E112EA" w:rsidRDefault="003A495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摩根基金管理（中国）有限公司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26,537,582.45</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10,920,987.46</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(2023</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-2023</w:t>
            </w:r>
            <w:r w:rsidRPr="00D97CD7">
              <w:rPr>
                <w:rFonts w:eastAsiaTheme="minorEastAsia"/>
                <w:color w:val="000000" w:themeColor="text1"/>
                <w:szCs w:val="21"/>
              </w:rPr>
              <w:t>年</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-10,897.00</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-6,700.56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-1,410,699.13</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-566,671.26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-0.0531</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-0.0529</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22,355,936.74</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9,168,524.72</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0.8424</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0.8395</w:t>
            </w:r>
          </w:p>
        </w:tc>
      </w:tr>
    </w:tbl>
    <w:p w:rsidR="00E112EA" w:rsidRDefault="003A495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3A4951">
        <w:tc>
          <w:tcPr>
            <w:tcW w:w="1290" w:type="dxa"/>
            <w:vAlign w:val="center"/>
          </w:tcPr>
          <w:p w:rsidR="003A4951" w:rsidRDefault="003A4951" w:rsidP="003A4951">
            <w:pPr>
              <w:jc w:val="left"/>
            </w:pPr>
            <w:r>
              <w:rPr>
                <w:rFonts w:eastAsiaTheme="minorEastAsia"/>
                <w:color w:val="000000" w:themeColor="text1"/>
                <w:szCs w:val="21"/>
              </w:rPr>
              <w:t>过去三个月</w:t>
            </w:r>
          </w:p>
        </w:tc>
        <w:tc>
          <w:tcPr>
            <w:tcW w:w="1291" w:type="dxa"/>
            <w:vAlign w:val="center"/>
          </w:tcPr>
          <w:p w:rsidR="003A4951" w:rsidRDefault="003A4951" w:rsidP="003A4951">
            <w:pPr>
              <w:jc w:val="right"/>
            </w:pPr>
            <w:r>
              <w:rPr>
                <w:rFonts w:eastAsiaTheme="minorEastAsia"/>
                <w:color w:val="000000" w:themeColor="text1"/>
                <w:szCs w:val="21"/>
              </w:rPr>
              <w:t>-5.94%</w:t>
            </w:r>
          </w:p>
        </w:tc>
        <w:tc>
          <w:tcPr>
            <w:tcW w:w="1291" w:type="dxa"/>
            <w:vAlign w:val="center"/>
          </w:tcPr>
          <w:p w:rsidR="003A4951" w:rsidRDefault="003A4951" w:rsidP="003A4951">
            <w:pPr>
              <w:jc w:val="right"/>
            </w:pPr>
            <w:r>
              <w:rPr>
                <w:rFonts w:eastAsiaTheme="minorEastAsia"/>
                <w:color w:val="000000" w:themeColor="text1"/>
                <w:szCs w:val="21"/>
              </w:rPr>
              <w:t>0.68%</w:t>
            </w:r>
          </w:p>
        </w:tc>
        <w:tc>
          <w:tcPr>
            <w:tcW w:w="1291" w:type="dxa"/>
            <w:vAlign w:val="center"/>
          </w:tcPr>
          <w:p w:rsidR="003A4951" w:rsidRDefault="003A4951" w:rsidP="003A4951">
            <w:pPr>
              <w:jc w:val="right"/>
            </w:pPr>
            <w:r>
              <w:rPr>
                <w:rFonts w:eastAsiaTheme="minorEastAsia"/>
                <w:color w:val="000000" w:themeColor="text1"/>
                <w:szCs w:val="21"/>
              </w:rPr>
              <w:t>-6.09%</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0.74%</w:t>
            </w:r>
          </w:p>
        </w:tc>
        <w:tc>
          <w:tcPr>
            <w:tcW w:w="1291" w:type="dxa"/>
            <w:vAlign w:val="center"/>
          </w:tcPr>
          <w:p w:rsidR="003A4951" w:rsidRDefault="003A4951" w:rsidP="003A4951">
            <w:pPr>
              <w:jc w:val="right"/>
            </w:pPr>
            <w:r>
              <w:rPr>
                <w:rFonts w:eastAsiaTheme="minorEastAsia"/>
                <w:color w:val="000000" w:themeColor="text1"/>
                <w:szCs w:val="21"/>
              </w:rPr>
              <w:t>0.15%</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-0.06%</w:t>
            </w:r>
          </w:p>
        </w:tc>
      </w:tr>
      <w:tr w:rsidR="003A4951">
        <w:tc>
          <w:tcPr>
            <w:tcW w:w="1290" w:type="dxa"/>
            <w:vAlign w:val="center"/>
          </w:tcPr>
          <w:p w:rsidR="003A4951" w:rsidRDefault="003A4951" w:rsidP="003A4951">
            <w:pPr>
              <w:jc w:val="left"/>
            </w:pPr>
            <w:r>
              <w:rPr>
                <w:rFonts w:eastAsiaTheme="minorEastAsia"/>
                <w:color w:val="000000" w:themeColor="text1"/>
                <w:szCs w:val="21"/>
              </w:rPr>
              <w:t>过去六个月</w:t>
            </w:r>
          </w:p>
        </w:tc>
        <w:tc>
          <w:tcPr>
            <w:tcW w:w="1291" w:type="dxa"/>
            <w:vAlign w:val="center"/>
          </w:tcPr>
          <w:p w:rsidR="003A4951" w:rsidRDefault="003A4951" w:rsidP="003A4951">
            <w:pPr>
              <w:jc w:val="right"/>
            </w:pPr>
            <w:r>
              <w:rPr>
                <w:rFonts w:eastAsiaTheme="minorEastAsia"/>
                <w:color w:val="000000" w:themeColor="text1"/>
                <w:szCs w:val="21"/>
              </w:rPr>
              <w:t>-9.02%</w:t>
            </w:r>
          </w:p>
        </w:tc>
        <w:tc>
          <w:tcPr>
            <w:tcW w:w="1291" w:type="dxa"/>
            <w:vAlign w:val="center"/>
          </w:tcPr>
          <w:p w:rsidR="003A4951" w:rsidRDefault="003A4951" w:rsidP="003A4951">
            <w:pPr>
              <w:jc w:val="right"/>
            </w:pPr>
            <w:r>
              <w:rPr>
                <w:rFonts w:eastAsiaTheme="minorEastAsia"/>
                <w:color w:val="000000" w:themeColor="text1"/>
                <w:szCs w:val="21"/>
              </w:rPr>
              <w:t>0.75%</w:t>
            </w:r>
          </w:p>
        </w:tc>
        <w:tc>
          <w:tcPr>
            <w:tcW w:w="1291" w:type="dxa"/>
            <w:vAlign w:val="center"/>
          </w:tcPr>
          <w:p w:rsidR="003A4951" w:rsidRDefault="003A4951" w:rsidP="003A4951">
            <w:pPr>
              <w:jc w:val="right"/>
            </w:pPr>
            <w:r>
              <w:rPr>
                <w:rFonts w:eastAsiaTheme="minorEastAsia"/>
                <w:color w:val="000000" w:themeColor="text1"/>
                <w:szCs w:val="21"/>
              </w:rPr>
              <w:t>-9.87%</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0.79%</w:t>
            </w:r>
          </w:p>
        </w:tc>
        <w:tc>
          <w:tcPr>
            <w:tcW w:w="1291" w:type="dxa"/>
            <w:vAlign w:val="center"/>
          </w:tcPr>
          <w:p w:rsidR="003A4951" w:rsidRDefault="003A4951" w:rsidP="003A4951">
            <w:pPr>
              <w:jc w:val="right"/>
            </w:pPr>
            <w:r>
              <w:rPr>
                <w:rFonts w:eastAsiaTheme="minorEastAsia"/>
                <w:color w:val="000000" w:themeColor="text1"/>
                <w:szCs w:val="21"/>
              </w:rPr>
              <w:t>0.85%</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-0.04%</w:t>
            </w:r>
          </w:p>
        </w:tc>
      </w:tr>
      <w:tr w:rsidR="003A4951">
        <w:tc>
          <w:tcPr>
            <w:tcW w:w="1290" w:type="dxa"/>
            <w:vAlign w:val="center"/>
          </w:tcPr>
          <w:p w:rsidR="003A4951" w:rsidRDefault="003A4951" w:rsidP="003A4951">
            <w:pPr>
              <w:jc w:val="left"/>
            </w:pPr>
            <w:r>
              <w:rPr>
                <w:rFonts w:eastAsiaTheme="minorEastAsia"/>
                <w:color w:val="000000" w:themeColor="text1"/>
                <w:szCs w:val="21"/>
              </w:rPr>
              <w:t>过去一年</w:t>
            </w:r>
          </w:p>
        </w:tc>
        <w:tc>
          <w:tcPr>
            <w:tcW w:w="1291" w:type="dxa"/>
            <w:vAlign w:val="center"/>
          </w:tcPr>
          <w:p w:rsidR="003A4951" w:rsidRDefault="003A4951" w:rsidP="003A4951">
            <w:pPr>
              <w:jc w:val="right"/>
            </w:pPr>
            <w:r>
              <w:rPr>
                <w:rFonts w:eastAsiaTheme="minorEastAsia"/>
                <w:color w:val="000000" w:themeColor="text1"/>
                <w:szCs w:val="21"/>
              </w:rPr>
              <w:t>-10.64%</w:t>
            </w:r>
          </w:p>
        </w:tc>
        <w:tc>
          <w:tcPr>
            <w:tcW w:w="1291" w:type="dxa"/>
            <w:vAlign w:val="center"/>
          </w:tcPr>
          <w:p w:rsidR="003A4951" w:rsidRDefault="003A4951" w:rsidP="003A4951">
            <w:pPr>
              <w:jc w:val="right"/>
            </w:pPr>
            <w:r>
              <w:rPr>
                <w:rFonts w:eastAsiaTheme="minorEastAsia"/>
                <w:color w:val="000000" w:themeColor="text1"/>
                <w:szCs w:val="21"/>
              </w:rPr>
              <w:t>0.74%</w:t>
            </w:r>
          </w:p>
        </w:tc>
        <w:tc>
          <w:tcPr>
            <w:tcW w:w="1291" w:type="dxa"/>
            <w:vAlign w:val="center"/>
          </w:tcPr>
          <w:p w:rsidR="003A4951" w:rsidRDefault="003A4951" w:rsidP="003A4951">
            <w:pPr>
              <w:jc w:val="right"/>
            </w:pPr>
            <w:r>
              <w:rPr>
                <w:rFonts w:eastAsiaTheme="minorEastAsia"/>
                <w:color w:val="000000" w:themeColor="text1"/>
                <w:szCs w:val="21"/>
              </w:rPr>
              <w:t>-12.17%</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0.77%</w:t>
            </w:r>
          </w:p>
        </w:tc>
        <w:tc>
          <w:tcPr>
            <w:tcW w:w="1291" w:type="dxa"/>
            <w:vAlign w:val="center"/>
          </w:tcPr>
          <w:p w:rsidR="003A4951" w:rsidRDefault="003A4951" w:rsidP="003A4951">
            <w:pPr>
              <w:jc w:val="right"/>
            </w:pPr>
            <w:r>
              <w:rPr>
                <w:rFonts w:eastAsiaTheme="minorEastAsia"/>
                <w:color w:val="000000" w:themeColor="text1"/>
                <w:szCs w:val="21"/>
              </w:rPr>
              <w:t>1.53%</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-0.03%</w:t>
            </w:r>
          </w:p>
        </w:tc>
      </w:tr>
      <w:tr w:rsidR="00E112EA">
        <w:tc>
          <w:tcPr>
            <w:tcW w:w="1290" w:type="dxa"/>
            <w:vAlign w:val="center"/>
          </w:tcPr>
          <w:p w:rsidR="00E112EA" w:rsidRDefault="003A4951">
            <w:pPr>
              <w:jc w:val="left"/>
            </w:pPr>
            <w:r>
              <w:rPr>
                <w:rFonts w:eastAsiaTheme="minorEastAsia"/>
                <w:color w:val="000000" w:themeColor="text1"/>
                <w:szCs w:val="21"/>
              </w:rPr>
              <w:t>过去三年</w:t>
            </w:r>
          </w:p>
        </w:tc>
        <w:tc>
          <w:tcPr>
            <w:tcW w:w="1291" w:type="dxa"/>
            <w:vAlign w:val="center"/>
          </w:tcPr>
          <w:p w:rsidR="00E112EA" w:rsidRDefault="003A4951">
            <w:pPr>
              <w:jc w:val="right"/>
            </w:pPr>
            <w:r>
              <w:rPr>
                <w:rFonts w:eastAsiaTheme="minorEastAsia"/>
                <w:color w:val="000000" w:themeColor="text1"/>
                <w:szCs w:val="21"/>
              </w:rPr>
              <w:t>-23.63%</w:t>
            </w:r>
          </w:p>
        </w:tc>
        <w:tc>
          <w:tcPr>
            <w:tcW w:w="1291" w:type="dxa"/>
            <w:vAlign w:val="center"/>
          </w:tcPr>
          <w:p w:rsidR="00E112EA" w:rsidRDefault="003A4951">
            <w:pPr>
              <w:jc w:val="right"/>
            </w:pPr>
            <w:r>
              <w:rPr>
                <w:rFonts w:eastAsiaTheme="minorEastAsia"/>
                <w:color w:val="000000" w:themeColor="text1"/>
                <w:szCs w:val="21"/>
              </w:rPr>
              <w:t>1.01%</w:t>
            </w:r>
          </w:p>
        </w:tc>
        <w:tc>
          <w:tcPr>
            <w:tcW w:w="1291" w:type="dxa"/>
            <w:vAlign w:val="center"/>
          </w:tcPr>
          <w:p w:rsidR="00E112EA" w:rsidRDefault="003A4951">
            <w:pPr>
              <w:jc w:val="right"/>
            </w:pPr>
            <w:r>
              <w:rPr>
                <w:rFonts w:eastAsiaTheme="minorEastAsia"/>
                <w:color w:val="000000" w:themeColor="text1"/>
                <w:szCs w:val="21"/>
              </w:rPr>
              <w:t>-29.73%</w:t>
            </w:r>
          </w:p>
        </w:tc>
        <w:tc>
          <w:tcPr>
            <w:tcW w:w="1291" w:type="dxa"/>
            <w:vAlign w:val="center"/>
          </w:tcPr>
          <w:p w:rsidR="00E112EA" w:rsidRDefault="003A4951">
            <w:pPr>
              <w:jc w:val="right"/>
            </w:pPr>
            <w:r>
              <w:rPr>
                <w:rFonts w:eastAsiaTheme="minorEastAsia"/>
                <w:color w:val="000000" w:themeColor="text1"/>
                <w:szCs w:val="21"/>
              </w:rPr>
              <w:t>1.04%</w:t>
            </w:r>
          </w:p>
        </w:tc>
        <w:tc>
          <w:tcPr>
            <w:tcW w:w="1291" w:type="dxa"/>
            <w:vAlign w:val="center"/>
          </w:tcPr>
          <w:p w:rsidR="00E112EA" w:rsidRDefault="003A4951">
            <w:pPr>
              <w:jc w:val="right"/>
            </w:pPr>
            <w:r>
              <w:rPr>
                <w:rFonts w:eastAsiaTheme="minorEastAsia"/>
                <w:color w:val="000000" w:themeColor="text1"/>
                <w:szCs w:val="21"/>
              </w:rPr>
              <w:t>6.10%</w:t>
            </w:r>
          </w:p>
        </w:tc>
        <w:tc>
          <w:tcPr>
            <w:tcW w:w="1291" w:type="dxa"/>
            <w:vAlign w:val="center"/>
          </w:tcPr>
          <w:p w:rsidR="00E112EA" w:rsidRDefault="003A4951">
            <w:pPr>
              <w:jc w:val="right"/>
            </w:pPr>
            <w:r>
              <w:rPr>
                <w:rFonts w:eastAsiaTheme="minorEastAsia"/>
                <w:color w:val="000000" w:themeColor="text1"/>
                <w:szCs w:val="21"/>
              </w:rPr>
              <w:t>-0.03%</w:t>
            </w:r>
          </w:p>
        </w:tc>
      </w:tr>
      <w:tr w:rsidR="00E112EA">
        <w:tc>
          <w:tcPr>
            <w:tcW w:w="1290" w:type="dxa"/>
            <w:vAlign w:val="center"/>
          </w:tcPr>
          <w:p w:rsidR="00E112EA" w:rsidRDefault="003A4951">
            <w:pPr>
              <w:jc w:val="left"/>
            </w:pPr>
            <w:r>
              <w:rPr>
                <w:rFonts w:eastAsiaTheme="minorEastAsia"/>
                <w:color w:val="000000" w:themeColor="text1"/>
                <w:szCs w:val="21"/>
              </w:rPr>
              <w:t>过去五年</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r>
      <w:tr w:rsidR="00E112EA">
        <w:tc>
          <w:tcPr>
            <w:tcW w:w="1290" w:type="dxa"/>
            <w:vAlign w:val="center"/>
          </w:tcPr>
          <w:p w:rsidR="00E112EA" w:rsidRDefault="003A4951">
            <w:pPr>
              <w:jc w:val="left"/>
            </w:pPr>
            <w:r>
              <w:rPr>
                <w:rFonts w:eastAsiaTheme="minorEastAsia"/>
                <w:color w:val="000000" w:themeColor="text1"/>
                <w:szCs w:val="21"/>
              </w:rPr>
              <w:t>自基金合同生效起至今</w:t>
            </w:r>
          </w:p>
        </w:tc>
        <w:tc>
          <w:tcPr>
            <w:tcW w:w="1291" w:type="dxa"/>
            <w:vAlign w:val="center"/>
          </w:tcPr>
          <w:p w:rsidR="00E112EA" w:rsidRDefault="003A4951">
            <w:pPr>
              <w:jc w:val="right"/>
            </w:pPr>
            <w:r>
              <w:rPr>
                <w:rFonts w:eastAsiaTheme="minorEastAsia"/>
                <w:color w:val="000000" w:themeColor="text1"/>
                <w:szCs w:val="21"/>
              </w:rPr>
              <w:t>-15.76%</w:t>
            </w:r>
          </w:p>
        </w:tc>
        <w:tc>
          <w:tcPr>
            <w:tcW w:w="1291" w:type="dxa"/>
            <w:vAlign w:val="center"/>
          </w:tcPr>
          <w:p w:rsidR="00E112EA" w:rsidRDefault="003A4951">
            <w:pPr>
              <w:jc w:val="right"/>
            </w:pPr>
            <w:r>
              <w:rPr>
                <w:rFonts w:eastAsiaTheme="minorEastAsia"/>
                <w:color w:val="000000" w:themeColor="text1"/>
                <w:szCs w:val="21"/>
              </w:rPr>
              <w:t>1.00%</w:t>
            </w:r>
          </w:p>
        </w:tc>
        <w:tc>
          <w:tcPr>
            <w:tcW w:w="1291" w:type="dxa"/>
            <w:vAlign w:val="center"/>
          </w:tcPr>
          <w:p w:rsidR="00E112EA" w:rsidRDefault="003A4951">
            <w:pPr>
              <w:jc w:val="right"/>
            </w:pPr>
            <w:r>
              <w:rPr>
                <w:rFonts w:eastAsiaTheme="minorEastAsia"/>
                <w:color w:val="000000" w:themeColor="text1"/>
                <w:szCs w:val="21"/>
              </w:rPr>
              <w:t>-22.95%</w:t>
            </w:r>
          </w:p>
        </w:tc>
        <w:tc>
          <w:tcPr>
            <w:tcW w:w="1291" w:type="dxa"/>
            <w:vAlign w:val="center"/>
          </w:tcPr>
          <w:p w:rsidR="00E112EA" w:rsidRDefault="003A4951">
            <w:pPr>
              <w:jc w:val="right"/>
            </w:pPr>
            <w:r>
              <w:rPr>
                <w:rFonts w:eastAsiaTheme="minorEastAsia"/>
                <w:color w:val="000000" w:themeColor="text1"/>
                <w:szCs w:val="21"/>
              </w:rPr>
              <w:t>1.05%</w:t>
            </w:r>
          </w:p>
        </w:tc>
        <w:tc>
          <w:tcPr>
            <w:tcW w:w="1291" w:type="dxa"/>
            <w:vAlign w:val="center"/>
          </w:tcPr>
          <w:p w:rsidR="00E112EA" w:rsidRDefault="003A4951">
            <w:pPr>
              <w:jc w:val="right"/>
            </w:pPr>
            <w:r>
              <w:rPr>
                <w:rFonts w:eastAsiaTheme="minorEastAsia"/>
                <w:color w:val="000000" w:themeColor="text1"/>
                <w:szCs w:val="21"/>
              </w:rPr>
              <w:t>7.19%</w:t>
            </w:r>
          </w:p>
        </w:tc>
        <w:tc>
          <w:tcPr>
            <w:tcW w:w="1291" w:type="dxa"/>
            <w:vAlign w:val="center"/>
          </w:tcPr>
          <w:p w:rsidR="00E112EA" w:rsidRDefault="003A4951">
            <w:pPr>
              <w:jc w:val="right"/>
            </w:pPr>
            <w:r>
              <w:rPr>
                <w:rFonts w:eastAsiaTheme="minorEastAsia"/>
                <w:color w:val="000000" w:themeColor="text1"/>
                <w:szCs w:val="21"/>
              </w:rPr>
              <w:t>-0.05%</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3A4951">
        <w:tc>
          <w:tcPr>
            <w:tcW w:w="1290" w:type="dxa"/>
            <w:vAlign w:val="center"/>
          </w:tcPr>
          <w:p w:rsidR="003A4951" w:rsidRDefault="003A4951" w:rsidP="003A4951">
            <w:pPr>
              <w:jc w:val="left"/>
            </w:pPr>
            <w:r>
              <w:rPr>
                <w:rFonts w:eastAsiaTheme="minorEastAsia"/>
                <w:color w:val="000000" w:themeColor="text1"/>
                <w:szCs w:val="21"/>
              </w:rPr>
              <w:t>过去三个月</w:t>
            </w:r>
          </w:p>
        </w:tc>
        <w:tc>
          <w:tcPr>
            <w:tcW w:w="1291" w:type="dxa"/>
            <w:vAlign w:val="center"/>
          </w:tcPr>
          <w:p w:rsidR="003A4951" w:rsidRDefault="003A4951" w:rsidP="003A4951">
            <w:pPr>
              <w:jc w:val="right"/>
            </w:pPr>
            <w:r>
              <w:rPr>
                <w:rFonts w:eastAsiaTheme="minorEastAsia"/>
                <w:color w:val="000000" w:themeColor="text1"/>
                <w:szCs w:val="21"/>
              </w:rPr>
              <w:t>-5.96%</w:t>
            </w:r>
          </w:p>
        </w:tc>
        <w:tc>
          <w:tcPr>
            <w:tcW w:w="1291" w:type="dxa"/>
            <w:vAlign w:val="center"/>
          </w:tcPr>
          <w:p w:rsidR="003A4951" w:rsidRDefault="003A4951" w:rsidP="003A4951">
            <w:pPr>
              <w:jc w:val="right"/>
            </w:pPr>
            <w:r>
              <w:rPr>
                <w:rFonts w:eastAsiaTheme="minorEastAsia"/>
                <w:color w:val="000000" w:themeColor="text1"/>
                <w:szCs w:val="21"/>
              </w:rPr>
              <w:t>0.68%</w:t>
            </w:r>
          </w:p>
        </w:tc>
        <w:tc>
          <w:tcPr>
            <w:tcW w:w="1291" w:type="dxa"/>
            <w:vAlign w:val="center"/>
          </w:tcPr>
          <w:p w:rsidR="003A4951" w:rsidRDefault="003A4951" w:rsidP="003A4951">
            <w:pPr>
              <w:jc w:val="right"/>
            </w:pPr>
            <w:r>
              <w:rPr>
                <w:rFonts w:eastAsiaTheme="minorEastAsia"/>
                <w:color w:val="000000" w:themeColor="text1"/>
                <w:szCs w:val="21"/>
              </w:rPr>
              <w:t>-6.09%</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0.74%</w:t>
            </w:r>
          </w:p>
        </w:tc>
        <w:tc>
          <w:tcPr>
            <w:tcW w:w="1291" w:type="dxa"/>
            <w:vAlign w:val="center"/>
          </w:tcPr>
          <w:p w:rsidR="003A4951" w:rsidRDefault="003A4951" w:rsidP="003A4951">
            <w:pPr>
              <w:jc w:val="right"/>
            </w:pPr>
            <w:r>
              <w:rPr>
                <w:rFonts w:eastAsiaTheme="minorEastAsia"/>
                <w:color w:val="000000" w:themeColor="text1"/>
                <w:szCs w:val="21"/>
              </w:rPr>
              <w:t>0.13%</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-0.06%</w:t>
            </w:r>
          </w:p>
        </w:tc>
      </w:tr>
      <w:tr w:rsidR="003A4951">
        <w:tc>
          <w:tcPr>
            <w:tcW w:w="1290" w:type="dxa"/>
            <w:vAlign w:val="center"/>
          </w:tcPr>
          <w:p w:rsidR="003A4951" w:rsidRDefault="003A4951" w:rsidP="003A4951">
            <w:pPr>
              <w:jc w:val="left"/>
            </w:pPr>
            <w:r>
              <w:rPr>
                <w:rFonts w:eastAsiaTheme="minorEastAsia"/>
                <w:color w:val="000000" w:themeColor="text1"/>
                <w:szCs w:val="21"/>
              </w:rPr>
              <w:t>过去六个月</w:t>
            </w:r>
          </w:p>
        </w:tc>
        <w:tc>
          <w:tcPr>
            <w:tcW w:w="1291" w:type="dxa"/>
            <w:vAlign w:val="center"/>
          </w:tcPr>
          <w:p w:rsidR="003A4951" w:rsidRDefault="003A4951" w:rsidP="003A4951">
            <w:pPr>
              <w:jc w:val="right"/>
            </w:pPr>
            <w:r>
              <w:rPr>
                <w:rFonts w:eastAsiaTheme="minorEastAsia"/>
                <w:color w:val="000000" w:themeColor="text1"/>
                <w:szCs w:val="21"/>
              </w:rPr>
              <w:t>-9.07%</w:t>
            </w:r>
          </w:p>
        </w:tc>
        <w:tc>
          <w:tcPr>
            <w:tcW w:w="1291" w:type="dxa"/>
            <w:vAlign w:val="center"/>
          </w:tcPr>
          <w:p w:rsidR="003A4951" w:rsidRDefault="003A4951" w:rsidP="003A4951">
            <w:pPr>
              <w:jc w:val="right"/>
            </w:pPr>
            <w:r>
              <w:rPr>
                <w:rFonts w:eastAsiaTheme="minorEastAsia"/>
                <w:color w:val="000000" w:themeColor="text1"/>
                <w:szCs w:val="21"/>
              </w:rPr>
              <w:t>0.75%</w:t>
            </w:r>
          </w:p>
        </w:tc>
        <w:tc>
          <w:tcPr>
            <w:tcW w:w="1291" w:type="dxa"/>
            <w:vAlign w:val="center"/>
          </w:tcPr>
          <w:p w:rsidR="003A4951" w:rsidRDefault="003A4951" w:rsidP="003A4951">
            <w:pPr>
              <w:jc w:val="right"/>
            </w:pPr>
            <w:r>
              <w:rPr>
                <w:rFonts w:eastAsiaTheme="minorEastAsia"/>
                <w:color w:val="000000" w:themeColor="text1"/>
                <w:szCs w:val="21"/>
              </w:rPr>
              <w:t>-9.87%</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0.79%</w:t>
            </w:r>
          </w:p>
        </w:tc>
        <w:tc>
          <w:tcPr>
            <w:tcW w:w="1291" w:type="dxa"/>
            <w:vAlign w:val="center"/>
          </w:tcPr>
          <w:p w:rsidR="003A4951" w:rsidRDefault="003A4951" w:rsidP="003A4951">
            <w:pPr>
              <w:jc w:val="right"/>
            </w:pPr>
            <w:r>
              <w:rPr>
                <w:rFonts w:eastAsiaTheme="minorEastAsia"/>
                <w:color w:val="000000" w:themeColor="text1"/>
                <w:szCs w:val="21"/>
              </w:rPr>
              <w:t>0.80%</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-0.04%</w:t>
            </w:r>
          </w:p>
        </w:tc>
      </w:tr>
      <w:tr w:rsidR="003A4951">
        <w:tc>
          <w:tcPr>
            <w:tcW w:w="1290" w:type="dxa"/>
            <w:vAlign w:val="center"/>
          </w:tcPr>
          <w:p w:rsidR="003A4951" w:rsidRDefault="003A4951" w:rsidP="003A4951">
            <w:pPr>
              <w:jc w:val="left"/>
            </w:pPr>
            <w:r>
              <w:rPr>
                <w:rFonts w:eastAsiaTheme="minorEastAsia"/>
                <w:color w:val="000000" w:themeColor="text1"/>
                <w:szCs w:val="21"/>
              </w:rPr>
              <w:t>过去一年</w:t>
            </w:r>
          </w:p>
        </w:tc>
        <w:tc>
          <w:tcPr>
            <w:tcW w:w="1291" w:type="dxa"/>
            <w:vAlign w:val="center"/>
          </w:tcPr>
          <w:p w:rsidR="003A4951" w:rsidRDefault="003A4951" w:rsidP="003A4951">
            <w:pPr>
              <w:jc w:val="right"/>
            </w:pPr>
            <w:r>
              <w:rPr>
                <w:rFonts w:eastAsiaTheme="minorEastAsia"/>
                <w:color w:val="000000" w:themeColor="text1"/>
                <w:szCs w:val="21"/>
              </w:rPr>
              <w:t>-10.72%</w:t>
            </w:r>
          </w:p>
        </w:tc>
        <w:tc>
          <w:tcPr>
            <w:tcW w:w="1291" w:type="dxa"/>
            <w:vAlign w:val="center"/>
          </w:tcPr>
          <w:p w:rsidR="003A4951" w:rsidRDefault="003A4951" w:rsidP="003A4951">
            <w:pPr>
              <w:jc w:val="right"/>
            </w:pPr>
            <w:r>
              <w:rPr>
                <w:rFonts w:eastAsiaTheme="minorEastAsia"/>
                <w:color w:val="000000" w:themeColor="text1"/>
                <w:szCs w:val="21"/>
              </w:rPr>
              <w:t>0.74%</w:t>
            </w:r>
          </w:p>
        </w:tc>
        <w:tc>
          <w:tcPr>
            <w:tcW w:w="1291" w:type="dxa"/>
            <w:vAlign w:val="center"/>
          </w:tcPr>
          <w:p w:rsidR="003A4951" w:rsidRDefault="003A4951" w:rsidP="003A4951">
            <w:pPr>
              <w:jc w:val="right"/>
            </w:pPr>
            <w:r>
              <w:rPr>
                <w:rFonts w:eastAsiaTheme="minorEastAsia"/>
                <w:color w:val="000000" w:themeColor="text1"/>
                <w:szCs w:val="21"/>
              </w:rPr>
              <w:t>-12.17%</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0.77%</w:t>
            </w:r>
          </w:p>
        </w:tc>
        <w:tc>
          <w:tcPr>
            <w:tcW w:w="1291" w:type="dxa"/>
            <w:vAlign w:val="center"/>
          </w:tcPr>
          <w:p w:rsidR="003A4951" w:rsidRDefault="003A4951" w:rsidP="003A4951">
            <w:pPr>
              <w:jc w:val="right"/>
            </w:pPr>
            <w:r>
              <w:rPr>
                <w:rFonts w:eastAsiaTheme="minorEastAsia"/>
                <w:color w:val="000000" w:themeColor="text1"/>
                <w:szCs w:val="21"/>
              </w:rPr>
              <w:t>1.45%</w:t>
            </w:r>
          </w:p>
        </w:tc>
        <w:tc>
          <w:tcPr>
            <w:tcW w:w="1291" w:type="dxa"/>
            <w:vAlign w:val="center"/>
          </w:tcPr>
          <w:p w:rsidR="003A4951" w:rsidRPr="003A4951" w:rsidRDefault="003A4951" w:rsidP="003A4951">
            <w:pPr>
              <w:jc w:val="right"/>
              <w:rPr>
                <w:rFonts w:eastAsiaTheme="minorEastAsia"/>
                <w:color w:val="000000" w:themeColor="text1"/>
                <w:szCs w:val="21"/>
              </w:rPr>
            </w:pPr>
            <w:r w:rsidRPr="003A4951">
              <w:rPr>
                <w:rFonts w:eastAsiaTheme="minorEastAsia" w:hint="eastAsia"/>
                <w:color w:val="000000" w:themeColor="text1"/>
                <w:szCs w:val="21"/>
              </w:rPr>
              <w:t>-0.03%</w:t>
            </w:r>
          </w:p>
        </w:tc>
      </w:tr>
      <w:tr w:rsidR="00E112EA">
        <w:tc>
          <w:tcPr>
            <w:tcW w:w="1290" w:type="dxa"/>
            <w:vAlign w:val="center"/>
          </w:tcPr>
          <w:p w:rsidR="00E112EA" w:rsidRDefault="003A4951">
            <w:pPr>
              <w:jc w:val="left"/>
            </w:pPr>
            <w:r>
              <w:rPr>
                <w:rFonts w:eastAsiaTheme="minorEastAsia"/>
                <w:color w:val="000000" w:themeColor="text1"/>
                <w:szCs w:val="21"/>
              </w:rPr>
              <w:t>过去三年</w:t>
            </w:r>
          </w:p>
        </w:tc>
        <w:tc>
          <w:tcPr>
            <w:tcW w:w="1291" w:type="dxa"/>
            <w:vAlign w:val="center"/>
          </w:tcPr>
          <w:p w:rsidR="00E112EA" w:rsidRDefault="003A4951">
            <w:pPr>
              <w:jc w:val="right"/>
            </w:pPr>
            <w:r>
              <w:rPr>
                <w:rFonts w:eastAsiaTheme="minorEastAsia"/>
                <w:color w:val="000000" w:themeColor="text1"/>
                <w:szCs w:val="21"/>
              </w:rPr>
              <w:t>-23.86%</w:t>
            </w:r>
          </w:p>
        </w:tc>
        <w:tc>
          <w:tcPr>
            <w:tcW w:w="1291" w:type="dxa"/>
            <w:vAlign w:val="center"/>
          </w:tcPr>
          <w:p w:rsidR="00E112EA" w:rsidRDefault="003A4951">
            <w:pPr>
              <w:jc w:val="right"/>
            </w:pPr>
            <w:r>
              <w:rPr>
                <w:rFonts w:eastAsiaTheme="minorEastAsia"/>
                <w:color w:val="000000" w:themeColor="text1"/>
                <w:szCs w:val="21"/>
              </w:rPr>
              <w:t>1.01%</w:t>
            </w:r>
          </w:p>
        </w:tc>
        <w:tc>
          <w:tcPr>
            <w:tcW w:w="1291" w:type="dxa"/>
            <w:vAlign w:val="center"/>
          </w:tcPr>
          <w:p w:rsidR="00E112EA" w:rsidRDefault="003A4951">
            <w:pPr>
              <w:jc w:val="right"/>
            </w:pPr>
            <w:r>
              <w:rPr>
                <w:rFonts w:eastAsiaTheme="minorEastAsia"/>
                <w:color w:val="000000" w:themeColor="text1"/>
                <w:szCs w:val="21"/>
              </w:rPr>
              <w:t>-29.73%</w:t>
            </w:r>
          </w:p>
        </w:tc>
        <w:tc>
          <w:tcPr>
            <w:tcW w:w="1291" w:type="dxa"/>
            <w:vAlign w:val="center"/>
          </w:tcPr>
          <w:p w:rsidR="00E112EA" w:rsidRDefault="003A4951">
            <w:pPr>
              <w:jc w:val="right"/>
            </w:pPr>
            <w:r>
              <w:rPr>
                <w:rFonts w:eastAsiaTheme="minorEastAsia"/>
                <w:color w:val="000000" w:themeColor="text1"/>
                <w:szCs w:val="21"/>
              </w:rPr>
              <w:t>1.04%</w:t>
            </w:r>
          </w:p>
        </w:tc>
        <w:tc>
          <w:tcPr>
            <w:tcW w:w="1291" w:type="dxa"/>
            <w:vAlign w:val="center"/>
          </w:tcPr>
          <w:p w:rsidR="00E112EA" w:rsidRDefault="003A4951">
            <w:pPr>
              <w:jc w:val="right"/>
            </w:pPr>
            <w:r>
              <w:rPr>
                <w:rFonts w:eastAsiaTheme="minorEastAsia"/>
                <w:color w:val="000000" w:themeColor="text1"/>
                <w:szCs w:val="21"/>
              </w:rPr>
              <w:t>5.87%</w:t>
            </w:r>
          </w:p>
        </w:tc>
        <w:tc>
          <w:tcPr>
            <w:tcW w:w="1291" w:type="dxa"/>
            <w:vAlign w:val="center"/>
          </w:tcPr>
          <w:p w:rsidR="00E112EA" w:rsidRDefault="003A4951">
            <w:pPr>
              <w:jc w:val="right"/>
            </w:pPr>
            <w:r>
              <w:rPr>
                <w:rFonts w:eastAsiaTheme="minorEastAsia"/>
                <w:color w:val="000000" w:themeColor="text1"/>
                <w:szCs w:val="21"/>
              </w:rPr>
              <w:t>-0.03%</w:t>
            </w:r>
          </w:p>
        </w:tc>
      </w:tr>
      <w:tr w:rsidR="00E112EA">
        <w:tc>
          <w:tcPr>
            <w:tcW w:w="1290" w:type="dxa"/>
            <w:vAlign w:val="center"/>
          </w:tcPr>
          <w:p w:rsidR="00E112EA" w:rsidRDefault="003A4951">
            <w:pPr>
              <w:jc w:val="left"/>
            </w:pPr>
            <w:r>
              <w:rPr>
                <w:rFonts w:eastAsiaTheme="minorEastAsia"/>
                <w:color w:val="000000" w:themeColor="text1"/>
                <w:szCs w:val="21"/>
              </w:rPr>
              <w:t>过去五年</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c>
          <w:tcPr>
            <w:tcW w:w="1291" w:type="dxa"/>
            <w:vAlign w:val="center"/>
          </w:tcPr>
          <w:p w:rsidR="00E112EA" w:rsidRDefault="003A4951">
            <w:pPr>
              <w:jc w:val="right"/>
            </w:pPr>
            <w:r>
              <w:rPr>
                <w:rFonts w:eastAsiaTheme="minorEastAsia"/>
                <w:color w:val="000000" w:themeColor="text1"/>
                <w:szCs w:val="21"/>
              </w:rPr>
              <w:t>-</w:t>
            </w:r>
          </w:p>
        </w:tc>
      </w:tr>
      <w:tr w:rsidR="00E112EA">
        <w:tc>
          <w:tcPr>
            <w:tcW w:w="1290" w:type="dxa"/>
            <w:vAlign w:val="center"/>
          </w:tcPr>
          <w:p w:rsidR="00E112EA" w:rsidRDefault="003A4951">
            <w:pPr>
              <w:jc w:val="left"/>
            </w:pPr>
            <w:r>
              <w:rPr>
                <w:rFonts w:eastAsiaTheme="minorEastAsia"/>
                <w:color w:val="000000" w:themeColor="text1"/>
                <w:szCs w:val="21"/>
              </w:rPr>
              <w:t>自基金合同生效起至今</w:t>
            </w:r>
          </w:p>
        </w:tc>
        <w:tc>
          <w:tcPr>
            <w:tcW w:w="1291" w:type="dxa"/>
            <w:vAlign w:val="center"/>
          </w:tcPr>
          <w:p w:rsidR="00E112EA" w:rsidRDefault="003A4951">
            <w:pPr>
              <w:jc w:val="right"/>
            </w:pPr>
            <w:r>
              <w:rPr>
                <w:rFonts w:eastAsiaTheme="minorEastAsia"/>
                <w:color w:val="000000" w:themeColor="text1"/>
                <w:szCs w:val="21"/>
              </w:rPr>
              <w:t>-16.05%</w:t>
            </w:r>
          </w:p>
        </w:tc>
        <w:tc>
          <w:tcPr>
            <w:tcW w:w="1291" w:type="dxa"/>
            <w:vAlign w:val="center"/>
          </w:tcPr>
          <w:p w:rsidR="00E112EA" w:rsidRDefault="003A4951">
            <w:pPr>
              <w:jc w:val="right"/>
            </w:pPr>
            <w:r>
              <w:rPr>
                <w:rFonts w:eastAsiaTheme="minorEastAsia"/>
                <w:color w:val="000000" w:themeColor="text1"/>
                <w:szCs w:val="21"/>
              </w:rPr>
              <w:t>1.00%</w:t>
            </w:r>
          </w:p>
        </w:tc>
        <w:tc>
          <w:tcPr>
            <w:tcW w:w="1291" w:type="dxa"/>
            <w:vAlign w:val="center"/>
          </w:tcPr>
          <w:p w:rsidR="00E112EA" w:rsidRDefault="003A4951">
            <w:pPr>
              <w:jc w:val="right"/>
            </w:pPr>
            <w:r>
              <w:rPr>
                <w:rFonts w:eastAsiaTheme="minorEastAsia"/>
                <w:color w:val="000000" w:themeColor="text1"/>
                <w:szCs w:val="21"/>
              </w:rPr>
              <w:t>-22.95%</w:t>
            </w:r>
          </w:p>
        </w:tc>
        <w:tc>
          <w:tcPr>
            <w:tcW w:w="1291" w:type="dxa"/>
            <w:vAlign w:val="center"/>
          </w:tcPr>
          <w:p w:rsidR="00E112EA" w:rsidRDefault="003A4951">
            <w:pPr>
              <w:jc w:val="right"/>
            </w:pPr>
            <w:r>
              <w:rPr>
                <w:rFonts w:eastAsiaTheme="minorEastAsia"/>
                <w:color w:val="000000" w:themeColor="text1"/>
                <w:szCs w:val="21"/>
              </w:rPr>
              <w:t>1.05%</w:t>
            </w:r>
          </w:p>
        </w:tc>
        <w:tc>
          <w:tcPr>
            <w:tcW w:w="1291" w:type="dxa"/>
            <w:vAlign w:val="center"/>
          </w:tcPr>
          <w:p w:rsidR="00E112EA" w:rsidRDefault="003A4951">
            <w:pPr>
              <w:jc w:val="right"/>
            </w:pPr>
            <w:r>
              <w:rPr>
                <w:rFonts w:eastAsiaTheme="minorEastAsia"/>
                <w:color w:val="000000" w:themeColor="text1"/>
                <w:szCs w:val="21"/>
              </w:rPr>
              <w:t>6.90%</w:t>
            </w:r>
          </w:p>
        </w:tc>
        <w:tc>
          <w:tcPr>
            <w:tcW w:w="1291" w:type="dxa"/>
            <w:vAlign w:val="center"/>
          </w:tcPr>
          <w:p w:rsidR="00E112EA" w:rsidRDefault="003A4951">
            <w:pPr>
              <w:jc w:val="right"/>
            </w:pPr>
            <w:r>
              <w:rPr>
                <w:rFonts w:eastAsiaTheme="minorEastAsia"/>
                <w:color w:val="000000" w:themeColor="text1"/>
                <w:szCs w:val="21"/>
              </w:rPr>
              <w:t>-0.05%</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2023</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12</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31</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740E604" wp14:editId="3FC51B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lastRenderedPageBreak/>
        <w:drawing>
          <wp:inline distT="0" distB="0" distL="0" distR="0" wp14:anchorId="07AC3F6F" wp14:editId="760A3A2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E112EA">
        <w:tc>
          <w:tcPr>
            <w:tcW w:w="952" w:type="dxa"/>
            <w:vAlign w:val="center"/>
          </w:tcPr>
          <w:p w:rsidR="00E112EA" w:rsidRDefault="003A4951">
            <w:pPr>
              <w:jc w:val="center"/>
            </w:pPr>
            <w:r>
              <w:rPr>
                <w:rFonts w:eastAsiaTheme="minorEastAsia"/>
                <w:color w:val="000000" w:themeColor="text1"/>
                <w:szCs w:val="21"/>
              </w:rPr>
              <w:t>胡迪</w:t>
            </w:r>
          </w:p>
        </w:tc>
        <w:tc>
          <w:tcPr>
            <w:tcW w:w="930" w:type="dxa"/>
            <w:vAlign w:val="center"/>
          </w:tcPr>
          <w:p w:rsidR="00E112EA" w:rsidRDefault="003A4951">
            <w:pPr>
              <w:jc w:val="center"/>
            </w:pPr>
            <w:r>
              <w:rPr>
                <w:rFonts w:eastAsiaTheme="minorEastAsia"/>
                <w:color w:val="000000" w:themeColor="text1"/>
                <w:szCs w:val="21"/>
              </w:rPr>
              <w:t>本基金基金经理、指数及量化投资部总监</w:t>
            </w:r>
          </w:p>
        </w:tc>
        <w:tc>
          <w:tcPr>
            <w:tcW w:w="1210" w:type="dxa"/>
            <w:vAlign w:val="center"/>
          </w:tcPr>
          <w:p w:rsidR="00E112EA" w:rsidRDefault="003A4951">
            <w:pPr>
              <w:jc w:val="center"/>
            </w:pPr>
            <w:r>
              <w:rPr>
                <w:rFonts w:eastAsiaTheme="minorEastAsia"/>
                <w:color w:val="000000" w:themeColor="text1"/>
                <w:szCs w:val="21"/>
              </w:rPr>
              <w:t>2021-01-07</w:t>
            </w:r>
          </w:p>
        </w:tc>
        <w:tc>
          <w:tcPr>
            <w:tcW w:w="1309" w:type="dxa"/>
            <w:vAlign w:val="center"/>
          </w:tcPr>
          <w:p w:rsidR="00E112EA" w:rsidRDefault="003A4951">
            <w:pPr>
              <w:jc w:val="center"/>
            </w:pPr>
            <w:r>
              <w:rPr>
                <w:rFonts w:eastAsiaTheme="minorEastAsia"/>
                <w:color w:val="000000" w:themeColor="text1"/>
                <w:szCs w:val="21"/>
              </w:rPr>
              <w:t>2023-11-23</w:t>
            </w:r>
          </w:p>
        </w:tc>
        <w:tc>
          <w:tcPr>
            <w:tcW w:w="1254" w:type="dxa"/>
            <w:vAlign w:val="center"/>
          </w:tcPr>
          <w:p w:rsidR="00E112EA" w:rsidRDefault="003A4951">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E112EA" w:rsidRDefault="003A4951">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E112EA">
        <w:tc>
          <w:tcPr>
            <w:tcW w:w="952" w:type="dxa"/>
            <w:vAlign w:val="center"/>
          </w:tcPr>
          <w:p w:rsidR="00E112EA" w:rsidRDefault="003A4951">
            <w:pPr>
              <w:jc w:val="center"/>
            </w:pPr>
            <w:r>
              <w:rPr>
                <w:rFonts w:eastAsiaTheme="minorEastAsia"/>
                <w:color w:val="000000" w:themeColor="text1"/>
                <w:szCs w:val="21"/>
              </w:rPr>
              <w:t>何智豪</w:t>
            </w:r>
          </w:p>
        </w:tc>
        <w:tc>
          <w:tcPr>
            <w:tcW w:w="930" w:type="dxa"/>
            <w:vAlign w:val="center"/>
          </w:tcPr>
          <w:p w:rsidR="00E112EA" w:rsidRDefault="003A4951">
            <w:pPr>
              <w:jc w:val="center"/>
            </w:pPr>
            <w:r>
              <w:rPr>
                <w:rFonts w:eastAsiaTheme="minorEastAsia"/>
                <w:color w:val="000000" w:themeColor="text1"/>
                <w:szCs w:val="21"/>
              </w:rPr>
              <w:t>本基金基金经理</w:t>
            </w:r>
          </w:p>
        </w:tc>
        <w:tc>
          <w:tcPr>
            <w:tcW w:w="1210" w:type="dxa"/>
            <w:vAlign w:val="center"/>
          </w:tcPr>
          <w:p w:rsidR="00E112EA" w:rsidRDefault="003A4951">
            <w:pPr>
              <w:jc w:val="center"/>
            </w:pPr>
            <w:r>
              <w:rPr>
                <w:rFonts w:eastAsiaTheme="minorEastAsia"/>
                <w:color w:val="000000" w:themeColor="text1"/>
                <w:szCs w:val="21"/>
              </w:rPr>
              <w:t>2021-02-19</w:t>
            </w:r>
          </w:p>
        </w:tc>
        <w:tc>
          <w:tcPr>
            <w:tcW w:w="1309" w:type="dxa"/>
            <w:vAlign w:val="center"/>
          </w:tcPr>
          <w:p w:rsidR="00E112EA" w:rsidRDefault="003A4951">
            <w:pPr>
              <w:jc w:val="center"/>
            </w:pPr>
            <w:r>
              <w:rPr>
                <w:rFonts w:eastAsiaTheme="minorEastAsia"/>
                <w:color w:val="000000" w:themeColor="text1"/>
                <w:szCs w:val="21"/>
              </w:rPr>
              <w:t>-</w:t>
            </w:r>
          </w:p>
        </w:tc>
        <w:tc>
          <w:tcPr>
            <w:tcW w:w="1254" w:type="dxa"/>
            <w:vAlign w:val="center"/>
          </w:tcPr>
          <w:p w:rsidR="00E112EA" w:rsidRDefault="003A4951">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E112EA" w:rsidRDefault="003A4951">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w:t>
            </w:r>
            <w:r>
              <w:rPr>
                <w:rFonts w:eastAsiaTheme="minorEastAsia"/>
                <w:color w:val="000000" w:themeColor="text1"/>
                <w:szCs w:val="21"/>
              </w:rPr>
              <w:lastRenderedPageBreak/>
              <w:t>理有限公司），现任基金经理。</w:t>
            </w:r>
          </w:p>
        </w:tc>
      </w:tr>
      <w:tr w:rsidR="00E112EA">
        <w:tc>
          <w:tcPr>
            <w:tcW w:w="952" w:type="dxa"/>
            <w:vAlign w:val="center"/>
          </w:tcPr>
          <w:p w:rsidR="00E112EA" w:rsidRDefault="003A4951">
            <w:pPr>
              <w:jc w:val="center"/>
            </w:pPr>
            <w:r>
              <w:rPr>
                <w:rFonts w:eastAsiaTheme="minorEastAsia"/>
                <w:color w:val="000000" w:themeColor="text1"/>
                <w:szCs w:val="21"/>
              </w:rPr>
              <w:lastRenderedPageBreak/>
              <w:t>韩秀一</w:t>
            </w:r>
          </w:p>
        </w:tc>
        <w:tc>
          <w:tcPr>
            <w:tcW w:w="930" w:type="dxa"/>
            <w:vAlign w:val="center"/>
          </w:tcPr>
          <w:p w:rsidR="00E112EA" w:rsidRDefault="003A4951">
            <w:pPr>
              <w:jc w:val="center"/>
            </w:pPr>
            <w:r>
              <w:rPr>
                <w:rFonts w:eastAsiaTheme="minorEastAsia"/>
                <w:color w:val="000000" w:themeColor="text1"/>
                <w:szCs w:val="21"/>
              </w:rPr>
              <w:t>本基金基金经理</w:t>
            </w:r>
          </w:p>
        </w:tc>
        <w:tc>
          <w:tcPr>
            <w:tcW w:w="1210" w:type="dxa"/>
            <w:vAlign w:val="center"/>
          </w:tcPr>
          <w:p w:rsidR="00E112EA" w:rsidRDefault="003A4951">
            <w:pPr>
              <w:jc w:val="center"/>
            </w:pPr>
            <w:r>
              <w:rPr>
                <w:rFonts w:eastAsiaTheme="minorEastAsia"/>
                <w:color w:val="000000" w:themeColor="text1"/>
                <w:szCs w:val="21"/>
              </w:rPr>
              <w:t>2023-11-23</w:t>
            </w:r>
          </w:p>
        </w:tc>
        <w:tc>
          <w:tcPr>
            <w:tcW w:w="1309" w:type="dxa"/>
            <w:vAlign w:val="center"/>
          </w:tcPr>
          <w:p w:rsidR="00E112EA" w:rsidRDefault="003A4951">
            <w:pPr>
              <w:jc w:val="center"/>
            </w:pPr>
            <w:r>
              <w:rPr>
                <w:rFonts w:eastAsiaTheme="minorEastAsia"/>
                <w:color w:val="000000" w:themeColor="text1"/>
                <w:szCs w:val="21"/>
              </w:rPr>
              <w:t>-</w:t>
            </w:r>
          </w:p>
        </w:tc>
        <w:tc>
          <w:tcPr>
            <w:tcW w:w="1254" w:type="dxa"/>
            <w:vAlign w:val="center"/>
          </w:tcPr>
          <w:p w:rsidR="00E112EA" w:rsidRDefault="003A4951">
            <w:pPr>
              <w:jc w:val="center"/>
            </w:pPr>
            <w:r>
              <w:rPr>
                <w:rFonts w:eastAsiaTheme="minorEastAsia"/>
                <w:color w:val="000000" w:themeColor="text1"/>
                <w:szCs w:val="21"/>
              </w:rPr>
              <w:t>4</w:t>
            </w:r>
            <w:r>
              <w:rPr>
                <w:rFonts w:eastAsiaTheme="minorEastAsia"/>
                <w:color w:val="000000" w:themeColor="text1"/>
                <w:szCs w:val="21"/>
              </w:rPr>
              <w:t>年</w:t>
            </w:r>
          </w:p>
        </w:tc>
        <w:tc>
          <w:tcPr>
            <w:tcW w:w="3276" w:type="dxa"/>
            <w:vAlign w:val="center"/>
          </w:tcPr>
          <w:p w:rsidR="00E112EA" w:rsidRDefault="003A4951">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E112EA" w:rsidRDefault="003A495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股指数当季下跌</w:t>
      </w:r>
      <w:r>
        <w:rPr>
          <w:rFonts w:eastAsiaTheme="minorEastAsia"/>
          <w:color w:val="000000" w:themeColor="text1"/>
          <w:szCs w:val="21"/>
        </w:rPr>
        <w:t>6.42%</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7.00%</w:t>
      </w:r>
      <w:r>
        <w:rPr>
          <w:rFonts w:eastAsiaTheme="minorEastAsia"/>
          <w:color w:val="000000" w:themeColor="text1"/>
          <w:szCs w:val="21"/>
        </w:rPr>
        <w:t>。报告期内，由于市场风险偏好较低，投资者情绪偏弱，</w:t>
      </w:r>
      <w:r>
        <w:rPr>
          <w:rFonts w:eastAsiaTheme="minorEastAsia"/>
          <w:color w:val="000000" w:themeColor="text1"/>
          <w:szCs w:val="21"/>
        </w:rPr>
        <w:t>A</w:t>
      </w:r>
      <w:r>
        <w:rPr>
          <w:rFonts w:eastAsiaTheme="minorEastAsia"/>
          <w:color w:val="000000" w:themeColor="text1"/>
          <w:szCs w:val="21"/>
        </w:rPr>
        <w:t>股整体呈现持续下跌的趋势。</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月中央新增</w:t>
      </w:r>
      <w:r>
        <w:rPr>
          <w:rFonts w:eastAsiaTheme="minorEastAsia"/>
          <w:color w:val="000000" w:themeColor="text1"/>
          <w:szCs w:val="21"/>
        </w:rPr>
        <w:t>1</w:t>
      </w:r>
      <w:r>
        <w:rPr>
          <w:rFonts w:eastAsiaTheme="minorEastAsia"/>
          <w:color w:val="000000" w:themeColor="text1"/>
          <w:szCs w:val="21"/>
        </w:rPr>
        <w:t>万亿国债，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月中央政治局会议针对</w:t>
      </w:r>
      <w:r>
        <w:rPr>
          <w:rFonts w:eastAsiaTheme="minorEastAsia"/>
          <w:color w:val="000000" w:themeColor="text1"/>
          <w:szCs w:val="21"/>
        </w:rPr>
        <w:t>2024</w:t>
      </w:r>
      <w:r>
        <w:rPr>
          <w:rFonts w:eastAsiaTheme="minorEastAsia"/>
          <w:color w:val="000000" w:themeColor="text1"/>
          <w:szCs w:val="21"/>
        </w:rPr>
        <w:t>年经济工作进行部署，政策定调积极，稳中求进的同时，加大宏观调控力度，巩固和增强经济企稳回升的态势。企业盈利有望在</w:t>
      </w:r>
      <w:r>
        <w:rPr>
          <w:rFonts w:eastAsiaTheme="minorEastAsia"/>
          <w:color w:val="000000" w:themeColor="text1"/>
          <w:szCs w:val="21"/>
        </w:rPr>
        <w:t>2023</w:t>
      </w:r>
      <w:r>
        <w:rPr>
          <w:rFonts w:eastAsiaTheme="minorEastAsia"/>
          <w:color w:val="000000" w:themeColor="text1"/>
          <w:szCs w:val="21"/>
        </w:rPr>
        <w:t>年四季度见底回升，开启新一轮盈利修复周期。当前基本面积极因素正在累积，随着美联储加息周期结束，外部环境也在持续改善。四季度，申万一级行业中，煤炭、电子、农林牧渔、综合板块录得正收益，涨幅分别为</w:t>
      </w:r>
      <w:r>
        <w:rPr>
          <w:rFonts w:eastAsiaTheme="minorEastAsia"/>
          <w:color w:val="000000" w:themeColor="text1"/>
          <w:szCs w:val="21"/>
        </w:rPr>
        <w:t>4.18%</w:t>
      </w:r>
      <w:r>
        <w:rPr>
          <w:rFonts w:eastAsiaTheme="minorEastAsia"/>
          <w:color w:val="000000" w:themeColor="text1"/>
          <w:szCs w:val="21"/>
        </w:rPr>
        <w:t>、</w:t>
      </w:r>
      <w:r>
        <w:rPr>
          <w:rFonts w:eastAsiaTheme="minorEastAsia"/>
          <w:color w:val="000000" w:themeColor="text1"/>
          <w:szCs w:val="21"/>
        </w:rPr>
        <w:t>3.92%</w:t>
      </w:r>
      <w:r>
        <w:rPr>
          <w:rFonts w:eastAsiaTheme="minorEastAsia"/>
          <w:color w:val="000000" w:themeColor="text1"/>
          <w:szCs w:val="21"/>
        </w:rPr>
        <w:t>、</w:t>
      </w:r>
      <w:r>
        <w:rPr>
          <w:rFonts w:eastAsiaTheme="minorEastAsia"/>
          <w:color w:val="000000" w:themeColor="text1"/>
          <w:szCs w:val="21"/>
        </w:rPr>
        <w:t>1.72%</w:t>
      </w:r>
      <w:r>
        <w:rPr>
          <w:rFonts w:eastAsiaTheme="minorEastAsia"/>
          <w:color w:val="000000" w:themeColor="text1"/>
          <w:szCs w:val="21"/>
        </w:rPr>
        <w:t>和</w:t>
      </w:r>
      <w:r>
        <w:rPr>
          <w:rFonts w:eastAsiaTheme="minorEastAsia"/>
          <w:color w:val="000000" w:themeColor="text1"/>
          <w:szCs w:val="21"/>
        </w:rPr>
        <w:t>0.80%</w:t>
      </w:r>
      <w:r>
        <w:rPr>
          <w:rFonts w:eastAsiaTheme="minorEastAsia"/>
          <w:color w:val="000000" w:themeColor="text1"/>
          <w:szCs w:val="21"/>
        </w:rPr>
        <w:t>；而美容护理、房地产、建筑材料等板块显著下跌，跌幅分别为</w:t>
      </w:r>
      <w:r>
        <w:rPr>
          <w:rFonts w:eastAsiaTheme="minorEastAsia"/>
          <w:color w:val="000000" w:themeColor="text1"/>
          <w:szCs w:val="21"/>
        </w:rPr>
        <w:t>14.55%</w:t>
      </w:r>
      <w:r>
        <w:rPr>
          <w:rFonts w:eastAsiaTheme="minorEastAsia"/>
          <w:color w:val="000000" w:themeColor="text1"/>
          <w:szCs w:val="21"/>
        </w:rPr>
        <w:t>，</w:t>
      </w:r>
      <w:r>
        <w:rPr>
          <w:rFonts w:eastAsiaTheme="minorEastAsia"/>
          <w:color w:val="000000" w:themeColor="text1"/>
          <w:szCs w:val="21"/>
        </w:rPr>
        <w:t>14.47%</w:t>
      </w:r>
      <w:r>
        <w:rPr>
          <w:rFonts w:eastAsiaTheme="minorEastAsia"/>
          <w:color w:val="000000" w:themeColor="text1"/>
          <w:szCs w:val="21"/>
        </w:rPr>
        <w:t>，</w:t>
      </w:r>
      <w:r>
        <w:rPr>
          <w:rFonts w:eastAsiaTheme="minorEastAsia"/>
          <w:color w:val="000000" w:themeColor="text1"/>
          <w:szCs w:val="21"/>
        </w:rPr>
        <w:t>14.47%</w:t>
      </w:r>
      <w:r>
        <w:rPr>
          <w:rFonts w:eastAsiaTheme="minorEastAsia"/>
          <w:color w:val="000000" w:themeColor="text1"/>
          <w:szCs w:val="21"/>
        </w:rPr>
        <w:t>。本基金继续采用完全复制的方法跟踪标的指数，力争跟踪误差保持在合理范围内。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预计</w:t>
      </w:r>
      <w:r w:rsidRPr="00D97CD7">
        <w:rPr>
          <w:rFonts w:eastAsiaTheme="minorEastAsia"/>
          <w:color w:val="000000" w:themeColor="text1"/>
          <w:szCs w:val="21"/>
        </w:rPr>
        <w:t>A</w:t>
      </w:r>
      <w:r w:rsidRPr="00D97CD7">
        <w:rPr>
          <w:rFonts w:eastAsiaTheme="minorEastAsia"/>
          <w:color w:val="000000" w:themeColor="text1"/>
          <w:szCs w:val="21"/>
        </w:rPr>
        <w:t>股估值下行最快的阶段或已过去，财政政策或将持续发力撑经济需求端，刺激经济增长，</w:t>
      </w:r>
      <w:r w:rsidRPr="00D97CD7">
        <w:rPr>
          <w:rFonts w:eastAsiaTheme="minorEastAsia"/>
          <w:color w:val="000000" w:themeColor="text1"/>
          <w:szCs w:val="21"/>
        </w:rPr>
        <w:t>2024</w:t>
      </w:r>
      <w:r w:rsidRPr="00D97CD7">
        <w:rPr>
          <w:rFonts w:eastAsiaTheme="minorEastAsia"/>
          <w:color w:val="000000" w:themeColor="text1"/>
          <w:szCs w:val="21"/>
        </w:rPr>
        <w:t>年中国经济或将延续复苏的趋势，为盈利增速的持续修复提供支撑，随着上市公司盈利增速的提升，</w:t>
      </w:r>
      <w:r w:rsidRPr="00D97CD7">
        <w:rPr>
          <w:rFonts w:eastAsiaTheme="minorEastAsia"/>
          <w:color w:val="000000" w:themeColor="text1"/>
          <w:szCs w:val="21"/>
        </w:rPr>
        <w:t>A</w:t>
      </w:r>
      <w:r w:rsidRPr="00D97CD7">
        <w:rPr>
          <w:rFonts w:eastAsiaTheme="minorEastAsia"/>
          <w:color w:val="000000" w:themeColor="text1"/>
          <w:szCs w:val="21"/>
        </w:rPr>
        <w:t>股市场或将迎来估值修复行情。主要的风险来自于，稳增长政策落地进度不及预期，国内经济修复不及预期。</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:-5.94%</w:t>
      </w:r>
      <w:r>
        <w:rPr>
          <w:rFonts w:eastAsiaTheme="minorEastAsia"/>
          <w:color w:val="000000" w:themeColor="text1"/>
          <w:szCs w:val="21"/>
        </w:rPr>
        <w:t>，同期业绩比较基准收益率为</w:t>
      </w:r>
      <w:r>
        <w:rPr>
          <w:rFonts w:eastAsiaTheme="minorEastAsia"/>
          <w:color w:val="000000" w:themeColor="text1"/>
          <w:szCs w:val="21"/>
        </w:rPr>
        <w:t>:-6.09%</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:-5.96%</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:-6.09%</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E112EA" w:rsidRDefault="003A4951">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lastRenderedPageBreak/>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29,451,593.46</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91.58</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2,550,528.99</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7.93</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158,010.92</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0.49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32,160,133.37</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E112EA">
        <w:tc>
          <w:tcPr>
            <w:tcW w:w="1238" w:type="dxa"/>
            <w:vAlign w:val="center"/>
          </w:tcPr>
          <w:p w:rsidR="00E112EA" w:rsidRDefault="003A4951">
            <w:pPr>
              <w:jc w:val="center"/>
            </w:pPr>
            <w:r>
              <w:rPr>
                <w:rFonts w:eastAsiaTheme="minorEastAsia"/>
                <w:color w:val="000000" w:themeColor="text1"/>
                <w:szCs w:val="21"/>
              </w:rPr>
              <w:t>1</w:t>
            </w:r>
          </w:p>
        </w:tc>
        <w:tc>
          <w:tcPr>
            <w:tcW w:w="1239" w:type="dxa"/>
            <w:vAlign w:val="center"/>
          </w:tcPr>
          <w:p w:rsidR="00E112EA" w:rsidRDefault="003A4951">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E112EA" w:rsidRDefault="003A4951">
            <w:pPr>
              <w:jc w:val="center"/>
            </w:pPr>
            <w:r>
              <w:rPr>
                <w:rFonts w:eastAsiaTheme="minorEastAsia"/>
                <w:color w:val="000000" w:themeColor="text1"/>
                <w:szCs w:val="21"/>
              </w:rPr>
              <w:t>股票型</w:t>
            </w:r>
          </w:p>
        </w:tc>
        <w:tc>
          <w:tcPr>
            <w:tcW w:w="1240" w:type="dxa"/>
            <w:vAlign w:val="center"/>
          </w:tcPr>
          <w:p w:rsidR="00E112EA" w:rsidRDefault="003A4951">
            <w:pPr>
              <w:jc w:val="center"/>
            </w:pPr>
            <w:r>
              <w:rPr>
                <w:rFonts w:eastAsiaTheme="minorEastAsia"/>
                <w:color w:val="000000" w:themeColor="text1"/>
                <w:szCs w:val="21"/>
              </w:rPr>
              <w:t>交易型开放式</w:t>
            </w:r>
          </w:p>
        </w:tc>
        <w:tc>
          <w:tcPr>
            <w:tcW w:w="1240" w:type="dxa"/>
            <w:vAlign w:val="center"/>
          </w:tcPr>
          <w:p w:rsidR="00E112EA" w:rsidRDefault="003A4951">
            <w:pPr>
              <w:jc w:val="center"/>
            </w:pPr>
            <w:r>
              <w:rPr>
                <w:rFonts w:eastAsiaTheme="minorEastAsia"/>
                <w:color w:val="000000" w:themeColor="text1"/>
                <w:szCs w:val="21"/>
              </w:rPr>
              <w:t>摩根基金管理（中国）有限公司</w:t>
            </w:r>
          </w:p>
        </w:tc>
        <w:tc>
          <w:tcPr>
            <w:tcW w:w="1241" w:type="dxa"/>
            <w:vAlign w:val="center"/>
          </w:tcPr>
          <w:p w:rsidR="00E112EA" w:rsidRDefault="003A4951">
            <w:pPr>
              <w:jc w:val="right"/>
            </w:pPr>
            <w:r>
              <w:rPr>
                <w:rFonts w:eastAsiaTheme="minorEastAsia"/>
                <w:color w:val="000000" w:themeColor="text1"/>
                <w:szCs w:val="21"/>
              </w:rPr>
              <w:t>29,451,593.46</w:t>
            </w:r>
          </w:p>
        </w:tc>
        <w:tc>
          <w:tcPr>
            <w:tcW w:w="1490" w:type="dxa"/>
            <w:vAlign w:val="center"/>
          </w:tcPr>
          <w:p w:rsidR="00E112EA" w:rsidRDefault="003A4951">
            <w:pPr>
              <w:jc w:val="right"/>
            </w:pPr>
            <w:r>
              <w:rPr>
                <w:rFonts w:eastAsiaTheme="minorEastAsia"/>
                <w:color w:val="000000" w:themeColor="text1"/>
                <w:szCs w:val="21"/>
              </w:rPr>
              <w:t>93.42</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442.57</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lastRenderedPageBreak/>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157,568.35</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158,010.92</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26,481,286.56</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10,641,374.44</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374,986.26</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12,114,033.11</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318,690.37</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11,834,420.09</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26,537,582.45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10,920,987.46</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lastRenderedPageBreak/>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49212F" w:rsidRPr="00FF6B9A" w:rsidRDefault="0049212F" w:rsidP="0049212F">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49212F" w:rsidRPr="00FF6B9A" w:rsidRDefault="0049212F" w:rsidP="0049212F">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49212F" w:rsidRPr="00D97CD7" w:rsidRDefault="0049212F">
      <w:pPr>
        <w:autoSpaceDE w:val="0"/>
        <w:autoSpaceDN w:val="0"/>
        <w:adjustRightInd w:val="0"/>
        <w:spacing w:line="360" w:lineRule="auto"/>
        <w:ind w:firstLineChars="200" w:firstLine="420"/>
        <w:jc w:val="left"/>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E112EA" w:rsidRDefault="003A49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二〇二四年一月二十二日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33" w:rsidRDefault="00CF0633">
      <w:r>
        <w:separator/>
      </w:r>
    </w:p>
  </w:endnote>
  <w:endnote w:type="continuationSeparator" w:id="0">
    <w:p w:rsidR="00CF0633" w:rsidRDefault="00CF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8441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8441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84419">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33" w:rsidRDefault="00CF0633">
      <w:r>
        <w:separator/>
      </w:r>
    </w:p>
  </w:footnote>
  <w:footnote w:type="continuationSeparator" w:id="0">
    <w:p w:rsidR="00CF0633" w:rsidRDefault="00CF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2023</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951"/>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12F"/>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4419"/>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12E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3ADB1-BBEE-4EC8-B9AE-69CEA36D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1192</Words>
  <Characters>6798</Characters>
  <Application>Microsoft Office Word</Application>
  <DocSecurity>0</DocSecurity>
  <Lines>56</Lines>
  <Paragraphs>15</Paragraphs>
  <ScaleCrop>false</ScaleCrop>
  <Company>TRT. Ltd. Co.</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26</cp:revision>
  <cp:lastPrinted>2007-07-19T00:46:00Z</cp:lastPrinted>
  <dcterms:created xsi:type="dcterms:W3CDTF">2014-12-16T08:49:00Z</dcterms:created>
  <dcterms:modified xsi:type="dcterms:W3CDTF">2024-01-19T05:45:00Z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