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F7D2D" w:rsidRDefault="006F7D2D">
      <w:pPr>
        <w:rPr>
          <w:rFonts w:ascii="宋体" w:hAnsi="宋体"/>
          <w:sz w:val="48"/>
        </w:rPr>
      </w:pPr>
      <w:r>
        <w:rPr>
          <w:rFonts w:ascii="宋体" w:hAnsi="宋体" w:hint="eastAsia"/>
          <w:sz w:val="48"/>
        </w:rPr>
        <w:t xml:space="preserve">　</w:t>
      </w:r>
      <w:r>
        <w:rPr>
          <w:rFonts w:ascii="宋体" w:hAnsi="宋体" w:hint="eastAsia"/>
          <w:sz w:val="48"/>
        </w:rPr>
        <w:t xml:space="preserve"> </w:t>
      </w:r>
    </w:p>
    <w:p w:rsidR="006F7D2D" w:rsidRDefault="006F7D2D">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F7D2D" w:rsidRDefault="006F7D2D">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w:t>
      </w:r>
      <w:r>
        <w:rPr>
          <w:rFonts w:ascii="宋体" w:hAnsi="宋体" w:hint="eastAsia"/>
          <w:b/>
          <w:bCs/>
          <w:color w:val="000000" w:themeColor="text1"/>
          <w:sz w:val="48"/>
          <w:szCs w:val="30"/>
        </w:rPr>
        <w:t>MSCI</w:t>
      </w:r>
      <w:r>
        <w:rPr>
          <w:rFonts w:ascii="宋体" w:hAnsi="宋体" w:hint="eastAsia"/>
          <w:b/>
          <w:bCs/>
          <w:color w:val="000000" w:themeColor="text1"/>
          <w:sz w:val="48"/>
          <w:szCs w:val="30"/>
        </w:rPr>
        <w:t>中国</w:t>
      </w:r>
      <w:r>
        <w:rPr>
          <w:rFonts w:ascii="宋体" w:hAnsi="宋体" w:hint="eastAsia"/>
          <w:b/>
          <w:bCs/>
          <w:color w:val="000000" w:themeColor="text1"/>
          <w:sz w:val="48"/>
          <w:szCs w:val="30"/>
        </w:rPr>
        <w:t>A</w:t>
      </w:r>
      <w:r>
        <w:rPr>
          <w:rFonts w:ascii="宋体" w:hAnsi="宋体" w:hint="eastAsia"/>
          <w:b/>
          <w:bCs/>
          <w:color w:val="000000" w:themeColor="text1"/>
          <w:sz w:val="48"/>
          <w:szCs w:val="30"/>
        </w:rPr>
        <w:t>股交易型开放式指数证券投资基金联接基金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F7D2D" w:rsidRDefault="006F7D2D">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F7D2D" w:rsidRDefault="006F7D2D">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F7D2D" w:rsidRDefault="006F7D2D">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F7D2D" w:rsidRDefault="006F7D2D">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平安银行股份有限公</w:t>
      </w:r>
      <w:r>
        <w:rPr>
          <w:rFonts w:ascii="宋体" w:hAnsi="宋体" w:hint="eastAsia"/>
          <w:b/>
          <w:bCs/>
          <w:sz w:val="28"/>
          <w:szCs w:val="30"/>
        </w:rPr>
        <w:t>司</w:t>
      </w:r>
    </w:p>
    <w:p w:rsidR="006F7D2D" w:rsidRDefault="006F7D2D">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F7D2D" w:rsidRDefault="006F7D2D">
      <w:pPr>
        <w:pStyle w:val="XBRLTitle1"/>
        <w:spacing w:before="156"/>
        <w:ind w:left="425"/>
      </w:pPr>
      <w:r>
        <w:rPr>
          <w:rFonts w:hAnsi="宋体" w:cs="宋体" w:hint="eastAsia"/>
          <w:color w:val="404040"/>
          <w:kern w:val="0"/>
        </w:rPr>
        <w:br w:type="page"/>
      </w:r>
      <w:bookmarkStart w:id="7" w:name="_Toc17881663"/>
      <w:bookmarkStart w:id="8" w:name="_Toc512627214"/>
      <w:bookmarkStart w:id="9" w:name="_Toc492299860"/>
      <w:bookmarkStart w:id="10" w:name="_Toc466644444"/>
      <w:bookmarkStart w:id="11" w:name="_Toc447872908"/>
      <w:bookmarkStart w:id="12" w:name="_Toc438646451"/>
      <w:bookmarkStart w:id="13" w:name="_Toc512694294"/>
      <w:bookmarkStart w:id="14" w:name="m101"/>
      <w:bookmarkStart w:id="15" w:name="m01_01"/>
      <w:bookmarkStart w:id="16"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r>
        <w:rPr>
          <w:rFonts w:hAnsi="宋体" w:hint="eastAsia"/>
        </w:rPr>
        <w:t xml:space="preserve"> </w:t>
      </w:r>
    </w:p>
    <w:p w:rsidR="006F7D2D" w:rsidRDefault="006F7D2D">
      <w:pPr>
        <w:spacing w:line="360" w:lineRule="auto"/>
        <w:ind w:firstLineChars="200" w:firstLine="420"/>
        <w:rPr>
          <w:rFonts w:hint="eastAsia"/>
        </w:rPr>
      </w:pPr>
      <w:bookmarkStart w:id="17" w:name="m502"/>
      <w:bookmarkStart w:id="18" w:name="_Toc438646470"/>
      <w:bookmarkStart w:id="19" w:name="m504"/>
      <w:bookmarkStart w:id="20" w:name="m08QD_01"/>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基金托管人平安银行股份有限公司根据本基金合同约定，于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F7D2D" w:rsidRDefault="006F7D2D">
      <w:pPr>
        <w:pStyle w:val="XBRLTitle1"/>
        <w:spacing w:before="156"/>
        <w:ind w:left="425"/>
      </w:pPr>
      <w:bookmarkStart w:id="23" w:name="_Toc17881664"/>
      <w:bookmarkStart w:id="24" w:name="_Toc492299861"/>
      <w:bookmarkStart w:id="25" w:name="_Toc466644445"/>
      <w:bookmarkStart w:id="26" w:name="_Toc447872909"/>
      <w:bookmarkStart w:id="27" w:name="_Toc438646452"/>
      <w:bookmarkStart w:id="28" w:name="_Toc512627215"/>
      <w:bookmarkStart w:id="29" w:name="_Toc512694295"/>
      <w:bookmarkEnd w:id="14"/>
      <w:r>
        <w:rPr>
          <w:rFonts w:hAnsi="宋体" w:hint="eastAsia"/>
        </w:rPr>
        <w:t>基金产品概</w:t>
      </w:r>
      <w:r>
        <w:rPr>
          <w:rFonts w:hAnsi="宋体" w:hint="eastAsia"/>
        </w:rPr>
        <w:t>况</w:t>
      </w:r>
      <w:bookmarkEnd w:id="23"/>
      <w:bookmarkEnd w:id="24"/>
      <w:bookmarkEnd w:id="25"/>
      <w:bookmarkEnd w:id="26"/>
      <w:bookmarkEnd w:id="27"/>
      <w:bookmarkEnd w:id="28"/>
      <w:bookmarkEnd w:id="29"/>
      <w:r>
        <w:rPr>
          <w:rFonts w:hAnsi="宋体" w:hint="eastAsia"/>
        </w:rPr>
        <w:t xml:space="preserve"> </w:t>
      </w:r>
    </w:p>
    <w:p w:rsidR="006F7D2D" w:rsidRDefault="006F7D2D">
      <w:pPr>
        <w:pStyle w:val="XBRLTitle2"/>
        <w:spacing w:before="156"/>
        <w:ind w:left="454"/>
        <w:rPr>
          <w:rFonts w:hint="eastAsia"/>
        </w:rPr>
      </w:pPr>
      <w:bookmarkStart w:id="30" w:name="_Toc17881665"/>
      <w:bookmarkStart w:id="31" w:name="_Toc492299866"/>
      <w:bookmarkStart w:id="32" w:name="_Toc466644450"/>
      <w:bookmarkStart w:id="33" w:name="_Toc447872912"/>
      <w:bookmarkStart w:id="34" w:name="_Toc438646456"/>
      <w:bookmarkStart w:id="35" w:name="_Toc512627218"/>
      <w:bookmarkStart w:id="36" w:name="_Toc512694298"/>
      <w:bookmarkStart w:id="37" w:name="m401_tab"/>
      <w:bookmarkStart w:id="38" w:name="m401"/>
      <w:r>
        <w:rPr>
          <w:rFonts w:hAnsi="宋体" w:hint="eastAsia"/>
        </w:rPr>
        <w:t>基金基本情</w:t>
      </w:r>
      <w:r>
        <w:rPr>
          <w:rFonts w:hAnsi="宋体" w:hint="eastAsia"/>
        </w:rPr>
        <w:t>况</w:t>
      </w:r>
      <w:bookmarkEnd w:id="30"/>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53283518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szCs w:val="24"/>
                <w:lang w:eastAsia="zh-Hans"/>
              </w:rPr>
              <w:t>摩根</w:t>
            </w:r>
            <w:r>
              <w:rPr>
                <w:rFonts w:ascii="宋体" w:hAnsi="宋体" w:hint="eastAsia"/>
                <w:szCs w:val="24"/>
                <w:lang w:eastAsia="zh-Hans"/>
              </w:rPr>
              <w:t>MSCI</w:t>
            </w:r>
            <w:r>
              <w:rPr>
                <w:rFonts w:ascii="宋体" w:hAnsi="宋体" w:hint="eastAsia"/>
                <w:szCs w:val="24"/>
                <w:lang w:eastAsia="zh-Hans"/>
              </w:rPr>
              <w:t>中国</w:t>
            </w:r>
            <w:r>
              <w:rPr>
                <w:rFonts w:ascii="宋体" w:hAnsi="宋体" w:hint="eastAsia"/>
                <w:szCs w:val="24"/>
                <w:lang w:eastAsia="zh-Hans"/>
              </w:rPr>
              <w:t>A</w:t>
            </w:r>
            <w:r>
              <w:rPr>
                <w:rFonts w:ascii="宋体" w:hAnsi="宋体" w:hint="eastAsia"/>
                <w:szCs w:val="24"/>
                <w:lang w:eastAsia="zh-Hans"/>
              </w:rPr>
              <w:t>股</w:t>
            </w:r>
            <w:r>
              <w:rPr>
                <w:rFonts w:ascii="宋体" w:hAnsi="宋体" w:hint="eastAsia"/>
                <w:szCs w:val="24"/>
                <w:lang w:eastAsia="zh-Hans"/>
              </w:rPr>
              <w:t>ETF</w:t>
            </w:r>
            <w:r>
              <w:rPr>
                <w:rFonts w:ascii="宋体" w:hAnsi="宋体" w:hint="eastAsia"/>
                <w:szCs w:val="24"/>
                <w:lang w:eastAsia="zh-Hans"/>
              </w:rPr>
              <w:t>联</w:t>
            </w:r>
            <w:r>
              <w:rPr>
                <w:rFonts w:ascii="宋体" w:hAnsi="宋体" w:hint="eastAsia"/>
                <w:szCs w:val="24"/>
                <w:lang w:eastAsia="zh-Hans"/>
              </w:rPr>
              <w:t>接</w:t>
            </w:r>
            <w:r>
              <w:rPr>
                <w:rFonts w:ascii="宋体" w:hAnsi="宋体" w:hint="eastAsia"/>
                <w:lang w:eastAsia="zh-Hans"/>
              </w:rPr>
              <w:t xml:space="preserve"> </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00894</w:t>
            </w:r>
            <w:r>
              <w:rPr>
                <w:rFonts w:ascii="宋体" w:hAnsi="宋体" w:hint="eastAsia"/>
                <w:lang w:eastAsia="zh-Hans"/>
              </w:rPr>
              <w:t>4</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bookmarkStart w:id="39" w:name="OLE_LINK1"/>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契约型开放</w:t>
            </w:r>
            <w:r>
              <w:rPr>
                <w:rFonts w:ascii="宋体" w:hAnsi="宋体" w:hint="eastAsia"/>
                <w:lang w:eastAsia="zh-Hans"/>
              </w:rPr>
              <w:t>式</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2020</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24,775,996.2</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通过对目标</w:t>
            </w:r>
            <w:r>
              <w:rPr>
                <w:rFonts w:ascii="宋体" w:hAnsi="宋体" w:hint="eastAsia"/>
                <w:lang w:eastAsia="zh-Hans"/>
              </w:rPr>
              <w:t>ETF</w:t>
            </w:r>
            <w:r>
              <w:rPr>
                <w:rFonts w:ascii="宋体" w:hAnsi="宋体" w:hint="eastAsia"/>
                <w:lang w:eastAsia="zh-Hans"/>
              </w:rPr>
              <w:t>基金份额的投资，追求跟踪标的指数，获得与指数收益相似的回报</w:t>
            </w:r>
            <w:r>
              <w:rPr>
                <w:rFonts w:ascii="宋体" w:hAnsi="宋体" w:hint="eastAsia"/>
                <w:lang w:eastAsia="zh-Hans"/>
              </w:rPr>
              <w:t>。</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本基金为摩根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股交易型开放式指数证券投资基金的联接基金，通过将基金资产主要投资于目标</w:t>
            </w:r>
            <w:r>
              <w:rPr>
                <w:rFonts w:ascii="宋体" w:hAnsi="宋体" w:hint="eastAsia"/>
                <w:lang w:eastAsia="zh-Hans"/>
              </w:rPr>
              <w:t>ETF</w:t>
            </w:r>
            <w:r>
              <w:rPr>
                <w:rFonts w:ascii="宋体" w:hAnsi="宋体" w:hint="eastAsia"/>
                <w:lang w:eastAsia="zh-Hans"/>
              </w:rPr>
              <w:t>基金份额，以实现对标的指数的跟踪。本基金力争日均跟踪偏离度的绝对值不超过</w:t>
            </w:r>
            <w:r>
              <w:rPr>
                <w:rFonts w:ascii="宋体" w:hAnsi="宋体" w:hint="eastAsia"/>
                <w:lang w:eastAsia="zh-Hans"/>
              </w:rPr>
              <w:t>0.35%</w:t>
            </w:r>
            <w:r>
              <w:rPr>
                <w:rFonts w:ascii="宋体" w:hAnsi="宋体" w:hint="eastAsia"/>
                <w:lang w:eastAsia="zh-Hans"/>
              </w:rPr>
              <w:t>，年跟踪误差不超过</w:t>
            </w:r>
            <w:r>
              <w:rPr>
                <w:rFonts w:ascii="宋体" w:hAnsi="宋体" w:hint="eastAsia"/>
                <w:lang w:eastAsia="zh-Hans"/>
              </w:rPr>
              <w:t>4%</w:t>
            </w:r>
            <w:r>
              <w:rPr>
                <w:rFonts w:ascii="宋体" w:hAnsi="宋体" w:hint="eastAsia"/>
                <w:lang w:eastAsia="zh-Hans"/>
              </w:rPr>
              <w:t>。如因标的指数编制规则调整或其他因素导致跟踪误差超过上述范围，基金管理人应采取合理措施避免跟踪误差进一步扩大。</w:t>
            </w:r>
            <w:r>
              <w:rPr>
                <w:rFonts w:ascii="宋体" w:hAnsi="宋体" w:hint="eastAsia"/>
                <w:lang w:eastAsia="zh-Hans"/>
              </w:rPr>
              <w:br/>
            </w:r>
            <w:r>
              <w:rPr>
                <w:rFonts w:ascii="宋体" w:hAnsi="宋体" w:hint="eastAsia"/>
                <w:lang w:eastAsia="zh-Hans"/>
              </w:rPr>
              <w:t>基金也可以通过买入标的指数成份股来跟踪标的指数。为了提高投资效率，基金还可以根据风险管理原则，少量投资于股指期货、股票期权和其他经中国证监会允许的衍生工具等。</w:t>
            </w:r>
            <w:r>
              <w:rPr>
                <w:rFonts w:ascii="宋体" w:hAnsi="宋体" w:hint="eastAsia"/>
                <w:lang w:eastAsia="zh-Hans"/>
              </w:rPr>
              <w:br/>
              <w:t>1</w:t>
            </w:r>
            <w:r>
              <w:rPr>
                <w:rFonts w:ascii="宋体" w:hAnsi="宋体" w:hint="eastAsia"/>
                <w:lang w:eastAsia="zh-Hans"/>
              </w:rPr>
              <w:t>、目标</w:t>
            </w:r>
            <w:r>
              <w:rPr>
                <w:rFonts w:ascii="宋体" w:hAnsi="宋体" w:hint="eastAsia"/>
                <w:lang w:eastAsia="zh-Hans"/>
              </w:rPr>
              <w:t>ETF</w:t>
            </w:r>
            <w:r>
              <w:rPr>
                <w:rFonts w:ascii="宋体" w:hAnsi="宋体" w:hint="eastAsia"/>
                <w:lang w:eastAsia="zh-Hans"/>
              </w:rPr>
              <w:t>投资策略</w:t>
            </w:r>
            <w:r>
              <w:rPr>
                <w:rFonts w:ascii="宋体" w:hAnsi="宋体" w:hint="eastAsia"/>
                <w:lang w:eastAsia="zh-Hans"/>
              </w:rPr>
              <w:br/>
            </w:r>
            <w:r>
              <w:rPr>
                <w:rFonts w:ascii="宋体" w:hAnsi="宋体" w:hint="eastAsia"/>
                <w:lang w:eastAsia="zh-Hans"/>
              </w:rPr>
              <w:t>为了实现追踪误差最小化，本基金投资于目标</w:t>
            </w:r>
            <w:r>
              <w:rPr>
                <w:rFonts w:ascii="宋体" w:hAnsi="宋体" w:hint="eastAsia"/>
                <w:lang w:eastAsia="zh-Hans"/>
              </w:rPr>
              <w:t>ETF</w:t>
            </w:r>
            <w:r>
              <w:rPr>
                <w:rFonts w:ascii="宋体" w:hAnsi="宋体" w:hint="eastAsia"/>
                <w:lang w:eastAsia="zh-Hans"/>
              </w:rPr>
              <w:t>基金份额的比例不低于基金资产净值的</w:t>
            </w:r>
            <w:r>
              <w:rPr>
                <w:rFonts w:ascii="宋体" w:hAnsi="宋体" w:hint="eastAsia"/>
                <w:lang w:eastAsia="zh-Hans"/>
              </w:rPr>
              <w:t>90%</w:t>
            </w:r>
            <w:r>
              <w:rPr>
                <w:rFonts w:ascii="宋体" w:hAnsi="宋体" w:hint="eastAsia"/>
                <w:lang w:eastAsia="zh-Hans"/>
              </w:rPr>
              <w:t>。本基金主要通过申购、赎回或二级市场买卖的方式投资于目标</w:t>
            </w:r>
            <w:r>
              <w:rPr>
                <w:rFonts w:ascii="宋体" w:hAnsi="宋体" w:hint="eastAsia"/>
                <w:lang w:eastAsia="zh-Hans"/>
              </w:rPr>
              <w:t>ETF</w:t>
            </w:r>
            <w:r>
              <w:rPr>
                <w:rFonts w:ascii="宋体" w:hAnsi="宋体" w:hint="eastAsia"/>
                <w:lang w:eastAsia="zh-Hans"/>
              </w:rPr>
              <w:t>。当目标</w:t>
            </w:r>
            <w:r>
              <w:rPr>
                <w:rFonts w:ascii="宋体" w:hAnsi="宋体" w:hint="eastAsia"/>
                <w:lang w:eastAsia="zh-Hans"/>
              </w:rPr>
              <w:t>ETF</w:t>
            </w:r>
            <w:r>
              <w:rPr>
                <w:rFonts w:ascii="宋体" w:hAnsi="宋体" w:hint="eastAsia"/>
                <w:lang w:eastAsia="zh-Hans"/>
              </w:rPr>
              <w:t>申购、赎回或交易模式进行了变更或调整，本基金也将作相应的变更或调整，无须召开基金份额持有人大会。本基金在综合考虑合规、风险、效率、成本等因素的基础上，决定采用申赎的方式或二级市场交易的方式进行目标</w:t>
            </w:r>
            <w:r>
              <w:rPr>
                <w:rFonts w:ascii="宋体" w:hAnsi="宋体" w:hint="eastAsia"/>
                <w:lang w:eastAsia="zh-Hans"/>
              </w:rPr>
              <w:t>ETF</w:t>
            </w:r>
            <w:r>
              <w:rPr>
                <w:rFonts w:ascii="宋体" w:hAnsi="宋体" w:hint="eastAsia"/>
                <w:lang w:eastAsia="zh-Hans"/>
              </w:rPr>
              <w:t>的买卖。本基金还可适度参与目标</w:t>
            </w:r>
            <w:r>
              <w:rPr>
                <w:rFonts w:ascii="宋体" w:hAnsi="宋体" w:hint="eastAsia"/>
                <w:lang w:eastAsia="zh-Hans"/>
              </w:rPr>
              <w:t>ETF</w:t>
            </w:r>
            <w:r>
              <w:rPr>
                <w:rFonts w:ascii="宋体" w:hAnsi="宋体" w:hint="eastAsia"/>
                <w:lang w:eastAsia="zh-Hans"/>
              </w:rPr>
              <w:t>基金份额交易和申购、赎回之间的套利，以增强基金收益。</w:t>
            </w:r>
            <w:r>
              <w:rPr>
                <w:rFonts w:ascii="宋体" w:hAnsi="宋体" w:hint="eastAsia"/>
                <w:lang w:eastAsia="zh-Hans"/>
              </w:rPr>
              <w:br/>
            </w:r>
            <w:r>
              <w:rPr>
                <w:rFonts w:ascii="宋体" w:hAnsi="宋体" w:hint="eastAsia"/>
                <w:lang w:eastAsia="zh-Hans"/>
              </w:rPr>
              <w:t>本基金可以基金资产特殊申购目标</w:t>
            </w:r>
            <w:r>
              <w:rPr>
                <w:rFonts w:ascii="宋体" w:hAnsi="宋体" w:hint="eastAsia"/>
                <w:lang w:eastAsia="zh-Hans"/>
              </w:rPr>
              <w:t>ETF</w:t>
            </w:r>
            <w:r>
              <w:rPr>
                <w:rFonts w:ascii="宋体" w:hAnsi="宋体" w:hint="eastAsia"/>
                <w:lang w:eastAsia="zh-Hans"/>
              </w:rPr>
              <w:t>份额，以进行基金建仓。</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为</w:t>
            </w:r>
            <w:r>
              <w:rPr>
                <w:rFonts w:ascii="宋体" w:hAnsi="宋体" w:hint="eastAsia"/>
                <w:lang w:eastAsia="zh-Hans"/>
              </w:rPr>
              <w:t>更好地跟踪标的指数，本基金也可以通过被动指数化的方法买入标的指数成份股，根据成份股在标的指数中的基准权重构建组合，对于因法规限制、流动性限制而无法交易的成份股，将采用与被限制股预期收益率相近的股票或股票组合进行相应的替代。</w:t>
            </w:r>
            <w:r>
              <w:rPr>
                <w:rFonts w:ascii="宋体" w:hAnsi="宋体" w:hint="eastAsia"/>
                <w:lang w:eastAsia="zh-Hans"/>
              </w:rPr>
              <w:br/>
              <w:t>3</w:t>
            </w:r>
            <w:r>
              <w:rPr>
                <w:rFonts w:ascii="宋体" w:hAnsi="宋体" w:hint="eastAsia"/>
                <w:lang w:eastAsia="zh-Hans"/>
              </w:rPr>
              <w:t>、金融衍生品投资策略</w:t>
            </w:r>
            <w:r>
              <w:rPr>
                <w:rFonts w:ascii="宋体" w:hAnsi="宋体" w:hint="eastAsia"/>
                <w:lang w:eastAsia="zh-Hans"/>
              </w:rPr>
              <w:br/>
            </w:r>
            <w:r>
              <w:rPr>
                <w:rFonts w:ascii="宋体" w:hAnsi="宋体" w:hint="eastAsia"/>
                <w:lang w:eastAsia="zh-Hans"/>
              </w:rPr>
              <w:t>本基金将根据风险管理的原则，主要选择流动性好、交易活跃的衍生品合约，力争利用金融衍生品提高投资效率，降低交易成本和跟踪误差。</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在保证基金资产流动性的基础上，使基金资产得到更加合理有效的利用，从而提高投资组合收益。</w:t>
            </w:r>
            <w:r>
              <w:rPr>
                <w:rFonts w:ascii="宋体" w:hAnsi="宋体" w:hint="eastAsia"/>
                <w:lang w:eastAsia="zh-Hans"/>
              </w:rPr>
              <w:br/>
              <w:t>5</w:t>
            </w:r>
            <w:r>
              <w:rPr>
                <w:rFonts w:ascii="宋体" w:hAnsi="宋体" w:hint="eastAsia"/>
                <w:lang w:eastAsia="zh-Hans"/>
              </w:rPr>
              <w:t>、资产支持证券投资策略</w:t>
            </w:r>
            <w:r>
              <w:rPr>
                <w:rFonts w:ascii="宋体" w:hAnsi="宋体" w:hint="eastAsia"/>
                <w:lang w:eastAsia="zh-Hans"/>
              </w:rPr>
              <w:br/>
            </w:r>
            <w:r>
              <w:rPr>
                <w:rFonts w:ascii="宋体" w:hAnsi="宋体" w:hint="eastAsia"/>
                <w:lang w:eastAsia="zh-Hans"/>
              </w:rPr>
              <w:t>综合考虑市场利率、发行条款、支持资产的构成及质量等因素，对资产支持证券的风险与收益状况进行评估，在严格控制风险的情况下，确定资产合理配置比例。</w:t>
            </w:r>
            <w:r>
              <w:rPr>
                <w:rFonts w:ascii="宋体" w:hAnsi="宋体" w:hint="eastAsia"/>
                <w:lang w:eastAsia="zh-Hans"/>
              </w:rPr>
              <w:br/>
              <w:t>6</w:t>
            </w:r>
            <w:r>
              <w:rPr>
                <w:rFonts w:ascii="宋体" w:hAnsi="宋体" w:hint="eastAsia"/>
                <w:lang w:eastAsia="zh-Hans"/>
              </w:rPr>
              <w:t>、融资及转融通证券出借策略</w:t>
            </w:r>
            <w:r>
              <w:rPr>
                <w:rFonts w:ascii="宋体" w:hAnsi="宋体" w:hint="eastAsia"/>
                <w:lang w:eastAsia="zh-Hans"/>
              </w:rPr>
              <w:br/>
            </w:r>
            <w:r>
              <w:rPr>
                <w:rFonts w:ascii="宋体" w:hAnsi="宋体" w:hint="eastAsia"/>
                <w:lang w:eastAsia="zh-Hans"/>
              </w:rPr>
              <w:t>本基金参与融资业务，将综合考虑融资成本、保证金比例、冲抵保证金证券折算率、信用资质等条件，选择合适的交易对手方。同时，在保障投资组合流动性以及控制融资杠杆风险的前提下，确定融资比例。转融通证券出借策略按照分散化投资原则，分批、分期进行交易。</w:t>
            </w:r>
            <w:r>
              <w:rPr>
                <w:rFonts w:ascii="宋体" w:hAnsi="宋体" w:hint="eastAsia"/>
                <w:lang w:eastAsia="zh-Hans"/>
              </w:rPr>
              <w:br/>
              <w:t>7</w:t>
            </w:r>
            <w:r>
              <w:rPr>
                <w:rFonts w:ascii="宋体" w:hAnsi="宋体" w:hint="eastAsia"/>
                <w:lang w:eastAsia="zh-Hans"/>
              </w:rPr>
              <w:t>、存托凭证投资策略</w:t>
            </w:r>
            <w:r>
              <w:rPr>
                <w:rFonts w:ascii="宋体" w:hAnsi="宋体" w:hint="eastAsia"/>
                <w:lang w:eastAsia="zh-Hans"/>
              </w:rPr>
              <w:br/>
            </w:r>
            <w:r>
              <w:rPr>
                <w:rFonts w:ascii="宋体" w:hAnsi="宋体" w:hint="eastAsia"/>
                <w:lang w:eastAsia="zh-Hans"/>
              </w:rPr>
              <w:t>本基金将根据本基金的投资目标和股票投资策略，基于对基础证券投资价值的深入研究判断</w:t>
            </w:r>
            <w:r>
              <w:rPr>
                <w:rFonts w:ascii="宋体" w:hAnsi="宋体" w:hint="eastAsia"/>
                <w:lang w:eastAsia="zh-Hans"/>
              </w:rPr>
              <w:t>，进行存托凭证的投资</w:t>
            </w:r>
            <w:r>
              <w:rPr>
                <w:rFonts w:ascii="宋体" w:hAnsi="宋体" w:hint="eastAsia"/>
                <w:lang w:eastAsia="zh-Hans"/>
              </w:rPr>
              <w:t>。</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股人民币指数收益率×</w:t>
            </w:r>
            <w:r>
              <w:rPr>
                <w:rFonts w:ascii="宋体" w:hAnsi="宋体" w:hint="eastAsia"/>
                <w:lang w:eastAsia="zh-Hans"/>
              </w:rPr>
              <w:t>95%</w:t>
            </w:r>
            <w:r>
              <w:rPr>
                <w:rFonts w:ascii="宋体" w:hAnsi="宋体" w:hint="eastAsia"/>
                <w:lang w:eastAsia="zh-Hans"/>
              </w:rPr>
              <w:t>＋活期存款利率（税后）×</w:t>
            </w:r>
            <w:r>
              <w:rPr>
                <w:rFonts w:ascii="宋体" w:hAnsi="宋体" w:hint="eastAsia"/>
                <w:lang w:eastAsia="zh-Hans"/>
              </w:rPr>
              <w:t>5%</w:t>
            </w:r>
            <w:r>
              <w:rPr>
                <w:rFonts w:ascii="宋体" w:hAnsi="宋体" w:hint="eastAsia"/>
                <w:lang w:eastAsia="zh-Hans"/>
              </w:rPr>
              <w:t>。</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本基金为</w:t>
            </w:r>
            <w:r>
              <w:rPr>
                <w:rFonts w:ascii="宋体" w:hAnsi="宋体" w:hint="eastAsia"/>
                <w:lang w:eastAsia="zh-Hans"/>
              </w:rPr>
              <w:t>ETF</w:t>
            </w:r>
            <w:r>
              <w:rPr>
                <w:rFonts w:ascii="宋体" w:hAnsi="宋体" w:hint="eastAsia"/>
                <w:lang w:eastAsia="zh-Hans"/>
              </w:rPr>
              <w:t>联接基金，具有与目标</w:t>
            </w:r>
            <w:r>
              <w:rPr>
                <w:rFonts w:ascii="宋体" w:hAnsi="宋体" w:hint="eastAsia"/>
                <w:lang w:eastAsia="zh-Hans"/>
              </w:rPr>
              <w:t>ETF</w:t>
            </w:r>
            <w:r>
              <w:rPr>
                <w:rFonts w:ascii="宋体" w:hAnsi="宋体" w:hint="eastAsia"/>
                <w:lang w:eastAsia="zh-Hans"/>
              </w:rPr>
              <w:t>相似的风险收益特征。目标</w:t>
            </w:r>
            <w:r>
              <w:rPr>
                <w:rFonts w:ascii="宋体" w:hAnsi="宋体" w:hint="eastAsia"/>
                <w:lang w:eastAsia="zh-Hans"/>
              </w:rPr>
              <w:t>ETF</w:t>
            </w:r>
            <w:r>
              <w:rPr>
                <w:rFonts w:ascii="宋体" w:hAnsi="宋体" w:hint="eastAsia"/>
                <w:lang w:eastAsia="zh-Hans"/>
              </w:rPr>
              <w:t>为股票型指数基金，因此本基金的预期风险和预期收益高于货币市场基金、债券型基金和混合型基金，且具有与标的指数以及标的指数所代表的股票市场相似的风险收益特征</w:t>
            </w:r>
            <w:r>
              <w:rPr>
                <w:rFonts w:ascii="宋体" w:hAnsi="宋体" w:hint="eastAsia"/>
                <w:lang w:eastAsia="zh-Hans"/>
              </w:rPr>
              <w:t>。</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53283518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lang w:eastAsia="zh-Hans"/>
              </w:rPr>
              <w:t>平安银行股份有限公</w:t>
            </w:r>
            <w:r>
              <w:rPr>
                <w:rFonts w:ascii="宋体" w:hAnsi="宋体" w:hint="eastAsia"/>
                <w:lang w:eastAsia="zh-Hans"/>
              </w:rPr>
              <w:t>司</w:t>
            </w:r>
          </w:p>
        </w:tc>
      </w:tr>
      <w:tr w:rsidR="00000000">
        <w:trPr>
          <w:divId w:val="153283518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bookmarkStart w:id="40"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C</w:t>
            </w:r>
            <w:r>
              <w:rPr>
                <w:rFonts w:ascii="宋体" w:hAnsi="宋体" w:hint="eastAsia"/>
                <w:kern w:val="0"/>
                <w:sz w:val="20"/>
                <w:lang w:eastAsia="zh-Hans"/>
              </w:rPr>
              <w:t xml:space="preserve"> </w:t>
            </w:r>
          </w:p>
        </w:tc>
      </w:tr>
      <w:tr w:rsidR="00000000">
        <w:trPr>
          <w:divId w:val="153283518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lang w:eastAsia="zh-Hans"/>
              </w:rPr>
              <w:t>00894</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lang w:eastAsia="zh-Hans"/>
              </w:rPr>
              <w:t>00894</w:t>
            </w:r>
            <w:r>
              <w:rPr>
                <w:rFonts w:ascii="宋体" w:hAnsi="宋体" w:hint="eastAsia"/>
                <w:lang w:eastAsia="zh-Hans"/>
              </w:rPr>
              <w:t>5</w:t>
            </w:r>
            <w:r>
              <w:rPr>
                <w:rFonts w:ascii="宋体" w:hAnsi="宋体" w:hint="eastAsia"/>
                <w:kern w:val="0"/>
                <w:sz w:val="20"/>
                <w:lang w:eastAsia="zh-Hans"/>
              </w:rPr>
              <w:t xml:space="preserve"> </w:t>
            </w:r>
          </w:p>
        </w:tc>
      </w:tr>
      <w:bookmarkEnd w:id="40"/>
      <w:tr w:rsidR="00000000">
        <w:trPr>
          <w:divId w:val="153283518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F7D2D" w:rsidRDefault="006F7D2D">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lang w:eastAsia="zh-Hans"/>
              </w:rPr>
              <w:t>9,868,606.3</w:t>
            </w:r>
            <w:r>
              <w:rPr>
                <w:rFonts w:ascii="宋体" w:hAnsi="宋体" w:hint="eastAsia"/>
                <w:lang w:eastAsia="zh-Hans"/>
              </w:rPr>
              <w:t>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lang w:eastAsia="zh-Hans"/>
              </w:rPr>
              <w:t>14,907,389.8</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6F7D2D" w:rsidRDefault="006F7D2D">
      <w:pPr>
        <w:pStyle w:val="XBRLTitle3"/>
        <w:numPr>
          <w:ilvl w:val="2"/>
          <w:numId w:val="2"/>
        </w:numPr>
        <w:spacing w:before="156"/>
        <w:ind w:left="0" w:firstLine="0"/>
      </w:pPr>
      <w:bookmarkStart w:id="41" w:name="_Toc17881666"/>
      <w:bookmarkStart w:id="42" w:name="_Toc492299863"/>
      <w:bookmarkStart w:id="43" w:name="_Toc466644447"/>
      <w:bookmarkStart w:id="44" w:name="_Toc475438078"/>
      <w:r>
        <w:rPr>
          <w:rFonts w:hAnsi="宋体" w:hint="eastAsia"/>
          <w:szCs w:val="24"/>
        </w:rPr>
        <w:t>目标基金基本情</w:t>
      </w:r>
      <w:r>
        <w:rPr>
          <w:rFonts w:hAnsi="宋体" w:hint="eastAsia"/>
          <w:szCs w:val="24"/>
        </w:rPr>
        <w:t>况</w:t>
      </w:r>
      <w:bookmarkEnd w:id="41"/>
      <w:bookmarkEnd w:id="42"/>
      <w:bookmarkEnd w:id="43"/>
      <w:bookmarkEnd w:id="44"/>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000000">
        <w:trPr>
          <w:divId w:val="253706066"/>
          <w:trHeight w:val="64"/>
        </w:trPr>
        <w:tc>
          <w:tcPr>
            <w:tcW w:w="1677" w:type="pct"/>
            <w:tcBorders>
              <w:top w:val="single" w:sz="4" w:space="0" w:color="000000"/>
              <w:left w:val="single" w:sz="4" w:space="0" w:color="000000"/>
              <w:bottom w:val="single" w:sz="4" w:space="0" w:color="000000"/>
              <w:right w:val="single" w:sz="4" w:space="0" w:color="000000"/>
            </w:tcBorders>
            <w:hideMark/>
          </w:tcPr>
          <w:p w:rsidR="006F7D2D" w:rsidRDefault="006F7D2D">
            <w:pPr>
              <w:widowControl/>
              <w:spacing w:line="315" w:lineRule="atLeast"/>
              <w:jc w:val="left"/>
              <w:rPr>
                <w:rFonts w:hint="eastAsia"/>
              </w:rPr>
            </w:pPr>
            <w:r>
              <w:rPr>
                <w:rFonts w:asciiTheme="minorEastAsia" w:eastAsiaTheme="minorEastAsia" w:hAnsiTheme="minorEastAsia" w:hint="eastAsia"/>
              </w:rPr>
              <w:t>基金名称</w:t>
            </w:r>
            <w:r>
              <w:rPr>
                <w:rFonts w:asciiTheme="minorEastAsia" w:eastAsiaTheme="minorEastAsia" w:hAnsiTheme="minorEastAsia" w:hint="eastAsia"/>
              </w:rPr>
              <w:t xml:space="preserve"> </w:t>
            </w:r>
          </w:p>
        </w:tc>
        <w:tc>
          <w:tcPr>
            <w:tcW w:w="3823" w:type="pct"/>
            <w:tcBorders>
              <w:top w:val="single" w:sz="4" w:space="0" w:color="000000"/>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摩根</w:t>
            </w:r>
            <w:r>
              <w:rPr>
                <w:rFonts w:asciiTheme="minorEastAsia" w:eastAsiaTheme="minorEastAsia" w:hAnsiTheme="minorEastAsia" w:hint="eastAsia"/>
              </w:rPr>
              <w:t>MSCI</w:t>
            </w:r>
            <w:r>
              <w:rPr>
                <w:rFonts w:asciiTheme="minorEastAsia" w:eastAsiaTheme="minorEastAsia" w:hAnsiTheme="minorEastAsia" w:hint="eastAsia"/>
              </w:rPr>
              <w:t>中国</w:t>
            </w:r>
            <w:r>
              <w:rPr>
                <w:rFonts w:asciiTheme="minorEastAsia" w:eastAsiaTheme="minorEastAsia" w:hAnsiTheme="minorEastAsia" w:hint="eastAsia"/>
              </w:rPr>
              <w:t>A</w:t>
            </w:r>
            <w:r>
              <w:rPr>
                <w:rFonts w:asciiTheme="minorEastAsia" w:eastAsiaTheme="minorEastAsia" w:hAnsiTheme="minorEastAsia" w:hint="eastAsia"/>
              </w:rPr>
              <w:t>股交易型开放式指数证券投资基</w:t>
            </w:r>
            <w:r>
              <w:rPr>
                <w:rFonts w:asciiTheme="minorEastAsia" w:eastAsiaTheme="minorEastAsia" w:hAnsiTheme="minorEastAsia" w:hint="eastAsia"/>
              </w:rPr>
              <w:t>金</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51577</w:t>
            </w:r>
            <w:r>
              <w:rPr>
                <w:rFonts w:asciiTheme="minorEastAsia" w:eastAsiaTheme="minorEastAsia" w:hAnsiTheme="minorEastAsia" w:hint="eastAsia"/>
              </w:rPr>
              <w:t>0</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2020</w:t>
            </w:r>
            <w:r>
              <w:rPr>
                <w:rFonts w:asciiTheme="minorEastAsia" w:eastAsiaTheme="minorEastAsia" w:hAnsiTheme="minorEastAsia" w:hint="eastAsia"/>
              </w:rPr>
              <w:t>年</w:t>
            </w:r>
            <w:r>
              <w:rPr>
                <w:rFonts w:asciiTheme="minorEastAsia" w:eastAsiaTheme="minorEastAsia" w:hAnsiTheme="minorEastAsia" w:hint="eastAsia"/>
              </w:rPr>
              <w:t>5</w:t>
            </w:r>
            <w:r>
              <w:rPr>
                <w:rFonts w:asciiTheme="minorEastAsia" w:eastAsiaTheme="minorEastAsia" w:hAnsiTheme="minorEastAsia" w:hint="eastAsia"/>
              </w:rPr>
              <w:t>月</w:t>
            </w:r>
            <w:r>
              <w:rPr>
                <w:rFonts w:asciiTheme="minorEastAsia" w:eastAsiaTheme="minorEastAsia" w:hAnsiTheme="minorEastAsia" w:hint="eastAsia"/>
              </w:rPr>
              <w:t>13</w:t>
            </w:r>
            <w:r>
              <w:rPr>
                <w:rFonts w:asciiTheme="minorEastAsia" w:eastAsiaTheme="minorEastAsia" w:hAnsiTheme="minorEastAsia" w:hint="eastAsia"/>
              </w:rPr>
              <w:t>日</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基金份额上市的证券交易所</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上海证券交易</w:t>
            </w:r>
            <w:r>
              <w:rPr>
                <w:rFonts w:asciiTheme="minorEastAsia" w:eastAsiaTheme="minorEastAsia" w:hAnsiTheme="minorEastAsia" w:hint="eastAsia"/>
              </w:rPr>
              <w:t>所</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上市日期</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2020</w:t>
            </w:r>
            <w:r>
              <w:rPr>
                <w:rFonts w:asciiTheme="minorEastAsia" w:eastAsiaTheme="minorEastAsia" w:hAnsiTheme="minorEastAsia" w:hint="eastAsia"/>
              </w:rPr>
              <w:t>年</w:t>
            </w:r>
            <w:r>
              <w:rPr>
                <w:rFonts w:asciiTheme="minorEastAsia" w:eastAsiaTheme="minorEastAsia" w:hAnsiTheme="minorEastAsia" w:hint="eastAsia"/>
              </w:rPr>
              <w:t>6</w:t>
            </w:r>
            <w:r>
              <w:rPr>
                <w:rFonts w:asciiTheme="minorEastAsia" w:eastAsiaTheme="minorEastAsia" w:hAnsiTheme="minorEastAsia" w:hint="eastAsia"/>
              </w:rPr>
              <w:t>月</w:t>
            </w:r>
            <w:r>
              <w:rPr>
                <w:rFonts w:asciiTheme="minorEastAsia" w:eastAsiaTheme="minorEastAsia" w:hAnsiTheme="minorEastAsia" w:hint="eastAsia"/>
              </w:rPr>
              <w:t>19</w:t>
            </w:r>
            <w:r>
              <w:rPr>
                <w:rFonts w:asciiTheme="minorEastAsia" w:eastAsiaTheme="minorEastAsia" w:hAnsiTheme="minorEastAsia" w:hint="eastAsia"/>
              </w:rPr>
              <w:t>日</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基金管理人名称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253706066"/>
        </w:trPr>
        <w:tc>
          <w:tcPr>
            <w:tcW w:w="1677"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基金托管人名称</w:t>
            </w:r>
            <w:r>
              <w:rPr>
                <w:rFonts w:asciiTheme="minorEastAsia" w:eastAsiaTheme="minorEastAsia" w:hAnsiTheme="minorEastAsia" w:hint="eastAsia"/>
              </w:rPr>
              <w:t xml:space="preserve"> </w:t>
            </w:r>
          </w:p>
        </w:tc>
        <w:tc>
          <w:tcPr>
            <w:tcW w:w="3323"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平安银行股份有限公</w:t>
            </w:r>
            <w:r>
              <w:rPr>
                <w:rFonts w:asciiTheme="minorEastAsia" w:eastAsiaTheme="minorEastAsia" w:hAnsiTheme="minorEastAsia" w:hint="eastAsia"/>
              </w:rPr>
              <w:t>司</w:t>
            </w:r>
          </w:p>
        </w:tc>
      </w:tr>
    </w:tbl>
    <w:p w:rsidR="006F7D2D" w:rsidRDefault="006F7D2D">
      <w:pPr>
        <w:pStyle w:val="XBRLTitle3"/>
        <w:numPr>
          <w:ilvl w:val="2"/>
          <w:numId w:val="2"/>
        </w:numPr>
        <w:spacing w:before="156"/>
        <w:ind w:left="0" w:firstLine="0"/>
      </w:pPr>
      <w:bookmarkStart w:id="45" w:name="_Toc17881667"/>
      <w:bookmarkStart w:id="46" w:name="_Toc492299864"/>
      <w:bookmarkStart w:id="47" w:name="_Toc466644448"/>
      <w:bookmarkStart w:id="48" w:name="_Toc475438079"/>
      <w:r>
        <w:rPr>
          <w:rFonts w:hAnsi="宋体" w:hint="eastAsia"/>
          <w:szCs w:val="24"/>
        </w:rPr>
        <w:t>目标基金</w:t>
      </w:r>
      <w:r>
        <w:rPr>
          <w:rFonts w:hint="eastAsia"/>
          <w:lang w:eastAsia="zh-CN"/>
        </w:rPr>
        <w:t>产品说</w:t>
      </w:r>
      <w:r>
        <w:rPr>
          <w:rFonts w:hint="eastAsia"/>
          <w:lang w:eastAsia="zh-CN"/>
        </w:rPr>
        <w:t>明</w:t>
      </w:r>
      <w:bookmarkEnd w:id="45"/>
      <w:bookmarkEnd w:id="46"/>
      <w:bookmarkEnd w:id="47"/>
      <w:bookmarkEnd w:id="48"/>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000000">
        <w:trPr>
          <w:divId w:val="2012441890"/>
          <w:trHeight w:val="64"/>
        </w:trPr>
        <w:tc>
          <w:tcPr>
            <w:tcW w:w="1294" w:type="pct"/>
            <w:tcBorders>
              <w:top w:val="single" w:sz="4" w:space="0" w:color="000000"/>
              <w:left w:val="single" w:sz="4" w:space="0" w:color="000000"/>
              <w:bottom w:val="single" w:sz="4" w:space="0" w:color="000000"/>
              <w:right w:val="single" w:sz="4" w:space="0" w:color="000000"/>
            </w:tcBorders>
            <w:hideMark/>
          </w:tcPr>
          <w:p w:rsidR="006F7D2D" w:rsidRDefault="006F7D2D">
            <w:pPr>
              <w:widowControl/>
              <w:spacing w:line="315" w:lineRule="atLeast"/>
              <w:jc w:val="left"/>
              <w:rPr>
                <w:rFonts w:hint="eastAsia"/>
              </w:rPr>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706" w:type="pct"/>
            <w:tcBorders>
              <w:top w:val="single" w:sz="4" w:space="0" w:color="000000"/>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本基金进行被动式指数化投资，紧密跟踪标的指数，追求跟踪偏离度和跟踪误差最小化</w:t>
            </w:r>
            <w:r>
              <w:rPr>
                <w:rFonts w:asciiTheme="minorEastAsia" w:eastAsiaTheme="minorEastAsia" w:hAnsiTheme="minorEastAsia" w:hint="eastAsia"/>
              </w:rPr>
              <w:t>。</w:t>
            </w:r>
          </w:p>
        </w:tc>
      </w:tr>
      <w:tr w:rsidR="00000000">
        <w:trPr>
          <w:divId w:val="2012441890"/>
        </w:trPr>
        <w:tc>
          <w:tcPr>
            <w:tcW w:w="1294"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本基金采用完全复制法，按照标的指数成份股构成及其权重构建股票资产组合，并根据标的指数成份股及其权重的变化对股票组合进行动态调整。但因特殊情况导致基金无法有效跟踪标的指数时，本基金将运用其他方法建立实际组合，力求实现基金相对业绩比较基准的跟踪误差最小化。</w:t>
            </w:r>
            <w:r>
              <w:rPr>
                <w:rFonts w:asciiTheme="minorEastAsia" w:eastAsiaTheme="minorEastAsia" w:hAnsiTheme="minorEastAsia" w:hint="eastAsia"/>
              </w:rPr>
              <w:b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为了实现追踪误差最小化，本基金投资于标的指数的成份股及其备选成份股的比例不低于基金资产净值的</w:t>
            </w:r>
            <w:r>
              <w:rPr>
                <w:rFonts w:asciiTheme="minorEastAsia" w:eastAsiaTheme="minorEastAsia" w:hAnsiTheme="minorEastAsia" w:hint="eastAsia"/>
              </w:rPr>
              <w:t>90%</w:t>
            </w:r>
            <w:r>
              <w:rPr>
                <w:rFonts w:asciiTheme="minorEastAsia" w:eastAsiaTheme="minorEastAsia" w:hAnsiTheme="minorEastAsia" w:hint="eastAsia"/>
              </w:rPr>
              <w:t>，且不低于非现金基金资产</w:t>
            </w:r>
            <w:r>
              <w:rPr>
                <w:rFonts w:asciiTheme="minorEastAsia" w:eastAsiaTheme="minorEastAsia" w:hAnsiTheme="minorEastAsia" w:hint="eastAsia"/>
              </w:rPr>
              <w:t>80%</w:t>
            </w:r>
            <w:r>
              <w:rPr>
                <w:rFonts w:asciiTheme="minorEastAsia" w:eastAsiaTheme="minorEastAsia" w:hAnsiTheme="minorEastAsia" w:hint="eastAsia"/>
              </w:rPr>
              <w:t>。</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）投资组合构建</w:t>
            </w:r>
            <w:r>
              <w:rPr>
                <w:rFonts w:asciiTheme="minorEastAsia" w:eastAsiaTheme="minorEastAsia" w:hAnsiTheme="minorEastAsia" w:hint="eastAsia"/>
              </w:rPr>
              <w:br/>
            </w:r>
            <w:r>
              <w:rPr>
                <w:rFonts w:asciiTheme="minorEastAsia" w:eastAsiaTheme="minorEastAsia" w:hAnsiTheme="minorEastAsia" w:hint="eastAsia"/>
              </w:rPr>
              <w:t>本基金采用完全复制法构建股票资产组合，对于因法规限制、流动性限制而无法交易的成份股，将采用与被限制股预期收益率相近的股票或股票组合进行相应的替代。本基金根据成份股构成及其权重的变动进行动态调整。</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）投资组合调整</w:t>
            </w:r>
            <w:r>
              <w:rPr>
                <w:rFonts w:asciiTheme="minorEastAsia" w:eastAsiaTheme="minorEastAsia" w:hAnsiTheme="minorEastAsia" w:hint="eastAsia"/>
              </w:rPr>
              <w:b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本基金所构建的投资组合将定期根据标的指数成份股的调整进行相应的跟踪调整。若成份股的集中调整短期内会对跟踪误差产生较大影响，将采用逐步调整的方式。</w:t>
            </w:r>
            <w:r>
              <w:rPr>
                <w:rFonts w:asciiTheme="minorEastAsia" w:eastAsiaTheme="minorEastAsia" w:hAnsiTheme="minorEastAsia" w:hint="eastAsia"/>
              </w:rPr>
              <w:br/>
              <w:t>2</w:t>
            </w:r>
            <w:r>
              <w:rPr>
                <w:rFonts w:asciiTheme="minorEastAsia" w:eastAsiaTheme="minorEastAsia" w:hAnsiTheme="minorEastAsia" w:hint="eastAsia"/>
              </w:rPr>
              <w:t>）不定期调整</w:t>
            </w:r>
            <w:r>
              <w:rPr>
                <w:rFonts w:asciiTheme="minorEastAsia" w:eastAsiaTheme="minorEastAsia" w:hAnsiTheme="minorEastAsia" w:hint="eastAsia"/>
              </w:rPr>
              <w:br/>
            </w:r>
            <w:r>
              <w:rPr>
                <w:rFonts w:asciiTheme="minorEastAsia" w:eastAsiaTheme="minorEastAsia" w:hAnsiTheme="minorEastAsia" w:hint="eastAsia"/>
              </w:rPr>
              <w:t>①根据指数编制规则，当标的指数成份股因增发、送配等股权变动而需进行成份股权重调整时，本基金将根据标的指数权重比例的变化，进行相应调整。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t>②当标的指数成份股因停牌、流动性不足等因素导致基金无法按照指数权重进行配置，基金管理人将选择相关股票进行适当的替代。</w:t>
            </w:r>
            <w:r>
              <w:rPr>
                <w:rFonts w:asciiTheme="minorEastAsia" w:eastAsiaTheme="minorEastAsia" w:hAnsiTheme="minorEastAsia" w:hint="eastAsia"/>
              </w:rPr>
              <w:br/>
            </w:r>
            <w:r>
              <w:rPr>
                <w:rFonts w:asciiTheme="minorEastAsia" w:eastAsiaTheme="minorEastAsia" w:hAnsiTheme="minorEastAsia" w:hint="eastAsia"/>
              </w:rPr>
              <w:t>③本基金将根据申购和赎回情况对股票投资组合进行调整，保证基金正常运行。</w:t>
            </w:r>
            <w:r>
              <w:rPr>
                <w:rFonts w:asciiTheme="minorEastAsia" w:eastAsiaTheme="minorEastAsia" w:hAnsiTheme="minorEastAsia" w:hint="eastAsia"/>
              </w:rPr>
              <w:br/>
            </w:r>
            <w:r>
              <w:rPr>
                <w:rFonts w:asciiTheme="minorEastAsia" w:eastAsiaTheme="minorEastAsia" w:hAnsiTheme="minorEastAsia" w:hint="eastAsia"/>
              </w:rPr>
              <w:t>本基金力争日均跟踪偏离度的绝对值不超过</w:t>
            </w:r>
            <w:r>
              <w:rPr>
                <w:rFonts w:asciiTheme="minorEastAsia" w:eastAsiaTheme="minorEastAsia" w:hAnsiTheme="minorEastAsia" w:hint="eastAsia"/>
              </w:rPr>
              <w:t>0.2%</w:t>
            </w:r>
            <w:r>
              <w:rPr>
                <w:rFonts w:asciiTheme="minorEastAsia" w:eastAsiaTheme="minorEastAsia" w:hAnsiTheme="minorEastAsia" w:hint="eastAsia"/>
              </w:rPr>
              <w:t>，年跟踪误差不超过</w:t>
            </w:r>
            <w:r>
              <w:rPr>
                <w:rFonts w:asciiTheme="minorEastAsia" w:eastAsiaTheme="minorEastAsia" w:hAnsiTheme="minorEastAsia" w:hint="eastAsia"/>
              </w:rPr>
              <w:t>2%</w:t>
            </w:r>
            <w:r>
              <w:rPr>
                <w:rFonts w:asciiTheme="minorEastAsia" w:eastAsiaTheme="minorEastAsia" w:hAnsiTheme="minorEastAsia" w:hint="eastAsia"/>
              </w:rPr>
              <w:t>。如因标的指数编制规则调整等其他原因，导致基金跟</w:t>
            </w:r>
            <w:r>
              <w:rPr>
                <w:rFonts w:asciiTheme="minorEastAsia" w:eastAsiaTheme="minorEastAsia" w:hAnsiTheme="minorEastAsia" w:hint="eastAsia"/>
              </w:rPr>
              <w:t>踪偏离度和跟踪误差超过上述范围，基金管理人应采取合理措施，避免跟踪偏离度和跟踪误差的进一步扩大。</w:t>
            </w:r>
            <w:r>
              <w:rPr>
                <w:rFonts w:asciiTheme="minorEastAsia" w:eastAsiaTheme="minorEastAsia" w:hAnsiTheme="minorEastAsia" w:hint="eastAsia"/>
              </w:rPr>
              <w:br/>
              <w:t>3</w:t>
            </w:r>
            <w:r>
              <w:rPr>
                <w:rFonts w:asciiTheme="minorEastAsia" w:eastAsiaTheme="minorEastAsia" w:hAnsiTheme="minorEastAsia" w:hint="eastAsia"/>
              </w:rPr>
              <w:t>、金融衍生品投资策略</w:t>
            </w:r>
            <w:r>
              <w:rPr>
                <w:rFonts w:asciiTheme="minorEastAsia" w:eastAsiaTheme="minorEastAsia" w:hAnsiTheme="minorEastAsia" w:hint="eastAsia"/>
              </w:rPr>
              <w:br/>
            </w:r>
            <w:r>
              <w:rPr>
                <w:rFonts w:asciiTheme="minorEastAsia" w:eastAsiaTheme="minorEastAsia" w:hAnsiTheme="minorEastAsia" w:hint="eastAsia"/>
              </w:rPr>
              <w:t>本基金将根据风险管理的原则，主要选择流动性好、交易活跃的衍生品合约，力争利用金融衍生品提高投资效率，降低交易成本和跟踪误差。</w:t>
            </w:r>
            <w:r>
              <w:rPr>
                <w:rFonts w:asciiTheme="minorEastAsia" w:eastAsiaTheme="minorEastAsia" w:hAnsiTheme="minorEastAsia" w:hint="eastAsia"/>
              </w:rPr>
              <w:br/>
              <w:t>4</w:t>
            </w:r>
            <w:r>
              <w:rPr>
                <w:rFonts w:asciiTheme="minorEastAsia" w:eastAsiaTheme="minorEastAsia" w:hAnsiTheme="minorEastAsia" w:hint="eastAsia"/>
              </w:rPr>
              <w:t>、债券投资策略</w:t>
            </w:r>
            <w:r>
              <w:rPr>
                <w:rFonts w:asciiTheme="minorEastAsia" w:eastAsiaTheme="minorEastAsia" w:hAnsiTheme="minorEastAsia" w:hint="eastAsia"/>
              </w:rPr>
              <w:br/>
            </w:r>
            <w:r>
              <w:rPr>
                <w:rFonts w:asciiTheme="minorEastAsia" w:eastAsiaTheme="minorEastAsia" w:hAnsiTheme="minorEastAsia" w:hint="eastAsia"/>
              </w:rPr>
              <w:t>在保证基金资产流动性的基础上，使基金资产得到更加合理有效的利用，从而提高投资组合收益。</w:t>
            </w:r>
            <w:r>
              <w:rPr>
                <w:rFonts w:asciiTheme="minorEastAsia" w:eastAsiaTheme="minorEastAsia" w:hAnsiTheme="minorEastAsia" w:hint="eastAsia"/>
              </w:rPr>
              <w:br/>
              <w:t>5</w:t>
            </w:r>
            <w:r>
              <w:rPr>
                <w:rFonts w:asciiTheme="minorEastAsia" w:eastAsiaTheme="minorEastAsia" w:hAnsiTheme="minorEastAsia" w:hint="eastAsia"/>
              </w:rPr>
              <w:t>、资产支持证券投资策略：综合考虑市场利率、发行条款、支持资产的构成及质量等因素，在严格控制风险的情况下，确定资产合理配置比例。</w:t>
            </w:r>
            <w:r>
              <w:rPr>
                <w:rFonts w:asciiTheme="minorEastAsia" w:eastAsiaTheme="minorEastAsia" w:hAnsiTheme="minorEastAsia" w:hint="eastAsia"/>
              </w:rPr>
              <w:br/>
              <w:t>6</w:t>
            </w:r>
            <w:r>
              <w:rPr>
                <w:rFonts w:asciiTheme="minorEastAsia" w:eastAsiaTheme="minorEastAsia" w:hAnsiTheme="minorEastAsia" w:hint="eastAsia"/>
              </w:rPr>
              <w:t>、融资及转融通证券出借策略</w:t>
            </w:r>
            <w:r>
              <w:rPr>
                <w:rFonts w:asciiTheme="minorEastAsia" w:eastAsiaTheme="minorEastAsia" w:hAnsiTheme="minorEastAsia" w:hint="eastAsia"/>
              </w:rPr>
              <w:br/>
            </w:r>
            <w:r>
              <w:rPr>
                <w:rFonts w:asciiTheme="minorEastAsia" w:eastAsiaTheme="minorEastAsia" w:hAnsiTheme="minorEastAsia" w:hint="eastAsia"/>
              </w:rPr>
              <w:t>本基金参与融资业务，将综合考虑融资成本、保证金比例、冲抵保证金证券折算率、信用资质等条件，选择合适的交易对手方。同时，在保障投资组合流动性以及控制融资杠杆风险的前提下，确定融资比例。转融通证券出借策略按照分散化投资原则，分批、分期进行交易。</w:t>
            </w:r>
            <w:r>
              <w:rPr>
                <w:rFonts w:asciiTheme="minorEastAsia" w:eastAsiaTheme="minorEastAsia" w:hAnsiTheme="minorEastAsia" w:hint="eastAsia"/>
              </w:rPr>
              <w:br/>
              <w:t>7</w:t>
            </w:r>
            <w:r>
              <w:rPr>
                <w:rFonts w:asciiTheme="minorEastAsia" w:eastAsiaTheme="minorEastAsia" w:hAnsiTheme="minorEastAsia" w:hint="eastAsia"/>
              </w:rPr>
              <w:t>、存托凭证投资策略</w:t>
            </w:r>
            <w:r>
              <w:rPr>
                <w:rFonts w:asciiTheme="minorEastAsia" w:eastAsiaTheme="minorEastAsia" w:hAnsiTheme="minorEastAsia" w:hint="eastAsia"/>
              </w:rPr>
              <w:br/>
            </w:r>
            <w:r>
              <w:rPr>
                <w:rFonts w:asciiTheme="minorEastAsia" w:eastAsiaTheme="minorEastAsia" w:hAnsiTheme="minorEastAsia" w:hint="eastAsia"/>
              </w:rPr>
              <w:t>本基金将根据本基金的投资目标和股票投资策略，基于对基础证券投资价值的深入研究判断，进行存托凭证的投资</w:t>
            </w:r>
            <w:r>
              <w:rPr>
                <w:rFonts w:asciiTheme="minorEastAsia" w:eastAsiaTheme="minorEastAsia" w:hAnsiTheme="minorEastAsia" w:hint="eastAsia"/>
              </w:rPr>
              <w:t>。</w:t>
            </w:r>
          </w:p>
        </w:tc>
      </w:tr>
      <w:tr w:rsidR="00000000">
        <w:trPr>
          <w:divId w:val="2012441890"/>
        </w:trPr>
        <w:tc>
          <w:tcPr>
            <w:tcW w:w="1294"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本基金的业绩比较基准为标的指数，即</w:t>
            </w:r>
            <w:r>
              <w:rPr>
                <w:rFonts w:asciiTheme="minorEastAsia" w:eastAsiaTheme="minorEastAsia" w:hAnsiTheme="minorEastAsia" w:hint="eastAsia"/>
              </w:rPr>
              <w:t>MSCI</w:t>
            </w:r>
            <w:r>
              <w:rPr>
                <w:rFonts w:asciiTheme="minorEastAsia" w:eastAsiaTheme="minorEastAsia" w:hAnsiTheme="minorEastAsia" w:hint="eastAsia"/>
              </w:rPr>
              <w:t>中国</w:t>
            </w:r>
            <w:r>
              <w:rPr>
                <w:rFonts w:asciiTheme="minorEastAsia" w:eastAsiaTheme="minorEastAsia" w:hAnsiTheme="minorEastAsia" w:hint="eastAsia"/>
              </w:rPr>
              <w:t>A</w:t>
            </w:r>
            <w:r>
              <w:rPr>
                <w:rFonts w:asciiTheme="minorEastAsia" w:eastAsiaTheme="minorEastAsia" w:hAnsiTheme="minorEastAsia" w:hint="eastAsia"/>
              </w:rPr>
              <w:t>股人民币指数收益率</w:t>
            </w:r>
            <w:r>
              <w:rPr>
                <w:rFonts w:asciiTheme="minorEastAsia" w:eastAsiaTheme="minorEastAsia" w:hAnsiTheme="minorEastAsia" w:hint="eastAsia"/>
              </w:rPr>
              <w:t>。</w:t>
            </w:r>
          </w:p>
        </w:tc>
      </w:tr>
      <w:tr w:rsidR="00000000">
        <w:trPr>
          <w:divId w:val="2012441890"/>
        </w:trPr>
        <w:tc>
          <w:tcPr>
            <w:tcW w:w="1294" w:type="pct"/>
            <w:tcBorders>
              <w:top w:val="nil"/>
              <w:left w:val="single" w:sz="4" w:space="0" w:color="000000"/>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706" w:type="pct"/>
            <w:tcBorders>
              <w:top w:val="nil"/>
              <w:left w:val="nil"/>
              <w:bottom w:val="single" w:sz="4" w:space="0" w:color="000000"/>
              <w:right w:val="single" w:sz="4" w:space="0" w:color="000000"/>
            </w:tcBorders>
            <w:hideMark/>
          </w:tcPr>
          <w:p w:rsidR="006F7D2D" w:rsidRDefault="006F7D2D">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本基金为股票型指数基金，其预期风险和预期收益高于货币市场基金、债券型基金和混合型基金。本基金主要投资于标的指数成份股及备选成份股，具有与标的指数相似的风险收益特征</w:t>
            </w:r>
            <w:r>
              <w:rPr>
                <w:rFonts w:asciiTheme="minorEastAsia" w:eastAsiaTheme="minorEastAsia" w:hAnsiTheme="minorEastAsia" w:hint="eastAsia"/>
              </w:rPr>
              <w:t>。</w:t>
            </w:r>
          </w:p>
        </w:tc>
      </w:tr>
    </w:tbl>
    <w:p w:rsidR="006F7D2D" w:rsidRDefault="006F7D2D">
      <w:pPr>
        <w:pStyle w:val="XBRLTitle1"/>
        <w:spacing w:before="156"/>
        <w:ind w:left="425"/>
      </w:pPr>
      <w:bookmarkStart w:id="49" w:name="_Toc17881668"/>
      <w:bookmarkStart w:id="50" w:name="_Toc492299865"/>
      <w:bookmarkStart w:id="51" w:name="_Toc466644449"/>
      <w:bookmarkStart w:id="52" w:name="_Toc447872911"/>
      <w:bookmarkStart w:id="53" w:name="_Toc438646455"/>
      <w:bookmarkStart w:id="54" w:name="_Toc512627217"/>
      <w:bookmarkStart w:id="55" w:name="_Toc512694297"/>
      <w:bookmarkEnd w:id="39"/>
      <w:r>
        <w:rPr>
          <w:rFonts w:hAnsi="宋体" w:hint="eastAsia"/>
        </w:rPr>
        <w:t>主要财务指标和基金净值表</w:t>
      </w:r>
      <w:r>
        <w:rPr>
          <w:rFonts w:hAnsi="宋体" w:hint="eastAsia"/>
        </w:rPr>
        <w:t>现</w:t>
      </w:r>
      <w:bookmarkEnd w:id="49"/>
      <w:bookmarkEnd w:id="50"/>
      <w:bookmarkEnd w:id="51"/>
      <w:bookmarkEnd w:id="52"/>
      <w:bookmarkEnd w:id="53"/>
      <w:bookmarkEnd w:id="54"/>
      <w:bookmarkEnd w:id="55"/>
      <w:r>
        <w:rPr>
          <w:rFonts w:hAnsi="宋体" w:hint="eastAsia"/>
        </w:rPr>
        <w:t xml:space="preserve"> </w:t>
      </w:r>
    </w:p>
    <w:p w:rsidR="006F7D2D" w:rsidRDefault="006F7D2D">
      <w:pPr>
        <w:pStyle w:val="XBRLTitle2"/>
        <w:spacing w:before="156"/>
        <w:ind w:left="454"/>
        <w:rPr>
          <w:rFonts w:hint="eastAsia"/>
        </w:rPr>
      </w:pPr>
      <w:bookmarkStart w:id="56" w:name="_Toc17881669"/>
      <w:r>
        <w:rPr>
          <w:rFonts w:hAnsi="宋体" w:hint="eastAsia"/>
        </w:rPr>
        <w:t>主要财务指</w:t>
      </w:r>
      <w:r>
        <w:rPr>
          <w:rFonts w:hAnsi="宋体" w:hint="eastAsia"/>
        </w:rPr>
        <w:t>标</w:t>
      </w:r>
      <w:bookmarkEnd w:id="31"/>
      <w:bookmarkEnd w:id="32"/>
      <w:bookmarkEnd w:id="33"/>
      <w:bookmarkEnd w:id="34"/>
      <w:bookmarkEnd w:id="35"/>
      <w:bookmarkEnd w:id="36"/>
      <w:bookmarkEnd w:id="56"/>
    </w:p>
    <w:p w:rsidR="006F7D2D" w:rsidRDefault="006F7D2D">
      <w:pPr>
        <w:jc w:val="right"/>
        <w:divId w:val="183949611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7"/>
        <w:gridCol w:w="2964"/>
        <w:gridCol w:w="2964"/>
      </w:tblGrid>
      <w:tr w:rsidR="00000000">
        <w:trPr>
          <w:divId w:val="183949611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F7D2D" w:rsidRDefault="006F7D2D">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F7D2D" w:rsidRDefault="006F7D2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3949611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F7D2D" w:rsidRDefault="006F7D2D">
            <w:pPr>
              <w:jc w:val="center"/>
              <w:rPr>
                <w:rFonts w:hint="eastAsia"/>
              </w:rPr>
            </w:pPr>
            <w:r>
              <w:rPr>
                <w:rFonts w:ascii="宋体" w:hAnsi="宋体" w:hint="eastAsia"/>
                <w:szCs w:val="24"/>
                <w:lang w:eastAsia="zh-Hans"/>
              </w:rPr>
              <w:t>摩根</w:t>
            </w:r>
            <w:r>
              <w:rPr>
                <w:rFonts w:ascii="宋体" w:hAnsi="宋体" w:hint="eastAsia"/>
                <w:szCs w:val="24"/>
                <w:lang w:eastAsia="zh-Hans"/>
              </w:rPr>
              <w:t>MSCI</w:t>
            </w:r>
            <w:r>
              <w:rPr>
                <w:rFonts w:ascii="宋体" w:hAnsi="宋体" w:hint="eastAsia"/>
                <w:szCs w:val="24"/>
                <w:lang w:eastAsia="zh-Hans"/>
              </w:rPr>
              <w:t>中国</w:t>
            </w:r>
            <w:r>
              <w:rPr>
                <w:rFonts w:ascii="宋体" w:hAnsi="宋体" w:hint="eastAsia"/>
                <w:szCs w:val="24"/>
                <w:lang w:eastAsia="zh-Hans"/>
              </w:rPr>
              <w:t>A</w:t>
            </w:r>
            <w:r>
              <w:rPr>
                <w:rFonts w:ascii="宋体" w:hAnsi="宋体" w:hint="eastAsia"/>
                <w:szCs w:val="24"/>
                <w:lang w:eastAsia="zh-Hans"/>
              </w:rPr>
              <w:t>股</w:t>
            </w:r>
            <w:r>
              <w:rPr>
                <w:rFonts w:ascii="宋体" w:hAnsi="宋体" w:hint="eastAsia"/>
                <w:szCs w:val="24"/>
                <w:lang w:eastAsia="zh-Hans"/>
              </w:rPr>
              <w:t>ETF</w:t>
            </w:r>
            <w:r>
              <w:rPr>
                <w:rFonts w:ascii="宋体" w:hAnsi="宋体" w:hint="eastAsia"/>
                <w:szCs w:val="24"/>
                <w:lang w:eastAsia="zh-Hans"/>
              </w:rPr>
              <w:t>联接</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F7D2D" w:rsidRDefault="006F7D2D">
            <w:pPr>
              <w:jc w:val="center"/>
            </w:pPr>
            <w:r>
              <w:rPr>
                <w:rFonts w:ascii="宋体" w:hAnsi="宋体" w:hint="eastAsia"/>
                <w:szCs w:val="24"/>
                <w:lang w:eastAsia="zh-Hans"/>
              </w:rPr>
              <w:t>摩根</w:t>
            </w:r>
            <w:r>
              <w:rPr>
                <w:rFonts w:ascii="宋体" w:hAnsi="宋体" w:hint="eastAsia"/>
                <w:szCs w:val="24"/>
                <w:lang w:eastAsia="zh-Hans"/>
              </w:rPr>
              <w:t>MSCI</w:t>
            </w:r>
            <w:r>
              <w:rPr>
                <w:rFonts w:ascii="宋体" w:hAnsi="宋体" w:hint="eastAsia"/>
                <w:szCs w:val="24"/>
                <w:lang w:eastAsia="zh-Hans"/>
              </w:rPr>
              <w:t>中国</w:t>
            </w:r>
            <w:r>
              <w:rPr>
                <w:rFonts w:ascii="宋体" w:hAnsi="宋体" w:hint="eastAsia"/>
                <w:szCs w:val="24"/>
                <w:lang w:eastAsia="zh-Hans"/>
              </w:rPr>
              <w:t>A</w:t>
            </w:r>
            <w:r>
              <w:rPr>
                <w:rFonts w:ascii="宋体" w:hAnsi="宋体" w:hint="eastAsia"/>
                <w:szCs w:val="24"/>
                <w:lang w:eastAsia="zh-Hans"/>
              </w:rPr>
              <w:t>股</w:t>
            </w:r>
            <w:r>
              <w:rPr>
                <w:rFonts w:ascii="宋体" w:hAnsi="宋体" w:hint="eastAsia"/>
                <w:szCs w:val="24"/>
                <w:lang w:eastAsia="zh-Hans"/>
              </w:rPr>
              <w:t>ETF</w:t>
            </w:r>
            <w:r>
              <w:rPr>
                <w:rFonts w:ascii="宋体" w:hAnsi="宋体" w:hint="eastAsia"/>
                <w:szCs w:val="24"/>
                <w:lang w:eastAsia="zh-Hans"/>
              </w:rPr>
              <w:t>联接</w:t>
            </w:r>
            <w:r>
              <w:rPr>
                <w:rFonts w:ascii="宋体" w:hAnsi="宋体" w:hint="eastAsia"/>
                <w:szCs w:val="24"/>
                <w:lang w:eastAsia="zh-Hans"/>
              </w:rPr>
              <w:t>C</w:t>
            </w:r>
          </w:p>
        </w:tc>
      </w:tr>
      <w:tr w:rsidR="00000000">
        <w:trPr>
          <w:divId w:val="183949611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rPr>
                <w:rFonts w:hint="eastAsia"/>
              </w:rPr>
            </w:pPr>
            <w:r>
              <w:rPr>
                <w:rFonts w:ascii="宋体" w:hAnsi="宋体" w:hint="eastAsia"/>
                <w:szCs w:val="24"/>
                <w:lang w:eastAsia="zh-Hans"/>
              </w:rPr>
              <w:t>315,439.4</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pPr>
            <w:r>
              <w:rPr>
                <w:rFonts w:ascii="宋体" w:hAnsi="宋体" w:hint="eastAsia"/>
                <w:szCs w:val="24"/>
                <w:lang w:eastAsia="zh-Hans"/>
              </w:rPr>
              <w:t>441,967.3</w:t>
            </w:r>
            <w:r>
              <w:rPr>
                <w:rFonts w:ascii="宋体" w:hAnsi="宋体" w:hint="eastAsia"/>
                <w:szCs w:val="24"/>
                <w:lang w:eastAsia="zh-Hans"/>
              </w:rPr>
              <w:t>3</w:t>
            </w:r>
          </w:p>
        </w:tc>
      </w:tr>
      <w:tr w:rsidR="00000000">
        <w:trPr>
          <w:divId w:val="183949611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rPr>
                <w:rFonts w:hint="eastAsia"/>
              </w:rPr>
            </w:pPr>
            <w:r>
              <w:rPr>
                <w:rFonts w:ascii="宋体" w:hAnsi="宋体" w:hint="eastAsia"/>
                <w:szCs w:val="24"/>
                <w:lang w:eastAsia="zh-Hans"/>
              </w:rPr>
              <w:t>1,575,322.7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pPr>
            <w:r>
              <w:rPr>
                <w:rFonts w:ascii="宋体" w:hAnsi="宋体" w:hint="eastAsia"/>
                <w:szCs w:val="24"/>
                <w:lang w:eastAsia="zh-Hans"/>
              </w:rPr>
              <w:t>2,036,232.7</w:t>
            </w:r>
            <w:r>
              <w:rPr>
                <w:rFonts w:ascii="宋体" w:hAnsi="宋体" w:hint="eastAsia"/>
                <w:szCs w:val="24"/>
                <w:lang w:eastAsia="zh-Hans"/>
              </w:rPr>
              <w:t>9</w:t>
            </w:r>
          </w:p>
        </w:tc>
      </w:tr>
      <w:tr w:rsidR="00000000">
        <w:trPr>
          <w:divId w:val="183949611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rPr>
                <w:rFonts w:hint="eastAsia"/>
              </w:rPr>
            </w:pPr>
            <w:r>
              <w:rPr>
                <w:rFonts w:ascii="宋体" w:hAnsi="宋体" w:hint="eastAsia"/>
                <w:szCs w:val="24"/>
                <w:lang w:eastAsia="zh-Hans"/>
              </w:rPr>
              <w:t>0.142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pPr>
            <w:r>
              <w:rPr>
                <w:rFonts w:ascii="宋体" w:hAnsi="宋体" w:hint="eastAsia"/>
                <w:szCs w:val="24"/>
                <w:lang w:eastAsia="zh-Hans"/>
              </w:rPr>
              <w:t>0.132</w:t>
            </w:r>
            <w:r>
              <w:rPr>
                <w:rFonts w:ascii="宋体" w:hAnsi="宋体" w:hint="eastAsia"/>
                <w:szCs w:val="24"/>
                <w:lang w:eastAsia="zh-Hans"/>
              </w:rPr>
              <w:t>7</w:t>
            </w:r>
          </w:p>
        </w:tc>
      </w:tr>
      <w:tr w:rsidR="00000000">
        <w:trPr>
          <w:divId w:val="183949611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rPr>
                <w:rFonts w:hint="eastAsia"/>
              </w:rPr>
            </w:pPr>
            <w:r>
              <w:rPr>
                <w:rFonts w:ascii="宋体" w:hAnsi="宋体" w:hint="eastAsia"/>
                <w:szCs w:val="24"/>
                <w:lang w:eastAsia="zh-Hans"/>
              </w:rPr>
              <w:t>12,263,149.2</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pPr>
            <w:r>
              <w:rPr>
                <w:rFonts w:ascii="宋体" w:hAnsi="宋体" w:hint="eastAsia"/>
                <w:szCs w:val="24"/>
                <w:lang w:eastAsia="zh-Hans"/>
              </w:rPr>
              <w:t>18,414,631.0</w:t>
            </w:r>
            <w:r>
              <w:rPr>
                <w:rFonts w:ascii="宋体" w:hAnsi="宋体" w:hint="eastAsia"/>
                <w:szCs w:val="24"/>
                <w:lang w:eastAsia="zh-Hans"/>
              </w:rPr>
              <w:t>9</w:t>
            </w:r>
          </w:p>
        </w:tc>
      </w:tr>
      <w:tr w:rsidR="00000000">
        <w:trPr>
          <w:divId w:val="183949611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rPr>
                <w:rFonts w:hint="eastAsia"/>
              </w:rPr>
            </w:pPr>
            <w:r>
              <w:rPr>
                <w:rFonts w:ascii="宋体" w:hAnsi="宋体" w:hint="eastAsia"/>
                <w:szCs w:val="24"/>
                <w:lang w:eastAsia="zh-Hans"/>
              </w:rPr>
              <w:t>1.242</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F7D2D" w:rsidRDefault="006F7D2D">
            <w:pPr>
              <w:jc w:val="right"/>
            </w:pPr>
            <w:r>
              <w:rPr>
                <w:rFonts w:ascii="宋体" w:hAnsi="宋体" w:hint="eastAsia"/>
                <w:szCs w:val="24"/>
                <w:lang w:eastAsia="zh-Hans"/>
              </w:rPr>
              <w:t>1.235</w:t>
            </w:r>
            <w:r>
              <w:rPr>
                <w:rFonts w:ascii="宋体" w:hAnsi="宋体" w:hint="eastAsia"/>
                <w:szCs w:val="24"/>
                <w:lang w:eastAsia="zh-Hans"/>
              </w:rPr>
              <w:t>3</w:t>
            </w:r>
          </w:p>
        </w:tc>
      </w:tr>
    </w:tbl>
    <w:p w:rsidR="006F7D2D" w:rsidRDefault="006F7D2D">
      <w:pPr>
        <w:wordWrap w:val="0"/>
        <w:spacing w:line="360" w:lineRule="auto"/>
        <w:jc w:val="left"/>
        <w:divId w:val="46512315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F7D2D" w:rsidRDefault="006F7D2D">
      <w:pPr>
        <w:pStyle w:val="XBRLTitle2"/>
        <w:spacing w:before="156"/>
        <w:ind w:left="454"/>
      </w:pPr>
      <w:bookmarkStart w:id="57" w:name="_Toc17881670"/>
      <w:bookmarkStart w:id="58" w:name="_Toc492299867"/>
      <w:bookmarkStart w:id="59" w:name="_Toc466644451"/>
      <w:bookmarkStart w:id="60" w:name="_Toc447872913"/>
      <w:bookmarkStart w:id="61" w:name="_Toc438646457"/>
      <w:bookmarkStart w:id="62" w:name="_Toc512627219"/>
      <w:bookmarkStart w:id="63" w:name="_Toc512694299"/>
      <w:r>
        <w:rPr>
          <w:rFonts w:hAnsi="宋体" w:hint="eastAsia"/>
        </w:rPr>
        <w:t>基金净值表</w:t>
      </w:r>
      <w:r>
        <w:rPr>
          <w:rFonts w:hAnsi="宋体" w:hint="eastAsia"/>
        </w:rPr>
        <w:t>现</w:t>
      </w:r>
      <w:bookmarkEnd w:id="57"/>
      <w:bookmarkEnd w:id="58"/>
      <w:bookmarkEnd w:id="59"/>
      <w:bookmarkEnd w:id="60"/>
      <w:bookmarkEnd w:id="61"/>
      <w:bookmarkEnd w:id="62"/>
      <w:bookmarkEnd w:id="63"/>
      <w:r>
        <w:rPr>
          <w:rFonts w:hAnsi="宋体" w:hint="eastAsia"/>
        </w:rPr>
        <w:t xml:space="preserve"> </w:t>
      </w:r>
    </w:p>
    <w:p w:rsidR="006F7D2D" w:rsidRDefault="006F7D2D">
      <w:pPr>
        <w:pStyle w:val="XBRLTitle3"/>
        <w:numPr>
          <w:ilvl w:val="2"/>
          <w:numId w:val="2"/>
        </w:numPr>
        <w:spacing w:before="156"/>
        <w:ind w:left="0" w:firstLine="0"/>
        <w:rPr>
          <w:rFonts w:hint="eastAsia"/>
        </w:rPr>
      </w:pPr>
      <w:bookmarkStart w:id="64" w:name="_Toc17881671"/>
      <w:bookmarkStart w:id="65" w:name="_Toc492299868"/>
      <w:bookmarkStart w:id="66" w:name="_Toc466644452"/>
      <w:bookmarkStart w:id="67" w:name="_Toc447872914"/>
      <w:r>
        <w:rPr>
          <w:rFonts w:hAnsi="宋体" w:hint="eastAsia"/>
        </w:rPr>
        <w:t>基金份额净值增长率及其与同期业绩比较基准收益率的比</w:t>
      </w:r>
      <w:r>
        <w:rPr>
          <w:rFonts w:hAnsi="宋体" w:hint="eastAsia"/>
        </w:rPr>
        <w:t>较</w:t>
      </w:r>
      <w:bookmarkEnd w:id="64"/>
      <w:bookmarkEnd w:id="65"/>
      <w:bookmarkEnd w:id="66"/>
      <w:bookmarkEnd w:id="67"/>
      <w:r>
        <w:rPr>
          <w:rFonts w:hint="eastAsia"/>
          <w:lang w:eastAsia="zh-CN"/>
        </w:rPr>
        <w:t xml:space="preserve"> </w:t>
      </w:r>
    </w:p>
    <w:p w:rsidR="006F7D2D" w:rsidRDefault="006F7D2D">
      <w:pPr>
        <w:spacing w:line="360" w:lineRule="auto"/>
        <w:jc w:val="center"/>
        <w:divId w:val="1005940016"/>
        <w:rPr>
          <w:rFonts w:hint="eastAsia"/>
        </w:rPr>
      </w:pPr>
      <w:r>
        <w:rPr>
          <w:rFonts w:ascii="宋体" w:hAnsi="宋体" w:hint="eastAsia"/>
        </w:rPr>
        <w:t>摩根</w:t>
      </w:r>
      <w:r>
        <w:rPr>
          <w:rFonts w:ascii="宋体" w:hAnsi="宋体" w:hint="eastAsia"/>
        </w:rPr>
        <w:t>MSCI</w:t>
      </w:r>
      <w:r>
        <w:rPr>
          <w:rFonts w:ascii="宋体" w:hAnsi="宋体" w:hint="eastAsia"/>
        </w:rPr>
        <w:t>中国</w:t>
      </w:r>
      <w:r>
        <w:rPr>
          <w:rFonts w:ascii="宋体" w:hAnsi="宋体" w:hint="eastAsia"/>
        </w:rPr>
        <w:t>A</w:t>
      </w:r>
      <w:r>
        <w:rPr>
          <w:rFonts w:ascii="宋体" w:hAnsi="宋体" w:hint="eastAsia"/>
        </w:rPr>
        <w:t>股</w:t>
      </w:r>
      <w:r>
        <w:rPr>
          <w:rFonts w:ascii="宋体" w:hAnsi="宋体" w:hint="eastAsia"/>
        </w:rPr>
        <w:t>ETF</w:t>
      </w:r>
      <w:r>
        <w:rPr>
          <w:rFonts w:ascii="宋体" w:hAnsi="宋体" w:hint="eastAsia"/>
        </w:rPr>
        <w:t>联接</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0594001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②－④</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8.1</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7.4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25.6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34.2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25.8</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8.3</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6.7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-5.3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12.1</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00594001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24.2</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7.2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17.0</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bl>
    <w:p w:rsidR="006F7D2D" w:rsidRDefault="006F7D2D">
      <w:pPr>
        <w:spacing w:line="360" w:lineRule="auto"/>
        <w:jc w:val="center"/>
        <w:divId w:val="318308569"/>
      </w:pPr>
      <w:r>
        <w:rPr>
          <w:rFonts w:ascii="宋体" w:hAnsi="宋体" w:hint="eastAsia"/>
        </w:rPr>
        <w:t>摩根</w:t>
      </w:r>
      <w:r>
        <w:rPr>
          <w:rFonts w:ascii="宋体" w:hAnsi="宋体" w:hint="eastAsia"/>
        </w:rPr>
        <w:t>MSCI</w:t>
      </w:r>
      <w:r>
        <w:rPr>
          <w:rFonts w:ascii="宋体" w:hAnsi="宋体" w:hint="eastAsia"/>
        </w:rPr>
        <w:t>中国</w:t>
      </w:r>
      <w:r>
        <w:rPr>
          <w:rFonts w:ascii="宋体" w:hAnsi="宋体" w:hint="eastAsia"/>
        </w:rPr>
        <w:t>A</w:t>
      </w:r>
      <w:r>
        <w:rPr>
          <w:rFonts w:ascii="宋体" w:hAnsi="宋体" w:hint="eastAsia"/>
        </w:rPr>
        <w:t>股</w:t>
      </w:r>
      <w:r>
        <w:rPr>
          <w:rFonts w:ascii="宋体" w:hAnsi="宋体" w:hint="eastAsia"/>
        </w:rPr>
        <w:t>ETF</w:t>
      </w:r>
      <w:r>
        <w:rPr>
          <w:rFonts w:ascii="宋体" w:hAnsi="宋体" w:hint="eastAsia"/>
        </w:rPr>
        <w:t>联接</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1830856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8.0</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7.4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27.2</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25.6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33.8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25.8</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7.9</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6.2</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-5.3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11.6</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3183085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23.5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7.2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F7D2D" w:rsidRDefault="006F7D2D">
            <w:pPr>
              <w:spacing w:line="360" w:lineRule="auto"/>
              <w:jc w:val="right"/>
            </w:pPr>
            <w:r>
              <w:rPr>
                <w:rFonts w:ascii="宋体" w:hAnsi="宋体" w:hint="eastAsia"/>
              </w:rPr>
              <w:t>16.2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bl>
    <w:p w:rsidR="006F7D2D" w:rsidRDefault="006F7D2D">
      <w:pPr>
        <w:pStyle w:val="XBRLTitle3"/>
        <w:numPr>
          <w:ilvl w:val="2"/>
          <w:numId w:val="2"/>
        </w:numPr>
        <w:spacing w:before="156"/>
        <w:ind w:left="0" w:firstLine="0"/>
      </w:pPr>
      <w:bookmarkStart w:id="68" w:name="_Toc17881672"/>
      <w:bookmarkStart w:id="69" w:name="_Toc492299869"/>
      <w:bookmarkStart w:id="70" w:name="_Toc466644453"/>
      <w:bookmarkStart w:id="71" w:name="_Toc447872915"/>
      <w:r>
        <w:rPr>
          <w:rFonts w:hAnsi="宋体" w:hint="eastAsia"/>
        </w:rPr>
        <w:t>自基金合同生效以</w:t>
      </w:r>
      <w:r>
        <w:rPr>
          <w:rFonts w:hAnsi="宋体" w:hint="eastAsia"/>
        </w:rPr>
        <w:t>来</w:t>
      </w:r>
      <w:r>
        <w:rPr>
          <w:rFonts w:hAnsi="宋体" w:hint="eastAsia"/>
        </w:rPr>
        <w:t>基金累计净值增长率变动及其与同期业绩比较基准收益率变动的比</w:t>
      </w:r>
      <w:r>
        <w:rPr>
          <w:rFonts w:hAnsi="宋体" w:hint="eastAsia"/>
        </w:rPr>
        <w:t>较</w:t>
      </w:r>
      <w:bookmarkEnd w:id="68"/>
      <w:bookmarkEnd w:id="69"/>
      <w:bookmarkEnd w:id="70"/>
      <w:bookmarkEnd w:id="71"/>
      <w:r>
        <w:rPr>
          <w:rStyle w:val="spelle"/>
          <w:rFonts w:hAnsi="宋体" w:hint="eastAsia"/>
        </w:rPr>
        <w:t xml:space="preserve"> </w:t>
      </w:r>
    </w:p>
    <w:p w:rsidR="006F7D2D" w:rsidRDefault="006F7D2D">
      <w:pPr>
        <w:spacing w:line="360" w:lineRule="auto"/>
        <w:jc w:val="left"/>
        <w:divId w:val="1039432860"/>
        <w:rPr>
          <w:rFonts w:hint="eastAsia"/>
        </w:rPr>
      </w:pPr>
      <w:bookmarkStart w:id="72" w:name="m07_04_07_09_tab"/>
      <w:bookmarkStart w:id="73" w:name="m07_04_07_09"/>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F7D2D" w:rsidRDefault="006F7D2D">
      <w:pPr>
        <w:spacing w:line="360" w:lineRule="auto"/>
        <w:jc w:val="left"/>
        <w:divId w:val="56650071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F7D2D" w:rsidRDefault="006F7D2D">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2020</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15"/>
      <w:bookmarkEnd w:id="72"/>
      <w:bookmarkEnd w:id="73"/>
    </w:p>
    <w:p w:rsidR="006F7D2D" w:rsidRDefault="006F7D2D">
      <w:pPr>
        <w:pStyle w:val="XBRLTitle1"/>
        <w:spacing w:before="156"/>
        <w:ind w:left="425"/>
      </w:pPr>
      <w:bookmarkStart w:id="74" w:name="_Toc17881674"/>
      <w:bookmarkStart w:id="75" w:name="_Toc492299870"/>
      <w:bookmarkStart w:id="76" w:name="_Toc466644454"/>
      <w:bookmarkStart w:id="77" w:name="_Toc447872916"/>
      <w:bookmarkStart w:id="78" w:name="_Toc438646458"/>
      <w:bookmarkStart w:id="79" w:name="_Toc512627220"/>
      <w:bookmarkStart w:id="80" w:name="_Toc512694300"/>
      <w:r>
        <w:rPr>
          <w:rFonts w:hAnsi="宋体" w:hint="eastAsia"/>
        </w:rPr>
        <w:t>管理人报</w:t>
      </w:r>
      <w:r>
        <w:rPr>
          <w:rFonts w:hAnsi="宋体" w:hint="eastAsia"/>
        </w:rPr>
        <w:t>告</w:t>
      </w:r>
      <w:bookmarkEnd w:id="74"/>
      <w:bookmarkEnd w:id="75"/>
      <w:bookmarkEnd w:id="76"/>
      <w:bookmarkEnd w:id="77"/>
      <w:bookmarkEnd w:id="78"/>
      <w:bookmarkEnd w:id="79"/>
      <w:bookmarkEnd w:id="80"/>
      <w:r>
        <w:rPr>
          <w:rFonts w:hAnsi="宋体" w:hint="eastAsia"/>
        </w:rPr>
        <w:t xml:space="preserve"> </w:t>
      </w:r>
    </w:p>
    <w:p w:rsidR="006F7D2D" w:rsidRDefault="006F7D2D">
      <w:pPr>
        <w:pStyle w:val="XBRLTitle2"/>
        <w:spacing w:before="156"/>
        <w:ind w:left="454"/>
        <w:rPr>
          <w:rFonts w:hint="eastAsia"/>
        </w:rPr>
      </w:pPr>
      <w:bookmarkStart w:id="81" w:name="_Toc17881675"/>
      <w:bookmarkStart w:id="82" w:name="_Toc492299871"/>
      <w:bookmarkStart w:id="83" w:name="_Toc466644455"/>
      <w:bookmarkStart w:id="84" w:name="_Toc447872917"/>
      <w:bookmarkStart w:id="85" w:name="_Toc438646459"/>
      <w:bookmarkStart w:id="86" w:name="_Toc512627221"/>
      <w:bookmarkStart w:id="87" w:name="_Toc512694301"/>
      <w:r>
        <w:rPr>
          <w:rFonts w:hAnsi="宋体" w:hint="eastAsia"/>
        </w:rPr>
        <w:t>基金经理（或基金经理小组）简</w:t>
      </w:r>
      <w:r>
        <w:rPr>
          <w:rFonts w:hAnsi="宋体" w:hint="eastAsia"/>
        </w:rPr>
        <w:t>介</w:t>
      </w:r>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42595885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42595885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pPr>
          </w:p>
        </w:tc>
      </w:tr>
      <w:tr w:rsidR="00000000">
        <w:trPr>
          <w:divId w:val="142595885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6F7D2D" w:rsidRDefault="006F7D2D">
      <w:pPr>
        <w:wordWrap w:val="0"/>
        <w:spacing w:line="360" w:lineRule="auto"/>
        <w:jc w:val="left"/>
        <w:divId w:val="73585620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F7D2D" w:rsidRDefault="006F7D2D">
      <w:pPr>
        <w:pStyle w:val="XBRLTitle2"/>
        <w:spacing w:before="156"/>
        <w:ind w:left="454"/>
      </w:pPr>
      <w:bookmarkStart w:id="89" w:name="_Toc17881676"/>
      <w:bookmarkStart w:id="90" w:name="_Toc492299872"/>
      <w:bookmarkStart w:id="91" w:name="_Toc466644456"/>
      <w:bookmarkStart w:id="92" w:name="_Toc447872918"/>
      <w:bookmarkStart w:id="93" w:name="_Toc438646460"/>
      <w:bookmarkStart w:id="94" w:name="_Toc512627222"/>
      <w:bookmarkStart w:id="95" w:name="_Toc512694302"/>
      <w:bookmarkStart w:id="96" w:name="m402"/>
      <w:r>
        <w:rPr>
          <w:rFonts w:hAnsi="宋体" w:hint="eastAsia"/>
          <w:lang w:eastAsia="zh-CN"/>
        </w:rPr>
        <w:t>管理人对报告期内本基金运作遵规守信情况的说</w:t>
      </w:r>
      <w:r>
        <w:rPr>
          <w:rFonts w:hAnsi="宋体" w:hint="eastAsia"/>
          <w:lang w:eastAsia="zh-CN"/>
        </w:rPr>
        <w:t>明</w:t>
      </w:r>
      <w:bookmarkEnd w:id="89"/>
      <w:bookmarkEnd w:id="90"/>
      <w:bookmarkEnd w:id="91"/>
      <w:bookmarkEnd w:id="92"/>
      <w:bookmarkEnd w:id="93"/>
      <w:bookmarkEnd w:id="94"/>
      <w:bookmarkEnd w:id="95"/>
      <w:r>
        <w:rPr>
          <w:rFonts w:hAnsi="宋体" w:hint="eastAsia"/>
        </w:rPr>
        <w:t xml:space="preserve"> </w:t>
      </w:r>
      <w:bookmarkEnd w:id="96"/>
    </w:p>
    <w:p w:rsidR="006F7D2D" w:rsidRDefault="006F7D2D">
      <w:pPr>
        <w:spacing w:line="360" w:lineRule="auto"/>
        <w:ind w:firstLineChars="200" w:firstLine="420"/>
        <w:jc w:val="left"/>
        <w:rPr>
          <w:rFonts w:hint="eastAsia"/>
        </w:rPr>
      </w:pPr>
      <w:bookmarkStart w:id="9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6F7D2D" w:rsidRDefault="006F7D2D">
      <w:pPr>
        <w:pStyle w:val="XBRLTitle2"/>
        <w:spacing w:before="156"/>
        <w:ind w:left="454"/>
      </w:pPr>
      <w:bookmarkStart w:id="98" w:name="m403"/>
      <w:bookmarkStart w:id="99" w:name="_Toc492299873"/>
      <w:bookmarkStart w:id="100" w:name="_Toc466644457"/>
      <w:bookmarkStart w:id="101" w:name="_Toc447872919"/>
      <w:bookmarkStart w:id="102" w:name="_Toc438646462"/>
      <w:bookmarkStart w:id="103" w:name="_Toc512627223"/>
      <w:bookmarkStart w:id="104" w:name="_Toc512694303"/>
      <w:bookmarkStart w:id="105" w:name="_Toc17881677"/>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r>
        <w:rPr>
          <w:rFonts w:hAnsi="宋体" w:hint="eastAsia"/>
        </w:rPr>
        <w:t xml:space="preserve"> </w:t>
      </w:r>
    </w:p>
    <w:p w:rsidR="006F7D2D" w:rsidRDefault="006F7D2D">
      <w:pPr>
        <w:pStyle w:val="XBRLTitle3"/>
        <w:numPr>
          <w:ilvl w:val="2"/>
          <w:numId w:val="2"/>
        </w:numPr>
        <w:spacing w:before="156"/>
        <w:ind w:left="0" w:firstLine="0"/>
        <w:rPr>
          <w:rFonts w:hint="eastAsia"/>
        </w:rPr>
      </w:pPr>
      <w:bookmarkStart w:id="106" w:name="_Toc17881678"/>
      <w:bookmarkStart w:id="107" w:name="_Toc492299874"/>
      <w:bookmarkStart w:id="108" w:name="_Toc466644458"/>
      <w:bookmarkStart w:id="109" w:name="_Toc447872920"/>
      <w:r>
        <w:rPr>
          <w:rFonts w:hAnsi="宋体" w:hint="eastAsia"/>
        </w:rPr>
        <w:t>公平交易制度的执行情</w:t>
      </w:r>
      <w:r>
        <w:rPr>
          <w:rFonts w:hAnsi="宋体" w:hint="eastAsia"/>
        </w:rPr>
        <w:t>况</w:t>
      </w:r>
      <w:bookmarkEnd w:id="106"/>
      <w:bookmarkEnd w:id="107"/>
      <w:bookmarkEnd w:id="108"/>
      <w:bookmarkEnd w:id="109"/>
    </w:p>
    <w:p w:rsidR="006F7D2D" w:rsidRDefault="006F7D2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F7D2D" w:rsidRDefault="006F7D2D">
      <w:pPr>
        <w:pStyle w:val="XBRLTitle3"/>
        <w:numPr>
          <w:ilvl w:val="2"/>
          <w:numId w:val="2"/>
        </w:numPr>
        <w:spacing w:before="156"/>
        <w:ind w:left="0" w:firstLine="0"/>
      </w:pPr>
      <w:bookmarkStart w:id="110" w:name="_Toc17881679"/>
      <w:bookmarkStart w:id="111" w:name="_Toc492299875"/>
      <w:bookmarkStart w:id="112" w:name="_Toc466644459"/>
      <w:bookmarkStart w:id="113" w:name="_Toc447872921"/>
      <w:bookmarkStart w:id="114" w:name="m404_01_0578"/>
      <w:bookmarkEnd w:id="97"/>
      <w:r>
        <w:rPr>
          <w:rFonts w:hAnsi="宋体" w:hint="eastAsia"/>
        </w:rPr>
        <w:t>异常交易行为的专项说</w:t>
      </w:r>
      <w:r>
        <w:rPr>
          <w:rFonts w:hAnsi="宋体" w:hint="eastAsia"/>
        </w:rPr>
        <w:t>明</w:t>
      </w:r>
      <w:bookmarkEnd w:id="110"/>
      <w:bookmarkEnd w:id="111"/>
      <w:bookmarkEnd w:id="112"/>
      <w:bookmarkEnd w:id="113"/>
    </w:p>
    <w:p w:rsidR="006F7D2D" w:rsidRDefault="006F7D2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F7D2D" w:rsidRDefault="006F7D2D">
      <w:pPr>
        <w:pStyle w:val="XBRLTitle2"/>
        <w:spacing w:before="156"/>
        <w:ind w:left="454"/>
      </w:pPr>
      <w:bookmarkStart w:id="115" w:name="_Toc17881680"/>
      <w:bookmarkStart w:id="116" w:name="_Toc492299876"/>
      <w:bookmarkStart w:id="117" w:name="_Toc466644460"/>
      <w:bookmarkStart w:id="118" w:name="_Toc447872922"/>
      <w:bookmarkStart w:id="119" w:name="_Toc438646463"/>
      <w:bookmarkStart w:id="120" w:name="_Toc512627224"/>
      <w:bookmarkStart w:id="121" w:name="_Toc512694304"/>
      <w:bookmarkEnd w:id="114"/>
      <w:r>
        <w:rPr>
          <w:rFonts w:hAnsi="宋体" w:hint="eastAsia"/>
        </w:rPr>
        <w:t>报告期内基金的投资策略和运作分</w:t>
      </w:r>
      <w:r>
        <w:rPr>
          <w:rFonts w:hAnsi="宋体" w:hint="eastAsia"/>
        </w:rPr>
        <w:t>析</w:t>
      </w:r>
      <w:bookmarkEnd w:id="115"/>
      <w:bookmarkEnd w:id="116"/>
      <w:bookmarkEnd w:id="117"/>
      <w:bookmarkEnd w:id="118"/>
      <w:bookmarkEnd w:id="119"/>
      <w:bookmarkEnd w:id="120"/>
      <w:bookmarkEnd w:id="121"/>
      <w:r>
        <w:rPr>
          <w:rFonts w:hAnsi="宋体" w:hint="eastAsia"/>
        </w:rPr>
        <w:t xml:space="preserve"> </w:t>
      </w:r>
    </w:p>
    <w:p w:rsidR="006F7D2D" w:rsidRDefault="006F7D2D">
      <w:pPr>
        <w:spacing w:line="360" w:lineRule="auto"/>
        <w:ind w:firstLineChars="200" w:firstLine="420"/>
        <w:jc w:val="left"/>
        <w:rPr>
          <w:rFonts w:hint="eastAsia"/>
        </w:rPr>
      </w:pPr>
      <w:bookmarkStart w:id="122" w:name="m405_01_2550"/>
      <w:r>
        <w:rPr>
          <w:rFonts w:ascii="宋体" w:hAnsi="宋体" w:cs="宋体" w:hint="eastAsia"/>
          <w:color w:val="000000"/>
          <w:kern w:val="0"/>
        </w:rPr>
        <w:t>MSCI</w:t>
      </w:r>
      <w:r>
        <w:rPr>
          <w:rFonts w:ascii="宋体" w:hAnsi="宋体" w:cs="宋体" w:hint="eastAsia"/>
          <w:color w:val="000000"/>
          <w:kern w:val="0"/>
        </w:rPr>
        <w:t>中国</w:t>
      </w:r>
      <w:r>
        <w:rPr>
          <w:rFonts w:ascii="宋体" w:hAnsi="宋体" w:cs="宋体" w:hint="eastAsia"/>
          <w:color w:val="000000"/>
          <w:kern w:val="0"/>
        </w:rPr>
        <w:t xml:space="preserve"> A</w:t>
      </w:r>
      <w:r>
        <w:rPr>
          <w:rFonts w:ascii="宋体" w:hAnsi="宋体" w:cs="宋体" w:hint="eastAsia"/>
          <w:color w:val="000000"/>
          <w:kern w:val="0"/>
        </w:rPr>
        <w:t>股指数在</w:t>
      </w:r>
      <w:r>
        <w:rPr>
          <w:rFonts w:ascii="宋体" w:hAnsi="宋体" w:cs="宋体" w:hint="eastAsia"/>
          <w:color w:val="000000"/>
          <w:kern w:val="0"/>
        </w:rPr>
        <w:t>2026</w:t>
      </w:r>
      <w:r>
        <w:rPr>
          <w:rFonts w:ascii="宋体" w:hAnsi="宋体" w:cs="宋体" w:hint="eastAsia"/>
          <w:color w:val="000000"/>
          <w:kern w:val="0"/>
        </w:rPr>
        <w:t>年二季度收涨</w:t>
      </w:r>
      <w:r>
        <w:rPr>
          <w:rFonts w:ascii="宋体" w:hAnsi="宋体" w:cs="宋体" w:hint="eastAsia"/>
          <w:color w:val="000000"/>
          <w:kern w:val="0"/>
        </w:rPr>
        <w:t>11.7%</w:t>
      </w:r>
      <w:r>
        <w:rPr>
          <w:rFonts w:ascii="宋体" w:hAnsi="宋体" w:cs="宋体" w:hint="eastAsia"/>
          <w:color w:val="000000"/>
          <w:kern w:val="0"/>
        </w:rPr>
        <w:t>，大幅跑赢离岸</w:t>
      </w:r>
      <w:r>
        <w:rPr>
          <w:rFonts w:ascii="宋体" w:hAnsi="宋体" w:cs="宋体" w:hint="eastAsia"/>
          <w:color w:val="000000"/>
          <w:kern w:val="0"/>
        </w:rPr>
        <w:t>MSCI</w:t>
      </w:r>
      <w:r>
        <w:rPr>
          <w:rFonts w:ascii="宋体" w:hAnsi="宋体" w:cs="宋体" w:hint="eastAsia"/>
          <w:color w:val="000000"/>
          <w:kern w:val="0"/>
        </w:rPr>
        <w:t>中国指数，其中</w:t>
      </w:r>
      <w:r>
        <w:rPr>
          <w:rFonts w:ascii="宋体" w:hAnsi="宋体" w:cs="宋体" w:hint="eastAsia"/>
          <w:color w:val="000000"/>
          <w:kern w:val="0"/>
        </w:rPr>
        <w:t>A</w:t>
      </w:r>
      <w:r>
        <w:rPr>
          <w:rFonts w:ascii="宋体" w:hAnsi="宋体" w:cs="宋体" w:hint="eastAsia"/>
          <w:color w:val="000000"/>
          <w:kern w:val="0"/>
        </w:rPr>
        <w:t>股相对港股的科技溢价是本季度主要收益来源。北向资金</w:t>
      </w:r>
      <w:r>
        <w:rPr>
          <w:rFonts w:ascii="宋体" w:hAnsi="宋体" w:cs="宋体" w:hint="eastAsia"/>
          <w:color w:val="000000"/>
          <w:kern w:val="0"/>
        </w:rPr>
        <w:t>Q2</w:t>
      </w:r>
      <w:r>
        <w:rPr>
          <w:rFonts w:ascii="宋体" w:hAnsi="宋体" w:cs="宋体" w:hint="eastAsia"/>
          <w:color w:val="000000"/>
          <w:kern w:val="0"/>
        </w:rPr>
        <w:t>净流入加速，重点加仓</w:t>
      </w:r>
      <w:r>
        <w:rPr>
          <w:rFonts w:ascii="宋体" w:hAnsi="宋体" w:cs="宋体" w:hint="eastAsia"/>
          <w:color w:val="000000"/>
          <w:kern w:val="0"/>
        </w:rPr>
        <w:t>AI</w:t>
      </w:r>
      <w:r>
        <w:rPr>
          <w:rFonts w:ascii="宋体" w:hAnsi="宋体" w:cs="宋体" w:hint="eastAsia"/>
          <w:color w:val="000000"/>
          <w:kern w:val="0"/>
        </w:rPr>
        <w:t>算力链（光模块、服务器、存储）和新能源龙头；境内</w:t>
      </w:r>
      <w:r>
        <w:rPr>
          <w:rFonts w:ascii="宋体" w:hAnsi="宋体" w:cs="宋体" w:hint="eastAsia"/>
          <w:color w:val="000000"/>
          <w:kern w:val="0"/>
        </w:rPr>
        <w:t>ETF</w:t>
      </w:r>
      <w:r>
        <w:rPr>
          <w:rFonts w:ascii="宋体" w:hAnsi="宋体" w:cs="宋体" w:hint="eastAsia"/>
          <w:color w:val="000000"/>
          <w:kern w:val="0"/>
        </w:rPr>
        <w:t>资金同步放量。</w:t>
      </w:r>
      <w:r>
        <w:rPr>
          <w:rFonts w:ascii="宋体" w:hAnsi="宋体" w:cs="宋体" w:hint="eastAsia"/>
          <w:color w:val="000000"/>
          <w:kern w:val="0"/>
        </w:rPr>
        <w:t>MSCI</w:t>
      </w:r>
      <w:r>
        <w:rPr>
          <w:rFonts w:ascii="宋体" w:hAnsi="宋体" w:cs="宋体" w:hint="eastAsia"/>
          <w:color w:val="000000"/>
          <w:kern w:val="0"/>
        </w:rPr>
        <w:t>中国</w:t>
      </w:r>
      <w:r>
        <w:rPr>
          <w:rFonts w:ascii="宋体" w:hAnsi="宋体" w:cs="宋体" w:hint="eastAsia"/>
          <w:color w:val="000000"/>
          <w:kern w:val="0"/>
        </w:rPr>
        <w:t xml:space="preserve"> A</w:t>
      </w:r>
      <w:r>
        <w:rPr>
          <w:rFonts w:ascii="宋体" w:hAnsi="宋体" w:cs="宋体" w:hint="eastAsia"/>
          <w:color w:val="000000"/>
          <w:kern w:val="0"/>
        </w:rPr>
        <w:t>股指数在</w:t>
      </w:r>
      <w:r>
        <w:rPr>
          <w:rFonts w:ascii="宋体" w:hAnsi="宋体" w:cs="宋体" w:hint="eastAsia"/>
          <w:color w:val="000000"/>
          <w:kern w:val="0"/>
        </w:rPr>
        <w:t>5</w:t>
      </w:r>
      <w:r>
        <w:rPr>
          <w:rFonts w:ascii="宋体" w:hAnsi="宋体" w:cs="宋体" w:hint="eastAsia"/>
          <w:color w:val="000000"/>
          <w:kern w:val="0"/>
        </w:rPr>
        <w:t>月进行成分股调整，本次剔除了</w:t>
      </w:r>
      <w:r>
        <w:rPr>
          <w:rFonts w:ascii="宋体" w:hAnsi="宋体" w:cs="宋体" w:hint="eastAsia"/>
          <w:color w:val="000000"/>
          <w:kern w:val="0"/>
        </w:rPr>
        <w:t>24</w:t>
      </w:r>
      <w:r>
        <w:rPr>
          <w:rFonts w:ascii="宋体" w:hAnsi="宋体" w:cs="宋体" w:hint="eastAsia"/>
          <w:color w:val="000000"/>
          <w:kern w:val="0"/>
        </w:rPr>
        <w:t>只成份股，主要涵盖金融、消费、及传统互联网软件及应用等领域；新纳入</w:t>
      </w:r>
      <w:r>
        <w:rPr>
          <w:rFonts w:ascii="宋体" w:hAnsi="宋体" w:cs="宋体" w:hint="eastAsia"/>
          <w:color w:val="000000"/>
          <w:kern w:val="0"/>
        </w:rPr>
        <w:t>22</w:t>
      </w:r>
      <w:r>
        <w:rPr>
          <w:rFonts w:ascii="宋体" w:hAnsi="宋体" w:cs="宋体" w:hint="eastAsia"/>
          <w:color w:val="000000"/>
          <w:kern w:val="0"/>
        </w:rPr>
        <w:t>只成份股，主要集中在</w:t>
      </w:r>
      <w:r>
        <w:rPr>
          <w:rFonts w:ascii="宋体" w:hAnsi="宋体" w:cs="宋体" w:hint="eastAsia"/>
          <w:color w:val="000000"/>
          <w:kern w:val="0"/>
        </w:rPr>
        <w:t>AI</w:t>
      </w:r>
      <w:r>
        <w:rPr>
          <w:rFonts w:ascii="宋体" w:hAnsi="宋体" w:cs="宋体" w:hint="eastAsia"/>
          <w:color w:val="000000"/>
          <w:kern w:val="0"/>
        </w:rPr>
        <w:t>相关的光通信与算力基础设施，以及高端制造等领域。指数成分整体呈现新经济硬科技替代传统板块的现象。</w:t>
      </w:r>
      <w:r>
        <w:rPr>
          <w:rFonts w:ascii="宋体" w:hAnsi="宋体" w:cs="宋体" w:hint="eastAsia"/>
          <w:color w:val="000000"/>
          <w:kern w:val="0"/>
        </w:rPr>
        <w:br/>
      </w:r>
      <w:r>
        <w:rPr>
          <w:rFonts w:ascii="宋体" w:hAnsi="宋体" w:cs="宋体" w:hint="eastAsia"/>
          <w:color w:val="000000"/>
          <w:kern w:val="0"/>
        </w:rPr>
        <w:t xml:space="preserve">　　本基金的投资策略主要通过交易所买卖或申购赎回的方式投资于目标</w:t>
      </w:r>
      <w:r>
        <w:rPr>
          <w:rFonts w:ascii="宋体" w:hAnsi="宋体" w:cs="宋体" w:hint="eastAsia"/>
          <w:color w:val="000000"/>
          <w:kern w:val="0"/>
        </w:rPr>
        <w:t xml:space="preserve"> ETF</w:t>
      </w:r>
      <w:r>
        <w:rPr>
          <w:rFonts w:ascii="宋体" w:hAnsi="宋体" w:cs="宋体" w:hint="eastAsia"/>
          <w:color w:val="000000"/>
          <w:kern w:val="0"/>
        </w:rPr>
        <w:t>的份额从而实现基金投资目标，基金也可以通过买入标的指数成份股来跟踪标的指数，以实现基金的投资目标并争取将跟踪误差保持在合理范围内。</w:t>
      </w:r>
      <w:r>
        <w:rPr>
          <w:rFonts w:ascii="宋体" w:hAnsi="宋体" w:cs="宋体" w:hint="eastAsia"/>
          <w:color w:val="000000"/>
          <w:kern w:val="0"/>
        </w:rPr>
        <w:br/>
      </w:r>
      <w:r>
        <w:rPr>
          <w:rFonts w:ascii="宋体" w:hAnsi="宋体" w:cs="宋体" w:hint="eastAsia"/>
          <w:color w:val="000000"/>
          <w:kern w:val="0"/>
        </w:rPr>
        <w:t xml:space="preserve">　　展望未来，中报是三季度是主要变量，</w:t>
      </w:r>
      <w:r>
        <w:rPr>
          <w:rFonts w:ascii="宋体" w:hAnsi="宋体" w:cs="宋体" w:hint="eastAsia"/>
          <w:color w:val="000000"/>
          <w:kern w:val="0"/>
        </w:rPr>
        <w:t>AI</w:t>
      </w:r>
      <w:r>
        <w:rPr>
          <w:rFonts w:ascii="宋体" w:hAnsi="宋体" w:cs="宋体" w:hint="eastAsia"/>
          <w:color w:val="000000"/>
          <w:kern w:val="0"/>
        </w:rPr>
        <w:t>板块若业绩兑现则有望继续走强。中长期来看，</w:t>
      </w:r>
      <w:r>
        <w:rPr>
          <w:rFonts w:ascii="宋体" w:hAnsi="宋体" w:cs="宋体" w:hint="eastAsia"/>
          <w:color w:val="000000"/>
          <w:kern w:val="0"/>
        </w:rPr>
        <w:t>A</w:t>
      </w:r>
      <w:r>
        <w:rPr>
          <w:rFonts w:ascii="宋体" w:hAnsi="宋体" w:cs="宋体" w:hint="eastAsia"/>
          <w:color w:val="000000"/>
          <w:kern w:val="0"/>
        </w:rPr>
        <w:t>股基础依然稳固，结构性机会丰富。随着政策支持，基本面延续修复和人民币汇率走强，有望吸引外资回流。中国核心资产的估值仍然在全球范围内相对低估，政策预期等催化下配置型外资有望进一步回流中国核心资产</w:t>
      </w:r>
      <w:r>
        <w:rPr>
          <w:rFonts w:ascii="宋体" w:hAnsi="宋体" w:cs="宋体" w:hint="eastAsia"/>
          <w:color w:val="000000"/>
          <w:kern w:val="0"/>
        </w:rPr>
        <w:t>。</w:t>
      </w:r>
    </w:p>
    <w:p w:rsidR="006F7D2D" w:rsidRDefault="006F7D2D">
      <w:pPr>
        <w:pStyle w:val="XBRLTitle2"/>
        <w:spacing w:before="156"/>
        <w:ind w:left="454"/>
      </w:pPr>
      <w:bookmarkStart w:id="123" w:name="_Toc17881681"/>
      <w:bookmarkStart w:id="124" w:name="_Toc466644462"/>
      <w:bookmarkStart w:id="125" w:name="_Toc447872924"/>
      <w:bookmarkStart w:id="126" w:name="_Toc492299877"/>
      <w:bookmarkStart w:id="127" w:name="_Toc512627225"/>
      <w:bookmarkStart w:id="128" w:name="_Toc512694305"/>
      <w:bookmarkStart w:id="129" w:name="m405_01_2549"/>
      <w:bookmarkEnd w:id="122"/>
      <w:r>
        <w:rPr>
          <w:rFonts w:hint="eastAsia"/>
        </w:rPr>
        <w:t>报告期内基金的业绩表</w:t>
      </w:r>
      <w:r>
        <w:rPr>
          <w:rFonts w:hint="eastAsia"/>
        </w:rPr>
        <w:t>现</w:t>
      </w:r>
      <w:bookmarkEnd w:id="123"/>
      <w:bookmarkEnd w:id="124"/>
      <w:bookmarkEnd w:id="125"/>
      <w:bookmarkEnd w:id="126"/>
      <w:bookmarkEnd w:id="127"/>
      <w:bookmarkEnd w:id="128"/>
      <w:bookmarkEnd w:id="129"/>
    </w:p>
    <w:p w:rsidR="006F7D2D" w:rsidRDefault="006F7D2D">
      <w:pPr>
        <w:spacing w:line="360" w:lineRule="auto"/>
        <w:ind w:firstLineChars="200" w:firstLine="420"/>
        <w:rPr>
          <w:rFonts w:hint="eastAsia"/>
        </w:rPr>
      </w:pPr>
      <w:r>
        <w:rPr>
          <w:rFonts w:ascii="宋体" w:hAnsi="宋体" w:hint="eastAsia"/>
        </w:rPr>
        <w:t>本报告期摩根</w:t>
      </w:r>
      <w:r>
        <w:rPr>
          <w:rFonts w:ascii="宋体" w:hAnsi="宋体" w:hint="eastAsia"/>
        </w:rPr>
        <w:t>MSCI</w:t>
      </w:r>
      <w:r>
        <w:rPr>
          <w:rFonts w:ascii="宋体" w:hAnsi="宋体" w:hint="eastAsia"/>
        </w:rPr>
        <w:t>中国</w:t>
      </w:r>
      <w:r>
        <w:rPr>
          <w:rFonts w:ascii="宋体" w:hAnsi="宋体" w:hint="eastAsia"/>
        </w:rPr>
        <w:t>A</w:t>
      </w:r>
      <w:r>
        <w:rPr>
          <w:rFonts w:ascii="宋体" w:hAnsi="宋体" w:hint="eastAsia"/>
        </w:rPr>
        <w:t>股</w:t>
      </w:r>
      <w:r>
        <w:rPr>
          <w:rFonts w:ascii="宋体" w:hAnsi="宋体" w:hint="eastAsia"/>
        </w:rPr>
        <w:t>ETF</w:t>
      </w:r>
      <w:r>
        <w:rPr>
          <w:rFonts w:ascii="宋体" w:hAnsi="宋体" w:hint="eastAsia"/>
        </w:rPr>
        <w:t>联接</w:t>
      </w:r>
      <w:r>
        <w:rPr>
          <w:rFonts w:ascii="宋体" w:hAnsi="宋体" w:hint="eastAsia"/>
        </w:rPr>
        <w:t>A</w:t>
      </w:r>
      <w:r>
        <w:rPr>
          <w:rFonts w:ascii="宋体" w:hAnsi="宋体" w:hint="eastAsia"/>
        </w:rPr>
        <w:t>份额净值增长率为：</w:t>
      </w:r>
      <w:r>
        <w:rPr>
          <w:rFonts w:ascii="宋体" w:hAnsi="宋体" w:hint="eastAsia"/>
        </w:rPr>
        <w:t>11.92%</w:t>
      </w:r>
      <w:r>
        <w:rPr>
          <w:rFonts w:ascii="宋体" w:hAnsi="宋体" w:hint="eastAsia"/>
        </w:rPr>
        <w:t>，同期业绩比较基准收益率为：</w:t>
      </w:r>
      <w:r>
        <w:rPr>
          <w:rFonts w:ascii="宋体" w:hAnsi="宋体" w:hint="eastAsia"/>
        </w:rPr>
        <w:t>11.15%</w:t>
      </w:r>
      <w:r>
        <w:rPr>
          <w:rFonts w:ascii="宋体" w:hAnsi="宋体" w:hint="eastAsia"/>
        </w:rPr>
        <w:t>；</w:t>
      </w:r>
      <w:r>
        <w:rPr>
          <w:rFonts w:ascii="宋体" w:hAnsi="宋体" w:hint="eastAsia"/>
        </w:rPr>
        <w:br/>
      </w:r>
      <w:r>
        <w:rPr>
          <w:rFonts w:ascii="宋体" w:hAnsi="宋体" w:hint="eastAsia"/>
        </w:rPr>
        <w:t xml:space="preserve">　　摩根</w:t>
      </w:r>
      <w:r>
        <w:rPr>
          <w:rFonts w:ascii="宋体" w:hAnsi="宋体" w:hint="eastAsia"/>
        </w:rPr>
        <w:t>MSCI</w:t>
      </w:r>
      <w:r>
        <w:rPr>
          <w:rFonts w:ascii="宋体" w:hAnsi="宋体" w:hint="eastAsia"/>
        </w:rPr>
        <w:t>中国</w:t>
      </w:r>
      <w:r>
        <w:rPr>
          <w:rFonts w:ascii="宋体" w:hAnsi="宋体" w:hint="eastAsia"/>
        </w:rPr>
        <w:t>A</w:t>
      </w:r>
      <w:r>
        <w:rPr>
          <w:rFonts w:ascii="宋体" w:hAnsi="宋体" w:hint="eastAsia"/>
        </w:rPr>
        <w:t>股</w:t>
      </w:r>
      <w:r>
        <w:rPr>
          <w:rFonts w:ascii="宋体" w:hAnsi="宋体" w:hint="eastAsia"/>
        </w:rPr>
        <w:t>ETF</w:t>
      </w:r>
      <w:r>
        <w:rPr>
          <w:rFonts w:ascii="宋体" w:hAnsi="宋体" w:hint="eastAsia"/>
        </w:rPr>
        <w:t>联接</w:t>
      </w:r>
      <w:r>
        <w:rPr>
          <w:rFonts w:ascii="宋体" w:hAnsi="宋体" w:hint="eastAsia"/>
        </w:rPr>
        <w:t>C</w:t>
      </w:r>
      <w:r>
        <w:rPr>
          <w:rFonts w:ascii="宋体" w:hAnsi="宋体" w:hint="eastAsia"/>
        </w:rPr>
        <w:t>份额净值增长率为：</w:t>
      </w:r>
      <w:r>
        <w:rPr>
          <w:rFonts w:ascii="宋体" w:hAnsi="宋体" w:hint="eastAsia"/>
        </w:rPr>
        <w:t>11.89%</w:t>
      </w:r>
      <w:r>
        <w:rPr>
          <w:rFonts w:ascii="宋体" w:hAnsi="宋体" w:hint="eastAsia"/>
        </w:rPr>
        <w:t>，同期业绩比较基准收益率为：</w:t>
      </w:r>
      <w:r>
        <w:rPr>
          <w:rFonts w:ascii="宋体" w:hAnsi="宋体" w:hint="eastAsia"/>
        </w:rPr>
        <w:t>11.15%</w:t>
      </w:r>
      <w:r>
        <w:rPr>
          <w:rFonts w:ascii="宋体" w:hAnsi="宋体" w:hint="eastAsia"/>
        </w:rPr>
        <w:t>。</w:t>
      </w:r>
    </w:p>
    <w:p w:rsidR="006F7D2D" w:rsidRDefault="006F7D2D">
      <w:pPr>
        <w:pStyle w:val="XBRLTitle2"/>
        <w:spacing w:before="156"/>
        <w:ind w:left="454"/>
      </w:pPr>
      <w:bookmarkStart w:id="130" w:name="m406"/>
      <w:bookmarkStart w:id="131" w:name="_Toc17881682"/>
      <w:bookmarkStart w:id="132" w:name="_Toc466644464"/>
      <w:bookmarkStart w:id="133" w:name="_Toc447872926"/>
      <w:bookmarkStart w:id="134" w:name="_Toc438646465"/>
      <w:bookmarkStart w:id="135" w:name="_Toc492299878"/>
      <w:bookmarkStart w:id="136" w:name="_Toc512627226"/>
      <w:bookmarkStart w:id="137" w:name="_Toc512694306"/>
      <w:bookmarkStart w:id="138" w:name="m407"/>
      <w:bookmarkEnd w:id="130"/>
      <w:r>
        <w:rPr>
          <w:rFonts w:hAnsi="宋体" w:hint="eastAsia"/>
        </w:rPr>
        <w:t>报告期内基金持有人数或基金资产净值预警说</w:t>
      </w:r>
      <w:r>
        <w:rPr>
          <w:rFonts w:hAnsi="宋体" w:hint="eastAsia"/>
        </w:rPr>
        <w:t>明</w:t>
      </w:r>
      <w:bookmarkEnd w:id="131"/>
      <w:bookmarkEnd w:id="132"/>
      <w:bookmarkEnd w:id="133"/>
      <w:bookmarkEnd w:id="134"/>
      <w:bookmarkEnd w:id="135"/>
      <w:bookmarkEnd w:id="136"/>
      <w:bookmarkEnd w:id="137"/>
      <w:r>
        <w:rPr>
          <w:rFonts w:hAnsi="宋体" w:hint="eastAsia"/>
        </w:rPr>
        <w:t xml:space="preserve"> </w:t>
      </w:r>
    </w:p>
    <w:p w:rsidR="006F7D2D" w:rsidRDefault="006F7D2D">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6F7D2D" w:rsidRDefault="006F7D2D">
      <w:pPr>
        <w:pStyle w:val="XBRLTitle1"/>
        <w:spacing w:before="156"/>
        <w:ind w:left="425"/>
      </w:pPr>
      <w:bookmarkStart w:id="139" w:name="_Toc17881683"/>
      <w:bookmarkStart w:id="140" w:name="_Toc492299879"/>
      <w:bookmarkStart w:id="141" w:name="_Toc466644465"/>
      <w:bookmarkStart w:id="142" w:name="_Toc447872927"/>
      <w:bookmarkStart w:id="143" w:name="_Toc438646466"/>
      <w:bookmarkStart w:id="144" w:name="_Toc512627227"/>
      <w:bookmarkStart w:id="145" w:name="_Toc512694307"/>
      <w:bookmarkEnd w:id="138"/>
      <w:r>
        <w:rPr>
          <w:rFonts w:hAnsi="宋体" w:hint="eastAsia"/>
        </w:rPr>
        <w:t>投资组合报</w:t>
      </w:r>
      <w:r>
        <w:rPr>
          <w:rFonts w:hAnsi="宋体" w:hint="eastAsia"/>
        </w:rPr>
        <w:t>告</w:t>
      </w:r>
      <w:bookmarkEnd w:id="139"/>
      <w:bookmarkEnd w:id="140"/>
      <w:bookmarkEnd w:id="141"/>
      <w:bookmarkEnd w:id="142"/>
      <w:bookmarkEnd w:id="143"/>
      <w:bookmarkEnd w:id="144"/>
      <w:bookmarkEnd w:id="145"/>
      <w:r>
        <w:rPr>
          <w:rFonts w:hAnsi="宋体" w:hint="eastAsia"/>
        </w:rPr>
        <w:t xml:space="preserve"> </w:t>
      </w:r>
    </w:p>
    <w:p w:rsidR="006F7D2D" w:rsidRDefault="006F7D2D">
      <w:pPr>
        <w:pStyle w:val="XBRLTitle2"/>
        <w:spacing w:before="156"/>
        <w:ind w:left="454"/>
        <w:rPr>
          <w:rFonts w:hint="eastAsia"/>
        </w:rPr>
      </w:pPr>
      <w:bookmarkStart w:id="146" w:name="_Toc17881684"/>
      <w:bookmarkStart w:id="147" w:name="_Toc512627228"/>
      <w:bookmarkStart w:id="148" w:name="_Toc492299880"/>
      <w:bookmarkStart w:id="149" w:name="_Toc466644466"/>
      <w:bookmarkStart w:id="150" w:name="_Toc447872928"/>
      <w:bookmarkStart w:id="151" w:name="_Toc438646467"/>
      <w:bookmarkStart w:id="152" w:name="_Toc512694308"/>
      <w:bookmarkStart w:id="153" w:name="m501"/>
      <w:r>
        <w:rPr>
          <w:rFonts w:hAnsi="宋体" w:hint="eastAsia"/>
        </w:rPr>
        <w:t>报告期末基金资产组合情</w:t>
      </w:r>
      <w:r>
        <w:rPr>
          <w:rFonts w:hAnsi="宋体" w:hint="eastAsia"/>
        </w:rPr>
        <w:t>况</w:t>
      </w:r>
      <w:bookmarkEnd w:id="146"/>
      <w:bookmarkEnd w:id="147"/>
      <w:bookmarkEnd w:id="148"/>
      <w:bookmarkEnd w:id="149"/>
      <w:bookmarkEnd w:id="150"/>
      <w:bookmarkEnd w:id="151"/>
      <w:bookmarkEnd w:id="15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rPr>
                <w:rFonts w:hint="eastAsia"/>
              </w:rPr>
            </w:pPr>
            <w:bookmarkStart w:id="154" w:name="m08QD_01_tab"/>
            <w:bookmarkEnd w:id="15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29,017,386.6</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94.4</w:t>
            </w:r>
            <w:r>
              <w:rPr>
                <w:rFonts w:ascii="宋体" w:hAnsi="宋体" w:hint="eastAsia"/>
                <w:szCs w:val="24"/>
                <w:lang w:eastAsia="zh-Hans"/>
              </w:rPr>
              <w:t>0</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101,262.5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101,262.5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1,591,440.4</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5.1</w:t>
            </w:r>
            <w:r>
              <w:rPr>
                <w:rFonts w:ascii="宋体" w:hAnsi="宋体" w:hint="eastAsia"/>
                <w:szCs w:val="24"/>
                <w:lang w:eastAsia="zh-Hans"/>
              </w:rPr>
              <w:t>8</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28,131.8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0.0</w:t>
            </w:r>
            <w:r>
              <w:rPr>
                <w:rFonts w:ascii="宋体" w:hAnsi="宋体" w:hint="eastAsia"/>
                <w:szCs w:val="24"/>
                <w:lang w:eastAsia="zh-Hans"/>
              </w:rPr>
              <w:t>9</w:t>
            </w:r>
          </w:p>
        </w:tc>
      </w:tr>
      <w:tr w:rsidR="00000000">
        <w:trPr>
          <w:divId w:val="51461107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F7D2D" w:rsidRDefault="006F7D2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30,738,221.5</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100.0</w:t>
            </w:r>
            <w:r>
              <w:rPr>
                <w:rFonts w:ascii="宋体" w:hAnsi="宋体" w:hint="eastAsia"/>
                <w:szCs w:val="24"/>
                <w:lang w:eastAsia="zh-Hans"/>
              </w:rPr>
              <w:t>0</w:t>
            </w:r>
          </w:p>
        </w:tc>
      </w:tr>
    </w:tbl>
    <w:p w:rsidR="006F7D2D" w:rsidRDefault="006F7D2D">
      <w:pPr>
        <w:pStyle w:val="XBRLTitle2"/>
        <w:spacing w:before="156"/>
        <w:ind w:left="454"/>
      </w:pPr>
      <w:bookmarkStart w:id="155" w:name="_Toc17881685"/>
      <w:bookmarkStart w:id="156" w:name="_Toc492299881"/>
      <w:bookmarkStart w:id="157" w:name="_Toc438646468"/>
      <w:bookmarkStart w:id="158" w:name="_Toc475467580"/>
      <w:bookmarkStart w:id="159" w:name="_Toc512627229"/>
      <w:bookmarkStart w:id="160" w:name="_Toc512694309"/>
      <w:bookmarkEnd w:id="153"/>
      <w:r>
        <w:rPr>
          <w:rFonts w:hAnsi="宋体" w:hint="eastAsia"/>
        </w:rPr>
        <w:t>报告期末按行业分类的股票投资组</w:t>
      </w:r>
      <w:r>
        <w:rPr>
          <w:rFonts w:hAnsi="宋体" w:hint="eastAsia"/>
        </w:rPr>
        <w:t>合</w:t>
      </w:r>
      <w:bookmarkEnd w:id="155"/>
      <w:r>
        <w:rPr>
          <w:rFonts w:hAnsi="宋体" w:hint="eastAsia"/>
          <w:lang w:eastAsia="zh-CN"/>
        </w:rPr>
        <w:t xml:space="preserve"> </w:t>
      </w:r>
    </w:p>
    <w:p w:rsidR="006F7D2D" w:rsidRDefault="006F7D2D">
      <w:pPr>
        <w:pStyle w:val="XBRLTitle3"/>
        <w:numPr>
          <w:ilvl w:val="2"/>
          <w:numId w:val="2"/>
        </w:numPr>
        <w:spacing w:before="156"/>
        <w:ind w:left="0" w:firstLine="0"/>
        <w:rPr>
          <w:rFonts w:hint="eastAsia"/>
        </w:rPr>
      </w:pPr>
      <w:bookmarkStart w:id="161" w:name="_Toc17881686"/>
      <w:bookmarkStart w:id="162" w:name="_Toc492299882"/>
      <w:bookmarkStart w:id="163" w:name="_Toc475467581"/>
      <w:r>
        <w:rPr>
          <w:rFonts w:hAnsi="宋体" w:hint="eastAsia"/>
        </w:rPr>
        <w:t>报告期末按行业分类的境内股票投资组</w:t>
      </w:r>
      <w:r>
        <w:rPr>
          <w:rFonts w:hAnsi="宋体" w:hint="eastAsia"/>
        </w:rPr>
        <w:t>合</w:t>
      </w:r>
      <w:bookmarkEnd w:id="161"/>
      <w:r>
        <w:rPr>
          <w:rFonts w:hint="eastAsia"/>
          <w:lang w:eastAsia="zh-CN"/>
        </w:rPr>
        <w:t xml:space="preserve"> </w:t>
      </w:r>
    </w:p>
    <w:p w:rsidR="006F7D2D" w:rsidRDefault="006F7D2D">
      <w:pPr>
        <w:spacing w:line="360" w:lineRule="auto"/>
        <w:ind w:firstLineChars="200" w:firstLine="420"/>
        <w:divId w:val="306592865"/>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6F7D2D" w:rsidRDefault="006F7D2D">
      <w:pPr>
        <w:pStyle w:val="XBRLTitle3"/>
        <w:numPr>
          <w:ilvl w:val="2"/>
          <w:numId w:val="2"/>
        </w:numPr>
        <w:spacing w:before="156"/>
        <w:ind w:left="0" w:firstLine="0"/>
      </w:pPr>
      <w:bookmarkStart w:id="164" w:name="_Toc17881687"/>
      <w:bookmarkStart w:id="165" w:name="_Toc492299883"/>
      <w:bookmarkStart w:id="166" w:name="_Toc475467582"/>
      <w:bookmarkStart w:id="167" w:name="m502_tab"/>
      <w:r>
        <w:rPr>
          <w:rFonts w:hAnsi="宋体" w:hint="eastAsia"/>
        </w:rPr>
        <w:t>报告期末按行业分类的港股通投资股票投资组</w:t>
      </w:r>
      <w:r>
        <w:rPr>
          <w:rFonts w:hAnsi="宋体" w:hint="eastAsia"/>
        </w:rPr>
        <w:t>合</w:t>
      </w:r>
      <w:bookmarkEnd w:id="164"/>
      <w:bookmarkEnd w:id="165"/>
      <w:bookmarkEnd w:id="166"/>
      <w:r>
        <w:rPr>
          <w:rFonts w:hint="eastAsia"/>
          <w:szCs w:val="24"/>
        </w:rPr>
        <w:t xml:space="preserve"> </w:t>
      </w:r>
    </w:p>
    <w:p w:rsidR="006F7D2D" w:rsidRDefault="006F7D2D">
      <w:pPr>
        <w:spacing w:line="360" w:lineRule="auto"/>
        <w:ind w:firstLineChars="200" w:firstLine="420"/>
        <w:divId w:val="178442024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6F7D2D" w:rsidRDefault="006F7D2D">
      <w:pPr>
        <w:pStyle w:val="XBRLTitle2"/>
        <w:spacing w:before="156"/>
        <w:ind w:left="454"/>
      </w:pPr>
      <w:bookmarkStart w:id="168" w:name="_Toc1788168512"/>
      <w:r>
        <w:rPr>
          <w:rFonts w:hAnsi="宋体" w:hint="eastAsia"/>
        </w:rPr>
        <w:t>期末按公允价值占基金资产净值比例大小排序的股票投资明</w:t>
      </w:r>
      <w:r>
        <w:rPr>
          <w:rFonts w:hAnsi="宋体" w:hint="eastAsia"/>
        </w:rPr>
        <w:t>细</w:t>
      </w:r>
      <w:bookmarkEnd w:id="156"/>
      <w:bookmarkEnd w:id="157"/>
      <w:bookmarkEnd w:id="158"/>
      <w:bookmarkEnd w:id="159"/>
      <w:bookmarkEnd w:id="160"/>
      <w:bookmarkEnd w:id="168"/>
      <w:r>
        <w:rPr>
          <w:rFonts w:hAnsi="宋体" w:hint="eastAsia"/>
          <w:lang w:eastAsia="zh-CN"/>
        </w:rPr>
        <w:t xml:space="preserve"> </w:t>
      </w:r>
    </w:p>
    <w:p w:rsidR="006F7D2D" w:rsidRDefault="006F7D2D">
      <w:pPr>
        <w:pStyle w:val="XBRLTitle3"/>
        <w:numPr>
          <w:ilvl w:val="2"/>
          <w:numId w:val="2"/>
        </w:numPr>
        <w:spacing w:before="156"/>
        <w:ind w:left="0" w:firstLine="0"/>
        <w:rPr>
          <w:rFonts w:hint="eastAsia"/>
        </w:rPr>
      </w:pPr>
      <w:bookmarkStart w:id="169" w:name="_Toc1788168513"/>
      <w:r>
        <w:rPr>
          <w:rFonts w:hAnsi="宋体" w:hint="eastAsia"/>
        </w:rPr>
        <w:t>报告期末按公允价值占基金资产净值比例大小排序的前十名股票投资明</w:t>
      </w:r>
      <w:r>
        <w:rPr>
          <w:rFonts w:hAnsi="宋体" w:hint="eastAsia"/>
        </w:rPr>
        <w:t>细</w:t>
      </w:r>
      <w:bookmarkEnd w:id="162"/>
      <w:bookmarkEnd w:id="163"/>
      <w:bookmarkEnd w:id="169"/>
      <w:r>
        <w:rPr>
          <w:rFonts w:hint="eastAsia"/>
          <w:lang w:eastAsia="zh-CN"/>
        </w:rPr>
        <w:t xml:space="preserve"> </w:t>
      </w:r>
    </w:p>
    <w:p w:rsidR="006F7D2D" w:rsidRDefault="006F7D2D">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6F7D2D" w:rsidRDefault="006F7D2D">
      <w:pPr>
        <w:pStyle w:val="XBRLTitle2"/>
        <w:spacing w:before="156"/>
        <w:ind w:left="454"/>
      </w:pPr>
      <w:bookmarkStart w:id="170" w:name="_Toc17881689"/>
      <w:bookmarkStart w:id="171" w:name="_Toc512627231"/>
      <w:bookmarkStart w:id="172" w:name="_Toc492299885"/>
      <w:bookmarkStart w:id="173" w:name="_Toc466644469"/>
      <w:bookmarkStart w:id="174" w:name="_Toc447872931"/>
      <w:bookmarkStart w:id="175" w:name="_Toc438646471"/>
      <w:bookmarkStart w:id="176" w:name="_Toc512694311"/>
      <w:bookmarkStart w:id="177" w:name="m505"/>
      <w:bookmarkEnd w:id="167"/>
      <w:r>
        <w:rPr>
          <w:rFonts w:hAnsi="宋体" w:hint="eastAsia"/>
        </w:rPr>
        <w:t>报告期末按债券品种分类的债券投资组</w:t>
      </w:r>
      <w:r>
        <w:rPr>
          <w:rFonts w:hAnsi="宋体" w:hint="eastAsia"/>
        </w:rPr>
        <w:t>合</w:t>
      </w:r>
      <w:bookmarkEnd w:id="170"/>
      <w:bookmarkEnd w:id="171"/>
      <w:bookmarkEnd w:id="172"/>
      <w:bookmarkEnd w:id="173"/>
      <w:bookmarkEnd w:id="174"/>
      <w:bookmarkEnd w:id="175"/>
      <w:bookmarkEnd w:id="17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101,262.5</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w:t>
            </w:r>
          </w:p>
        </w:tc>
      </w:tr>
      <w:tr w:rsidR="00000000">
        <w:trPr>
          <w:divId w:val="15509894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6F7D2D" w:rsidRDefault="006F7D2D">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101,262.5</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6F7D2D" w:rsidRDefault="006F7D2D">
            <w:pPr>
              <w:jc w:val="right"/>
            </w:pPr>
            <w:r>
              <w:rPr>
                <w:rFonts w:ascii="宋体" w:hAnsi="宋体" w:hint="eastAsia"/>
                <w:szCs w:val="24"/>
                <w:lang w:eastAsia="zh-Hans"/>
              </w:rPr>
              <w:t>0.3</w:t>
            </w:r>
            <w:r>
              <w:rPr>
                <w:rFonts w:ascii="宋体" w:hAnsi="宋体" w:hint="eastAsia"/>
                <w:szCs w:val="24"/>
                <w:lang w:eastAsia="zh-Hans"/>
              </w:rPr>
              <w:t>3</w:t>
            </w:r>
          </w:p>
        </w:tc>
      </w:tr>
    </w:tbl>
    <w:p w:rsidR="006F7D2D" w:rsidRDefault="006F7D2D">
      <w:pPr>
        <w:pStyle w:val="XBRLTitle2"/>
        <w:spacing w:before="156"/>
        <w:ind w:left="454"/>
      </w:pPr>
      <w:bookmarkStart w:id="178" w:name="_Toc17881690"/>
      <w:bookmarkStart w:id="179" w:name="_Toc512627232"/>
      <w:bookmarkStart w:id="180" w:name="_Toc492299886"/>
      <w:bookmarkStart w:id="181" w:name="_Toc466644470"/>
      <w:bookmarkStart w:id="182" w:name="_Toc447872932"/>
      <w:bookmarkStart w:id="183" w:name="_Toc438646472"/>
      <w:bookmarkStart w:id="184" w:name="_Toc512694312"/>
      <w:bookmarkStart w:id="185" w:name="m506"/>
      <w:bookmarkEnd w:id="177"/>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78"/>
      <w:bookmarkEnd w:id="179"/>
      <w:bookmarkEnd w:id="180"/>
      <w:bookmarkEnd w:id="181"/>
      <w:bookmarkEnd w:id="182"/>
      <w:bookmarkEnd w:id="183"/>
      <w:bookmarkEnd w:id="18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6445631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6445631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10231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szCs w:val="24"/>
                <w:lang w:eastAsia="zh-Hans"/>
              </w:rPr>
              <w:t>国债</w:t>
            </w:r>
            <w:r>
              <w:rPr>
                <w:rFonts w:ascii="宋体" w:hAnsi="宋体" w:hint="eastAsia"/>
                <w:szCs w:val="24"/>
                <w:lang w:eastAsia="zh-Hans"/>
              </w:rPr>
              <w:t>251</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szCs w:val="24"/>
                <w:lang w:eastAsia="zh-Hans"/>
              </w:rPr>
              <w:t>101,262.5</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szCs w:val="24"/>
                <w:lang w:eastAsia="zh-Hans"/>
              </w:rPr>
              <w:t>0.3</w:t>
            </w:r>
            <w:r>
              <w:rPr>
                <w:rFonts w:ascii="宋体" w:hAnsi="宋体" w:hint="eastAsia"/>
                <w:szCs w:val="24"/>
                <w:lang w:eastAsia="zh-Hans"/>
              </w:rPr>
              <w:t>3</w:t>
            </w:r>
          </w:p>
        </w:tc>
      </w:tr>
    </w:tbl>
    <w:p w:rsidR="006F7D2D" w:rsidRDefault="006F7D2D">
      <w:pPr>
        <w:pStyle w:val="XBRLTitle2"/>
        <w:spacing w:before="156"/>
        <w:ind w:left="454"/>
      </w:pPr>
      <w:bookmarkStart w:id="186" w:name="_Toc17881691"/>
      <w:bookmarkStart w:id="187" w:name="_Toc512627233"/>
      <w:bookmarkStart w:id="188" w:name="_Toc492299887"/>
      <w:bookmarkStart w:id="189" w:name="_Toc466644471"/>
      <w:bookmarkStart w:id="190" w:name="_Toc447872933"/>
      <w:bookmarkStart w:id="191" w:name="_Toc438646473"/>
      <w:bookmarkStart w:id="192" w:name="_Toc512694313"/>
      <w:bookmarkStart w:id="193" w:name="m507"/>
      <w:bookmarkEnd w:id="185"/>
      <w:r>
        <w:rPr>
          <w:rFonts w:hAnsi="宋体" w:hint="eastAsia"/>
        </w:rPr>
        <w:t>报告期末按公允价值占基金资产净值比例大小排序的前十名资产支持证券投资明</w:t>
      </w:r>
      <w:r>
        <w:rPr>
          <w:rFonts w:hAnsi="宋体" w:hint="eastAsia"/>
        </w:rPr>
        <w:t>细</w:t>
      </w:r>
      <w:bookmarkEnd w:id="186"/>
      <w:bookmarkEnd w:id="187"/>
      <w:bookmarkEnd w:id="188"/>
      <w:bookmarkEnd w:id="189"/>
      <w:bookmarkEnd w:id="190"/>
      <w:bookmarkEnd w:id="191"/>
      <w:bookmarkEnd w:id="192"/>
      <w:r>
        <w:rPr>
          <w:rFonts w:hAnsi="宋体" w:hint="eastAsia"/>
        </w:rPr>
        <w:t xml:space="preserve"> </w:t>
      </w:r>
    </w:p>
    <w:p w:rsidR="006F7D2D" w:rsidRDefault="006F7D2D">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F7D2D" w:rsidRDefault="006F7D2D">
      <w:pPr>
        <w:pStyle w:val="XBRLTitle2"/>
        <w:spacing w:before="156"/>
        <w:ind w:left="454"/>
      </w:pPr>
      <w:bookmarkStart w:id="194" w:name="_Toc17881692"/>
      <w:bookmarkStart w:id="195" w:name="_Toc512627234"/>
      <w:bookmarkStart w:id="196" w:name="_Toc492299888"/>
      <w:bookmarkStart w:id="197" w:name="_Toc466644472"/>
      <w:bookmarkStart w:id="198" w:name="_Toc447872934"/>
      <w:bookmarkStart w:id="199" w:name="_Toc438646474"/>
      <w:bookmarkStart w:id="200" w:name="_Toc512694314"/>
      <w:bookmarkStart w:id="201" w:name="m508"/>
      <w:bookmarkEnd w:id="19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94"/>
      <w:bookmarkEnd w:id="195"/>
      <w:bookmarkEnd w:id="196"/>
      <w:bookmarkEnd w:id="197"/>
      <w:bookmarkEnd w:id="198"/>
      <w:bookmarkEnd w:id="199"/>
      <w:bookmarkEnd w:id="200"/>
      <w:r>
        <w:rPr>
          <w:rFonts w:hAnsi="宋体" w:hint="eastAsia"/>
        </w:rPr>
        <w:t xml:space="preserve"> </w:t>
      </w:r>
    </w:p>
    <w:p w:rsidR="006F7D2D" w:rsidRDefault="006F7D2D">
      <w:pPr>
        <w:spacing w:line="360" w:lineRule="auto"/>
        <w:ind w:firstLineChars="200" w:firstLine="420"/>
        <w:divId w:val="41054099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F7D2D" w:rsidRDefault="006F7D2D">
      <w:pPr>
        <w:pStyle w:val="XBRLTitle2"/>
        <w:spacing w:before="156"/>
        <w:ind w:left="454"/>
      </w:pPr>
      <w:bookmarkStart w:id="202" w:name="_Toc17881693"/>
      <w:bookmarkStart w:id="203" w:name="_Toc512627235"/>
      <w:bookmarkStart w:id="204" w:name="_Toc492299889"/>
      <w:bookmarkStart w:id="205" w:name="_Toc466644473"/>
      <w:bookmarkStart w:id="206" w:name="_Toc447872935"/>
      <w:bookmarkStart w:id="207" w:name="_Toc438646475"/>
      <w:bookmarkStart w:id="208" w:name="_Toc512694315"/>
      <w:bookmarkStart w:id="209" w:name="m509"/>
      <w:bookmarkEnd w:id="201"/>
      <w:r>
        <w:rPr>
          <w:rFonts w:hAnsi="宋体" w:hint="eastAsia"/>
        </w:rPr>
        <w:t>报告期末按公允价值占基金资产净值比例大小排序的前</w:t>
      </w:r>
      <w:r>
        <w:rPr>
          <w:rFonts w:hAnsi="宋体" w:hint="eastAsia"/>
          <w:lang w:eastAsia="zh-CN"/>
        </w:rPr>
        <w:t>五</w:t>
      </w:r>
      <w:r>
        <w:rPr>
          <w:rFonts w:hAnsi="宋体" w:hint="eastAsia"/>
        </w:rPr>
        <w:t>名</w:t>
      </w:r>
      <w:r>
        <w:rPr>
          <w:rFonts w:hAnsi="宋体" w:hint="eastAsia"/>
          <w:lang w:eastAsia="zh-CN"/>
        </w:rPr>
        <w:t>权</w:t>
      </w:r>
      <w:r>
        <w:rPr>
          <w:rFonts w:hAnsi="宋体" w:hint="eastAsia"/>
          <w:lang w:eastAsia="zh-CN"/>
        </w:rPr>
        <w:t>证</w:t>
      </w:r>
      <w:r>
        <w:rPr>
          <w:rFonts w:hAnsi="宋体" w:hint="eastAsia"/>
        </w:rPr>
        <w:t>投资明</w:t>
      </w:r>
      <w:r>
        <w:rPr>
          <w:rFonts w:hAnsi="宋体" w:hint="eastAsia"/>
        </w:rPr>
        <w:t>细</w:t>
      </w:r>
      <w:bookmarkEnd w:id="202"/>
      <w:bookmarkEnd w:id="203"/>
      <w:bookmarkEnd w:id="204"/>
      <w:bookmarkEnd w:id="205"/>
      <w:bookmarkEnd w:id="206"/>
      <w:bookmarkEnd w:id="207"/>
      <w:bookmarkEnd w:id="208"/>
      <w:r>
        <w:rPr>
          <w:rFonts w:hAnsi="宋体" w:hint="eastAsia"/>
        </w:rPr>
        <w:t xml:space="preserve"> </w:t>
      </w:r>
    </w:p>
    <w:p w:rsidR="006F7D2D" w:rsidRDefault="006F7D2D">
      <w:pPr>
        <w:spacing w:line="360" w:lineRule="auto"/>
        <w:ind w:firstLineChars="200" w:firstLine="420"/>
        <w:divId w:val="55878251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F7D2D" w:rsidRDefault="006F7D2D">
      <w:pPr>
        <w:pStyle w:val="XBRLTitle2"/>
        <w:spacing w:before="156"/>
        <w:ind w:left="454"/>
      </w:pPr>
      <w:bookmarkStart w:id="210" w:name="_Toc17881694"/>
      <w:bookmarkStart w:id="211" w:name="_Toc512627236"/>
      <w:bookmarkStart w:id="212" w:name="_Toc492299890"/>
      <w:bookmarkStart w:id="213" w:name="_Toc466644474"/>
      <w:bookmarkStart w:id="214" w:name="_Toc512694316"/>
      <w:r>
        <w:rPr>
          <w:rFonts w:hAnsi="宋体" w:hint="eastAsia"/>
          <w:kern w:val="2"/>
        </w:rPr>
        <w:t>报告期末按公允价值占基金资产净值比例大小排序的前十名基金投资明</w:t>
      </w:r>
      <w:r>
        <w:rPr>
          <w:rFonts w:hAnsi="宋体" w:hint="eastAsia"/>
          <w:kern w:val="2"/>
        </w:rPr>
        <w:t>细</w:t>
      </w:r>
      <w:bookmarkEnd w:id="210"/>
      <w:bookmarkEnd w:id="211"/>
      <w:bookmarkEnd w:id="212"/>
      <w:bookmarkEnd w:id="213"/>
      <w:bookmarkEnd w:id="21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56"/>
        <w:gridCol w:w="1163"/>
        <w:gridCol w:w="1150"/>
        <w:gridCol w:w="1228"/>
        <w:gridCol w:w="1202"/>
        <w:gridCol w:w="1581"/>
        <w:gridCol w:w="1355"/>
      </w:tblGrid>
      <w:tr w:rsidR="00000000">
        <w:trPr>
          <w:divId w:val="788164198"/>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ind w:firstLineChars="50" w:firstLine="105"/>
              <w:jc w:val="center"/>
              <w:rPr>
                <w:rFonts w:hint="eastAsia"/>
              </w:rPr>
            </w:pPr>
            <w:bookmarkStart w:id="215" w:name="OLE_LINK45"/>
            <w:bookmarkStart w:id="216" w:name="OLE_LINK46"/>
            <w:bookmarkStart w:id="217" w:name="m08QD_10"/>
            <w:bookmarkStart w:id="218" w:name="OLE_LINK42"/>
            <w:bookmarkStart w:id="219"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公允价值（元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788164198"/>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lang w:eastAsia="zh-Hans"/>
              </w:rPr>
              <w:t>摩根</w:t>
            </w:r>
            <w:r>
              <w:rPr>
                <w:rFonts w:hint="eastAsia"/>
                <w:kern w:val="2"/>
                <w:sz w:val="21"/>
                <w:lang w:eastAsia="zh-Hans"/>
              </w:rPr>
              <w:t>MSCI</w:t>
            </w:r>
            <w:r>
              <w:rPr>
                <w:rFonts w:hint="eastAsia"/>
                <w:kern w:val="2"/>
                <w:sz w:val="21"/>
                <w:lang w:eastAsia="zh-Hans"/>
              </w:rPr>
              <w:t>中国</w:t>
            </w:r>
            <w:r>
              <w:rPr>
                <w:rFonts w:hint="eastAsia"/>
                <w:kern w:val="2"/>
                <w:sz w:val="21"/>
                <w:lang w:eastAsia="zh-Hans"/>
              </w:rPr>
              <w:t>A</w:t>
            </w:r>
            <w:r>
              <w:rPr>
                <w:rFonts w:hint="eastAsia"/>
                <w:kern w:val="2"/>
                <w:sz w:val="21"/>
                <w:lang w:eastAsia="zh-Hans"/>
              </w:rPr>
              <w:t>股</w:t>
            </w:r>
            <w:r>
              <w:rPr>
                <w:rFonts w:hint="eastAsia"/>
                <w:kern w:val="2"/>
                <w:sz w:val="21"/>
                <w:lang w:eastAsia="zh-Hans"/>
              </w:rPr>
              <w:t>ET</w:t>
            </w:r>
            <w:r>
              <w:rPr>
                <w:rFonts w:hint="eastAsia"/>
                <w:kern w:val="2"/>
                <w:sz w:val="21"/>
                <w:lang w:eastAsia="zh-Hans"/>
              </w:rPr>
              <w: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lang w:eastAsia="zh-Hans"/>
              </w:rPr>
              <w:t>股票</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lang w:eastAsia="zh-Hans"/>
              </w:rPr>
              <w:t>交易型开放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center"/>
              <w:rPr>
                <w:rFonts w:hint="eastAsia"/>
              </w:rPr>
            </w:pPr>
            <w:r>
              <w:rPr>
                <w:rFonts w:hint="eastAsia"/>
                <w:kern w:val="2"/>
                <w:sz w:val="21"/>
                <w:lang w:eastAsia="zh-Hans"/>
              </w:rPr>
              <w:t>摩根基金管理（中国）有限公</w:t>
            </w:r>
            <w:r>
              <w:rPr>
                <w:rFonts w:hint="eastAsia"/>
                <w:kern w:val="2"/>
                <w:sz w:val="21"/>
                <w:lang w:eastAsia="zh-Hans"/>
              </w:rPr>
              <w:t>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right"/>
              <w:rPr>
                <w:rFonts w:hint="eastAsia"/>
              </w:rPr>
            </w:pPr>
            <w:r>
              <w:rPr>
                <w:rFonts w:hint="eastAsia"/>
                <w:kern w:val="2"/>
                <w:sz w:val="21"/>
                <w:lang w:eastAsia="zh-Hans"/>
              </w:rPr>
              <w:t>29,017,386.6</w:t>
            </w:r>
            <w:r>
              <w:rPr>
                <w:rFonts w:hint="eastAsia"/>
                <w:kern w:val="2"/>
                <w:sz w:val="21"/>
                <w:lang w:eastAsia="zh-Hans"/>
              </w:rPr>
              <w:t>0</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F7D2D" w:rsidRDefault="006F7D2D">
            <w:pPr>
              <w:pStyle w:val="a5"/>
              <w:spacing w:before="0" w:beforeAutospacing="0" w:after="0" w:afterAutospacing="0"/>
              <w:jc w:val="right"/>
              <w:rPr>
                <w:rFonts w:hint="eastAsia"/>
              </w:rPr>
            </w:pPr>
            <w:r>
              <w:rPr>
                <w:rFonts w:hint="eastAsia"/>
                <w:kern w:val="2"/>
                <w:sz w:val="21"/>
                <w:lang w:eastAsia="zh-Hans"/>
              </w:rPr>
              <w:t>94.5</w:t>
            </w:r>
            <w:r>
              <w:rPr>
                <w:rFonts w:hint="eastAsia"/>
                <w:kern w:val="2"/>
                <w:sz w:val="21"/>
                <w:lang w:eastAsia="zh-Hans"/>
              </w:rPr>
              <w:t>9</w:t>
            </w:r>
            <w:bookmarkEnd w:id="215"/>
            <w:bookmarkEnd w:id="216"/>
            <w:bookmarkEnd w:id="217"/>
          </w:p>
        </w:tc>
      </w:tr>
    </w:tbl>
    <w:p w:rsidR="006F7D2D" w:rsidRDefault="006F7D2D">
      <w:pPr>
        <w:pStyle w:val="XBRLTitle2"/>
        <w:spacing w:before="156"/>
        <w:ind w:left="454"/>
        <w:rPr>
          <w:rFonts w:hint="eastAsia"/>
        </w:rPr>
      </w:pPr>
      <w:bookmarkStart w:id="220" w:name="_Toc17881695"/>
      <w:bookmarkStart w:id="221" w:name="_Toc492299891"/>
      <w:bookmarkStart w:id="222" w:name="_Toc466644475"/>
      <w:bookmarkStart w:id="223" w:name="_Toc447872936"/>
      <w:bookmarkStart w:id="224" w:name="_Toc512627237"/>
      <w:bookmarkStart w:id="225" w:name="_Toc512694317"/>
      <w:r>
        <w:rPr>
          <w:rFonts w:hAnsi="宋体" w:hint="eastAsia"/>
        </w:rPr>
        <w:t>报告期末本基金投资的股指期货交易情况说</w:t>
      </w:r>
      <w:r>
        <w:rPr>
          <w:rFonts w:hAnsi="宋体" w:hint="eastAsia"/>
        </w:rPr>
        <w:t>明</w:t>
      </w:r>
      <w:bookmarkEnd w:id="220"/>
      <w:bookmarkEnd w:id="221"/>
      <w:bookmarkEnd w:id="222"/>
      <w:bookmarkEnd w:id="223"/>
      <w:bookmarkEnd w:id="224"/>
      <w:bookmarkEnd w:id="225"/>
      <w:r>
        <w:rPr>
          <w:rFonts w:hAnsi="宋体" w:hint="eastAsia"/>
        </w:rPr>
        <w:t xml:space="preserve"> </w:t>
      </w:r>
      <w:bookmarkEnd w:id="209"/>
    </w:p>
    <w:p w:rsidR="006F7D2D" w:rsidRDefault="006F7D2D">
      <w:pPr>
        <w:spacing w:line="360" w:lineRule="auto"/>
        <w:ind w:firstLineChars="200" w:firstLine="420"/>
        <w:divId w:val="116675124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F7D2D" w:rsidRDefault="006F7D2D">
      <w:pPr>
        <w:pStyle w:val="XBRLTitle2"/>
        <w:spacing w:before="156"/>
        <w:ind w:left="454"/>
      </w:pPr>
      <w:bookmarkStart w:id="226" w:name="_Toc17881698"/>
      <w:bookmarkStart w:id="227" w:name="_Toc492299894"/>
      <w:bookmarkStart w:id="228" w:name="_Toc466644478"/>
      <w:bookmarkStart w:id="229" w:name="_Toc447872939"/>
      <w:bookmarkStart w:id="230" w:name="_Toc512627238"/>
      <w:bookmarkStart w:id="231" w:name="_Toc512694318"/>
      <w:bookmarkStart w:id="232" w:name="_Toc438646476"/>
      <w:r>
        <w:rPr>
          <w:rFonts w:hAnsi="宋体" w:hint="eastAsia"/>
        </w:rPr>
        <w:t>报告期末本基金投资的国债期货交易情况说</w:t>
      </w:r>
      <w:r>
        <w:rPr>
          <w:rFonts w:hAnsi="宋体" w:hint="eastAsia"/>
        </w:rPr>
        <w:t>明</w:t>
      </w:r>
      <w:bookmarkEnd w:id="226"/>
      <w:bookmarkEnd w:id="227"/>
      <w:bookmarkEnd w:id="228"/>
      <w:bookmarkEnd w:id="229"/>
      <w:bookmarkEnd w:id="230"/>
      <w:bookmarkEnd w:id="231"/>
      <w:bookmarkEnd w:id="232"/>
      <w:r>
        <w:rPr>
          <w:rFonts w:hAnsi="宋体" w:hint="eastAsia"/>
        </w:rPr>
        <w:t xml:space="preserve"> </w:t>
      </w:r>
    </w:p>
    <w:p w:rsidR="006F7D2D" w:rsidRDefault="006F7D2D">
      <w:pPr>
        <w:spacing w:line="360" w:lineRule="auto"/>
        <w:ind w:firstLineChars="200" w:firstLine="420"/>
        <w:divId w:val="681470435"/>
        <w:rPr>
          <w:rFonts w:hint="eastAsia"/>
        </w:rPr>
      </w:pPr>
      <w:bookmarkStart w:id="233" w:name="m510_01_1597"/>
      <w:bookmarkStart w:id="234" w:name="m510_01_1598"/>
      <w:bookmarkEnd w:id="233"/>
      <w:r>
        <w:rPr>
          <w:rFonts w:ascii="宋体" w:hAnsi="宋体" w:hint="eastAsia"/>
          <w:szCs w:val="21"/>
          <w:lang w:eastAsia="zh-Hans"/>
        </w:rPr>
        <w:t>本基金本报告期末未持有国债期货</w:t>
      </w:r>
      <w:r>
        <w:rPr>
          <w:rFonts w:ascii="宋体" w:hAnsi="宋体" w:hint="eastAsia"/>
          <w:szCs w:val="21"/>
          <w:lang w:eastAsia="zh-Hans"/>
        </w:rPr>
        <w:t>。</w:t>
      </w:r>
    </w:p>
    <w:p w:rsidR="006F7D2D" w:rsidRDefault="006F7D2D">
      <w:pPr>
        <w:pStyle w:val="XBRLTitle2"/>
        <w:spacing w:before="156"/>
        <w:ind w:left="454"/>
      </w:pPr>
      <w:bookmarkStart w:id="235" w:name="_Toc17881702"/>
      <w:bookmarkStart w:id="236" w:name="_Toc492299898"/>
      <w:bookmarkStart w:id="237" w:name="_Toc466644482"/>
      <w:bookmarkStart w:id="238" w:name="_Toc447872943"/>
      <w:bookmarkStart w:id="239" w:name="_Toc512627239"/>
      <w:bookmarkStart w:id="240" w:name="_Toc512694319"/>
      <w:r>
        <w:rPr>
          <w:rFonts w:hint="eastAsia"/>
        </w:rPr>
        <w:t>投资组合报告附</w:t>
      </w:r>
      <w:r>
        <w:rPr>
          <w:rFonts w:hint="eastAsia"/>
        </w:rPr>
        <w:t>注</w:t>
      </w:r>
      <w:bookmarkEnd w:id="235"/>
      <w:bookmarkEnd w:id="236"/>
      <w:bookmarkEnd w:id="237"/>
      <w:bookmarkEnd w:id="238"/>
      <w:bookmarkEnd w:id="239"/>
      <w:bookmarkEnd w:id="240"/>
    </w:p>
    <w:p w:rsidR="006F7D2D" w:rsidRDefault="006F7D2D">
      <w:pPr>
        <w:pStyle w:val="XBRLTitle3"/>
        <w:numPr>
          <w:ilvl w:val="2"/>
          <w:numId w:val="2"/>
        </w:numPr>
        <w:spacing w:before="156"/>
        <w:ind w:left="0" w:firstLine="0"/>
        <w:rPr>
          <w:rFonts w:hint="eastAsia"/>
        </w:rPr>
      </w:pPr>
      <w:bookmarkStart w:id="241" w:name="_Toc512519515"/>
      <w:bookmarkStart w:id="242" w:name="_Toc481075083"/>
      <w:bookmarkStart w:id="243" w:name="_Toc490050036"/>
      <w:bookmarkStart w:id="244" w:name="_Toc513295927"/>
      <w:bookmarkStart w:id="245" w:name="_Toc17881703"/>
      <w:r>
        <w:rPr>
          <w:rFonts w:hAnsi="宋体" w:hint="eastAsia"/>
        </w:rPr>
        <w:t> </w:t>
      </w:r>
      <w:r>
        <w:rPr>
          <w:rFonts w:hint="eastAsia"/>
          <w:lang w:eastAsia="zh-CN"/>
        </w:rPr>
        <w:t xml:space="preserve"> </w:t>
      </w:r>
      <w:bookmarkEnd w:id="241"/>
      <w:bookmarkEnd w:id="242"/>
      <w:bookmarkEnd w:id="243"/>
      <w:bookmarkEnd w:id="244"/>
      <w:bookmarkEnd w:id="245"/>
    </w:p>
    <w:p w:rsidR="006F7D2D" w:rsidRDefault="006F7D2D">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F7D2D" w:rsidRDefault="006F7D2D">
      <w:pPr>
        <w:pStyle w:val="XBRLTitle3"/>
        <w:numPr>
          <w:ilvl w:val="2"/>
          <w:numId w:val="2"/>
        </w:numPr>
        <w:spacing w:before="156"/>
        <w:ind w:left="0" w:firstLine="0"/>
      </w:pPr>
      <w:bookmarkStart w:id="246" w:name="_Toc512519516"/>
      <w:bookmarkStart w:id="247" w:name="_Toc481075084"/>
      <w:bookmarkStart w:id="248" w:name="_Toc490050037"/>
      <w:bookmarkStart w:id="249" w:name="_Toc513295928"/>
      <w:bookmarkStart w:id="250" w:name="_Toc17881704"/>
      <w:r>
        <w:rPr>
          <w:rFonts w:hAnsi="宋体" w:hint="eastAsia"/>
        </w:rPr>
        <w:t> </w:t>
      </w:r>
      <w:r>
        <w:rPr>
          <w:rFonts w:hint="eastAsia"/>
          <w:lang w:eastAsia="zh-CN"/>
        </w:rPr>
        <w:t xml:space="preserve"> </w:t>
      </w:r>
      <w:bookmarkEnd w:id="246"/>
      <w:bookmarkEnd w:id="247"/>
      <w:bookmarkEnd w:id="248"/>
      <w:bookmarkEnd w:id="249"/>
      <w:bookmarkEnd w:id="250"/>
    </w:p>
    <w:p w:rsidR="006F7D2D" w:rsidRDefault="006F7D2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F7D2D" w:rsidRDefault="006F7D2D">
      <w:pPr>
        <w:pStyle w:val="XBRLTitle3"/>
        <w:numPr>
          <w:ilvl w:val="2"/>
          <w:numId w:val="2"/>
        </w:numPr>
        <w:spacing w:before="156"/>
        <w:ind w:left="0" w:firstLine="0"/>
      </w:pPr>
      <w:bookmarkStart w:id="251" w:name="_Toc17881705"/>
      <w:bookmarkStart w:id="252" w:name="_Toc492299901"/>
      <w:bookmarkStart w:id="253" w:name="_Toc466644485"/>
      <w:bookmarkStart w:id="254" w:name="_Toc447872946"/>
      <w:bookmarkStart w:id="255" w:name="m510_02"/>
      <w:bookmarkEnd w:id="234"/>
      <w:r>
        <w:rPr>
          <w:rFonts w:hAnsi="宋体" w:hint="eastAsia"/>
        </w:rPr>
        <w:t>其他资产构</w:t>
      </w:r>
      <w:r>
        <w:rPr>
          <w:rFonts w:hAnsi="宋体" w:hint="eastAsia"/>
        </w:rPr>
        <w:t>成</w:t>
      </w:r>
      <w:bookmarkEnd w:id="251"/>
      <w:bookmarkEnd w:id="252"/>
      <w:bookmarkEnd w:id="253"/>
      <w:bookmarkEnd w:id="2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39879212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jc w:val="center"/>
            </w:pPr>
            <w:r>
              <w:rPr>
                <w:rFonts w:ascii="宋体" w:hAnsi="宋体" w:hint="eastAsia"/>
              </w:rPr>
              <w:t>金额（元</w:t>
            </w:r>
            <w:r>
              <w:rPr>
                <w:rFonts w:ascii="宋体" w:hAnsi="宋体" w:hint="eastAsia"/>
              </w:rPr>
              <w:t>）</w:t>
            </w:r>
            <w:r>
              <w:t xml:space="preserve"> </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3,549.4</w:t>
            </w:r>
            <w:r>
              <w:rPr>
                <w:rFonts w:ascii="宋体" w:hAnsi="宋体" w:hint="eastAsia"/>
              </w:rPr>
              <w:t>3</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24,582.4</w:t>
            </w:r>
            <w:r>
              <w:rPr>
                <w:rFonts w:ascii="宋体" w:hAnsi="宋体" w:hint="eastAsia"/>
              </w:rPr>
              <w:t>6</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w:t>
            </w:r>
          </w:p>
        </w:tc>
      </w:tr>
      <w:tr w:rsidR="00000000">
        <w:trPr>
          <w:divId w:val="3987921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rPr>
              <w:t>28,131.8</w:t>
            </w:r>
            <w:r>
              <w:rPr>
                <w:rFonts w:ascii="宋体" w:hAnsi="宋体" w:hint="eastAsia"/>
              </w:rPr>
              <w:t>9</w:t>
            </w:r>
          </w:p>
        </w:tc>
      </w:tr>
    </w:tbl>
    <w:p w:rsidR="006F7D2D" w:rsidRDefault="006F7D2D">
      <w:pPr>
        <w:pStyle w:val="XBRLTitle3"/>
        <w:numPr>
          <w:ilvl w:val="2"/>
          <w:numId w:val="2"/>
        </w:numPr>
        <w:spacing w:before="156"/>
        <w:ind w:left="0" w:firstLine="0"/>
      </w:pPr>
      <w:bookmarkStart w:id="256" w:name="_Toc17881706"/>
      <w:bookmarkStart w:id="257" w:name="_Toc492299902"/>
      <w:bookmarkStart w:id="258" w:name="_Toc466644486"/>
      <w:bookmarkStart w:id="259" w:name="_Toc447872947"/>
      <w:bookmarkStart w:id="260" w:name="m510_03"/>
      <w:bookmarkEnd w:id="255"/>
      <w:r>
        <w:rPr>
          <w:rFonts w:hAnsi="宋体" w:hint="eastAsia"/>
        </w:rPr>
        <w:t>报告期末持有的处于转股期的可转换债券明</w:t>
      </w:r>
      <w:r>
        <w:rPr>
          <w:rFonts w:hAnsi="宋体" w:hint="eastAsia"/>
        </w:rPr>
        <w:t>细</w:t>
      </w:r>
      <w:bookmarkEnd w:id="256"/>
      <w:bookmarkEnd w:id="257"/>
      <w:bookmarkEnd w:id="258"/>
      <w:bookmarkEnd w:id="259"/>
    </w:p>
    <w:p w:rsidR="006F7D2D" w:rsidRDefault="006F7D2D">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F7D2D" w:rsidRDefault="006F7D2D">
      <w:pPr>
        <w:pStyle w:val="XBRLTitle3"/>
        <w:numPr>
          <w:ilvl w:val="2"/>
          <w:numId w:val="2"/>
        </w:numPr>
        <w:spacing w:before="156"/>
        <w:ind w:left="0" w:firstLine="0"/>
      </w:pPr>
      <w:bookmarkStart w:id="261" w:name="_Toc17881707"/>
      <w:bookmarkStart w:id="262" w:name="_Toc492299903"/>
      <w:bookmarkStart w:id="263" w:name="_Toc466644487"/>
      <w:bookmarkStart w:id="264" w:name="_Toc447872948"/>
      <w:bookmarkStart w:id="265" w:name="m510_04"/>
      <w:bookmarkEnd w:id="260"/>
      <w:r>
        <w:rPr>
          <w:rFonts w:hAnsi="宋体" w:hint="eastAsia"/>
        </w:rPr>
        <w:t>报告期末前十名股票中存在流通受限情况的说</w:t>
      </w:r>
      <w:r>
        <w:rPr>
          <w:rFonts w:hAnsi="宋体" w:hint="eastAsia"/>
        </w:rPr>
        <w:t>明</w:t>
      </w:r>
      <w:bookmarkEnd w:id="261"/>
      <w:bookmarkEnd w:id="262"/>
      <w:bookmarkEnd w:id="263"/>
      <w:bookmarkEnd w:id="264"/>
    </w:p>
    <w:p w:rsidR="006F7D2D" w:rsidRDefault="006F7D2D">
      <w:pPr>
        <w:spacing w:line="360" w:lineRule="auto"/>
        <w:ind w:firstLineChars="200" w:firstLine="420"/>
        <w:jc w:val="left"/>
        <w:divId w:val="1070688723"/>
        <w:rPr>
          <w:rFonts w:hint="eastAsia"/>
        </w:rPr>
      </w:pPr>
      <w:r>
        <w:rPr>
          <w:rFonts w:ascii="宋体" w:hAnsi="宋体" w:hint="eastAsia"/>
        </w:rPr>
        <w:t>本基金本报告期末前十名股票中不存在流通受限情况</w:t>
      </w:r>
      <w:r>
        <w:rPr>
          <w:rFonts w:ascii="宋体" w:hAnsi="宋体" w:hint="eastAsia"/>
        </w:rPr>
        <w:t>。</w:t>
      </w:r>
      <w:bookmarkEnd w:id="16"/>
      <w:bookmarkEnd w:id="17"/>
      <w:bookmarkEnd w:id="18"/>
      <w:bookmarkEnd w:id="19"/>
      <w:bookmarkEnd w:id="20"/>
    </w:p>
    <w:p w:rsidR="006F7D2D" w:rsidRDefault="006F7D2D">
      <w:pPr>
        <w:pStyle w:val="XBRLTitle3"/>
        <w:numPr>
          <w:ilvl w:val="2"/>
          <w:numId w:val="2"/>
        </w:numPr>
        <w:spacing w:before="156"/>
        <w:ind w:left="0" w:firstLine="0"/>
      </w:pPr>
      <w:bookmarkStart w:id="266" w:name="_Toc17881708"/>
      <w:bookmarkStart w:id="267" w:name="_Toc492299904"/>
      <w:bookmarkStart w:id="268" w:name="_Toc466644488"/>
      <w:bookmarkStart w:id="269" w:name="_Toc447872949"/>
      <w:bookmarkStart w:id="270" w:name="m510_05_1678"/>
      <w:bookmarkEnd w:id="265"/>
      <w:r>
        <w:rPr>
          <w:rFonts w:hAnsi="宋体" w:hint="eastAsia"/>
        </w:rPr>
        <w:t>投资组合报告附注的其他文字描述部</w:t>
      </w:r>
      <w:r>
        <w:rPr>
          <w:rFonts w:hAnsi="宋体" w:hint="eastAsia"/>
        </w:rPr>
        <w:t>分</w:t>
      </w:r>
      <w:bookmarkEnd w:id="266"/>
      <w:bookmarkEnd w:id="267"/>
      <w:bookmarkEnd w:id="268"/>
      <w:bookmarkEnd w:id="269"/>
      <w:r>
        <w:rPr>
          <w:rFonts w:hint="eastAsia"/>
          <w:sz w:val="21"/>
        </w:rPr>
        <w:t xml:space="preserve"> </w:t>
      </w:r>
    </w:p>
    <w:p w:rsidR="006F7D2D" w:rsidRDefault="006F7D2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6F7D2D" w:rsidRDefault="006F7D2D">
      <w:pPr>
        <w:pStyle w:val="XBRLTitle1"/>
        <w:spacing w:before="156"/>
        <w:ind w:left="425"/>
      </w:pPr>
      <w:bookmarkStart w:id="271" w:name="_Toc17881709"/>
      <w:bookmarkStart w:id="272" w:name="_Toc512627240"/>
      <w:bookmarkStart w:id="273" w:name="_Toc492299905"/>
      <w:bookmarkStart w:id="274" w:name="_Toc466644489"/>
      <w:bookmarkStart w:id="275" w:name="_Toc447872950"/>
      <w:bookmarkStart w:id="276" w:name="_Toc438646477"/>
      <w:bookmarkStart w:id="277" w:name="_Toc512694320"/>
      <w:bookmarkStart w:id="278" w:name="m601"/>
      <w:bookmarkEnd w:id="270"/>
      <w:r>
        <w:rPr>
          <w:rFonts w:hAnsi="宋体" w:hint="eastAsia"/>
        </w:rPr>
        <w:t>开放式基金份额变</w:t>
      </w:r>
      <w:r>
        <w:rPr>
          <w:rFonts w:hAnsi="宋体" w:hint="eastAsia"/>
        </w:rPr>
        <w:t>动</w:t>
      </w:r>
      <w:bookmarkEnd w:id="271"/>
      <w:bookmarkEnd w:id="272"/>
      <w:bookmarkEnd w:id="273"/>
      <w:bookmarkEnd w:id="274"/>
      <w:bookmarkEnd w:id="275"/>
      <w:bookmarkEnd w:id="276"/>
      <w:bookmarkEnd w:id="277"/>
      <w:r>
        <w:rPr>
          <w:rFonts w:hAnsi="宋体" w:hint="eastAsia"/>
        </w:rPr>
        <w:t xml:space="preserve"> </w:t>
      </w:r>
    </w:p>
    <w:p w:rsidR="006F7D2D" w:rsidRDefault="006F7D2D">
      <w:pPr>
        <w:jc w:val="right"/>
        <w:rPr>
          <w:rFonts w:hint="eastAsia"/>
        </w:rPr>
      </w:pPr>
      <w:bookmarkStart w:id="279" w:name="m601_tab"/>
      <w:r>
        <w:rPr>
          <w:rFonts w:ascii="宋体" w:hAnsi="宋体" w:hint="eastAsia"/>
        </w:rPr>
        <w:t xml:space="preserve">                                                                             </w:t>
      </w:r>
    </w:p>
    <w:p w:rsidR="006F7D2D" w:rsidRDefault="006F7D2D">
      <w:pPr>
        <w:wordWrap w:val="0"/>
        <w:spacing w:line="360" w:lineRule="auto"/>
        <w:jc w:val="right"/>
        <w:divId w:val="426927376"/>
      </w:pPr>
      <w:bookmarkStart w:id="280"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42692737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281" w:name="m10_01" w:colFirst="1" w:colLast="2"/>
            <w:bookmarkEnd w:id="280"/>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ind w:right="3"/>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F7D2D" w:rsidRDefault="006F7D2D">
            <w:pPr>
              <w:ind w:right="3"/>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C</w:t>
            </w:r>
            <w:r>
              <w:rPr>
                <w:rFonts w:ascii="宋体" w:hAnsi="宋体" w:hint="eastAsia"/>
                <w:kern w:val="0"/>
                <w:szCs w:val="24"/>
                <w:lang w:eastAsia="zh-Hans"/>
              </w:rPr>
              <w:t xml:space="preserve"> </w:t>
            </w:r>
          </w:p>
        </w:tc>
      </w:tr>
      <w:tr w:rsidR="00000000">
        <w:trPr>
          <w:divId w:val="42692737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12,602,758.0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15,762,209.6</w:t>
            </w:r>
            <w:r>
              <w:rPr>
                <w:rFonts w:ascii="宋体" w:hAnsi="宋体" w:hint="eastAsia"/>
              </w:rPr>
              <w:t>6</w:t>
            </w:r>
          </w:p>
        </w:tc>
      </w:tr>
      <w:tr w:rsidR="00000000">
        <w:trPr>
          <w:divId w:val="42692737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316,296.1</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775,927.9</w:t>
            </w:r>
            <w:r>
              <w:rPr>
                <w:rFonts w:ascii="宋体" w:hAnsi="宋体" w:hint="eastAsia"/>
              </w:rPr>
              <w:t>7</w:t>
            </w:r>
          </w:p>
        </w:tc>
      </w:tr>
      <w:tr w:rsidR="00000000">
        <w:trPr>
          <w:divId w:val="42692737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3,050,447.8</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1,630,747.7</w:t>
            </w:r>
            <w:r>
              <w:rPr>
                <w:rFonts w:ascii="宋体" w:hAnsi="宋体" w:hint="eastAsia"/>
              </w:rPr>
              <w:t>8</w:t>
            </w:r>
          </w:p>
        </w:tc>
      </w:tr>
      <w:tr w:rsidR="00000000">
        <w:trPr>
          <w:divId w:val="42692737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w:t>
            </w:r>
          </w:p>
        </w:tc>
      </w:tr>
      <w:tr w:rsidR="00000000">
        <w:trPr>
          <w:divId w:val="42692737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9,868,606.3</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F7D2D" w:rsidRDefault="006F7D2D">
            <w:pPr>
              <w:jc w:val="right"/>
            </w:pPr>
            <w:r>
              <w:rPr>
                <w:rFonts w:ascii="宋体" w:hAnsi="宋体" w:hint="eastAsia"/>
              </w:rPr>
              <w:t>14,907,389.8</w:t>
            </w:r>
            <w:r>
              <w:rPr>
                <w:rFonts w:ascii="宋体" w:hAnsi="宋体" w:hint="eastAsia"/>
              </w:rPr>
              <w:t>5</w:t>
            </w:r>
          </w:p>
        </w:tc>
      </w:tr>
    </w:tbl>
    <w:p w:rsidR="006F7D2D" w:rsidRDefault="006F7D2D">
      <w:pPr>
        <w:spacing w:line="360" w:lineRule="auto"/>
        <w:jc w:val="left"/>
        <w:divId w:val="42692737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81"/>
      <w:r>
        <w:rPr>
          <w:rFonts w:ascii="宋体" w:hAnsi="宋体" w:hint="eastAsia"/>
        </w:rPr>
        <w:t xml:space="preserve"> </w:t>
      </w:r>
    </w:p>
    <w:p w:rsidR="006F7D2D" w:rsidRDefault="006F7D2D">
      <w:pPr>
        <w:pStyle w:val="XBRLTitle1"/>
        <w:spacing w:before="156"/>
        <w:ind w:left="425"/>
      </w:pPr>
      <w:bookmarkStart w:id="282" w:name="_Toc17881710"/>
      <w:bookmarkStart w:id="283" w:name="_Toc492299906"/>
      <w:bookmarkStart w:id="284" w:name="_Toc466644490"/>
      <w:bookmarkStart w:id="285" w:name="_Toc447872951"/>
      <w:bookmarkStart w:id="286" w:name="_Toc438646478"/>
      <w:bookmarkStart w:id="287" w:name="_Toc512627241"/>
      <w:bookmarkStart w:id="288" w:name="_Toc512694321"/>
      <w:bookmarkStart w:id="289" w:name="m7manage01"/>
      <w:bookmarkEnd w:id="278"/>
      <w:bookmarkEnd w:id="279"/>
      <w:r>
        <w:rPr>
          <w:rFonts w:hint="eastAsia"/>
        </w:rPr>
        <w:t>基金管理人运用固有资金投资本基金情</w:t>
      </w:r>
      <w:r>
        <w:rPr>
          <w:rFonts w:hint="eastAsia"/>
        </w:rPr>
        <w:t>况</w:t>
      </w:r>
      <w:bookmarkEnd w:id="282"/>
      <w:bookmarkEnd w:id="283"/>
      <w:bookmarkEnd w:id="284"/>
      <w:bookmarkEnd w:id="285"/>
      <w:bookmarkEnd w:id="286"/>
      <w:bookmarkEnd w:id="287"/>
      <w:bookmarkEnd w:id="288"/>
      <w:bookmarkEnd w:id="289"/>
    </w:p>
    <w:p w:rsidR="006F7D2D" w:rsidRDefault="006F7D2D">
      <w:pPr>
        <w:pStyle w:val="XBRLTitle2"/>
        <w:spacing w:before="156"/>
        <w:ind w:left="454"/>
        <w:rPr>
          <w:rFonts w:hint="eastAsia"/>
        </w:rPr>
      </w:pPr>
      <w:bookmarkStart w:id="290" w:name="_Toc17881711"/>
      <w:bookmarkStart w:id="291" w:name="_Toc492299907"/>
      <w:bookmarkStart w:id="292" w:name="_Toc466644491"/>
      <w:bookmarkStart w:id="293" w:name="_Toc458599606"/>
      <w:bookmarkStart w:id="294" w:name="_Toc462325491"/>
      <w:bookmarkStart w:id="295" w:name="_Toc512627242"/>
      <w:bookmarkStart w:id="296" w:name="_Toc512694322"/>
      <w:r>
        <w:rPr>
          <w:rFonts w:hint="eastAsia"/>
        </w:rPr>
        <w:t>基金管理人持有本基金份额变动情</w:t>
      </w:r>
      <w:r>
        <w:rPr>
          <w:rFonts w:hint="eastAsia"/>
        </w:rPr>
        <w:t>况</w:t>
      </w:r>
      <w:bookmarkEnd w:id="290"/>
      <w:bookmarkEnd w:id="291"/>
      <w:bookmarkEnd w:id="292"/>
      <w:bookmarkEnd w:id="293"/>
      <w:bookmarkEnd w:id="294"/>
      <w:bookmarkEnd w:id="295"/>
      <w:bookmarkEnd w:id="296"/>
      <w:r>
        <w:rPr>
          <w:rFonts w:hint="eastAsia"/>
          <w:lang w:eastAsia="zh-CN"/>
        </w:rPr>
        <w:t xml:space="preserve"> </w:t>
      </w:r>
    </w:p>
    <w:p w:rsidR="006F7D2D" w:rsidRDefault="006F7D2D">
      <w:pPr>
        <w:wordWrap w:val="0"/>
        <w:spacing w:line="360" w:lineRule="auto"/>
        <w:jc w:val="right"/>
        <w:divId w:val="124402490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24402490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F7D2D" w:rsidRDefault="006F7D2D">
            <w:pPr>
              <w:jc w:val="center"/>
            </w:pPr>
            <w:r>
              <w:rPr>
                <w:rFonts w:ascii="宋体" w:hAnsi="宋体" w:hint="eastAsia"/>
                <w:lang w:eastAsia="zh-Hans"/>
              </w:rPr>
              <w:t>摩根</w:t>
            </w:r>
            <w:r>
              <w:rPr>
                <w:rFonts w:ascii="宋体" w:hAnsi="宋体" w:hint="eastAsia"/>
                <w:lang w:eastAsia="zh-Hans"/>
              </w:rPr>
              <w:t>MSCI</w:t>
            </w:r>
            <w:r>
              <w:rPr>
                <w:rFonts w:ascii="宋体" w:hAnsi="宋体" w:hint="eastAsia"/>
                <w:lang w:eastAsia="zh-Hans"/>
              </w:rPr>
              <w:t>中国</w:t>
            </w:r>
            <w:r>
              <w:rPr>
                <w:rFonts w:ascii="宋体" w:hAnsi="宋体" w:hint="eastAsia"/>
                <w:lang w:eastAsia="zh-Hans"/>
              </w:rPr>
              <w:t>A</w:t>
            </w:r>
            <w:r>
              <w:rPr>
                <w:rFonts w:ascii="宋体" w:hAnsi="宋体" w:hint="eastAsia"/>
                <w:lang w:eastAsia="zh-Hans"/>
              </w:rPr>
              <w:t>股</w:t>
            </w:r>
            <w:r>
              <w:rPr>
                <w:rFonts w:ascii="宋体" w:hAnsi="宋体" w:hint="eastAsia"/>
                <w:lang w:eastAsia="zh-Hans"/>
              </w:rPr>
              <w:t>ETF</w:t>
            </w:r>
            <w:r>
              <w:rPr>
                <w:rFonts w:ascii="宋体" w:hAnsi="宋体" w:hint="eastAsia"/>
                <w:lang w:eastAsia="zh-Hans"/>
              </w:rPr>
              <w:t>联接</w:t>
            </w:r>
            <w:r>
              <w:rPr>
                <w:rFonts w:ascii="宋体" w:hAnsi="宋体" w:hint="eastAsia"/>
                <w:lang w:eastAsia="zh-Hans"/>
              </w:rPr>
              <w:t>C</w:t>
            </w:r>
            <w:r>
              <w:rPr>
                <w:rFonts w:ascii="宋体" w:hAnsi="宋体" w:hint="eastAsia"/>
                <w:color w:val="000000"/>
              </w:rPr>
              <w:t xml:space="preserve"> </w:t>
            </w:r>
          </w:p>
        </w:tc>
      </w:tr>
      <w:tr w:rsidR="00000000">
        <w:trPr>
          <w:divId w:val="124402490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rPr>
                <w:rFonts w:hint="eastAsia"/>
              </w:rPr>
            </w:pPr>
            <w:r>
              <w:rPr>
                <w:rFonts w:ascii="宋体" w:hAnsi="宋体" w:hint="eastAsia"/>
                <w:kern w:val="0"/>
                <w:szCs w:val="24"/>
                <w:lang w:eastAsia="zh-Hans"/>
              </w:rPr>
              <w:t>147,026.2</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kern w:val="0"/>
                <w:szCs w:val="24"/>
                <w:lang w:eastAsia="zh-Hans"/>
              </w:rPr>
              <w:t>-</w:t>
            </w:r>
          </w:p>
        </w:tc>
      </w:tr>
      <w:tr w:rsidR="00000000">
        <w:trPr>
          <w:divId w:val="124402490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szCs w:val="24"/>
                <w:lang w:eastAsia="zh-Hans"/>
              </w:rPr>
              <w:t>-</w:t>
            </w:r>
          </w:p>
        </w:tc>
      </w:tr>
      <w:tr w:rsidR="00000000">
        <w:trPr>
          <w:divId w:val="124402490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lang w:eastAsia="zh-Hans"/>
              </w:rPr>
              <w:t>-</w:t>
            </w:r>
          </w:p>
        </w:tc>
      </w:tr>
      <w:tr w:rsidR="00000000">
        <w:trPr>
          <w:divId w:val="124402490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rPr>
                <w:rFonts w:hint="eastAsia"/>
              </w:rPr>
            </w:pPr>
            <w:r>
              <w:rPr>
                <w:rFonts w:ascii="宋体" w:hAnsi="宋体" w:hint="eastAsia"/>
                <w:lang w:eastAsia="zh-Hans"/>
              </w:rPr>
              <w:t>147,026.2</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lang w:eastAsia="zh-Hans"/>
              </w:rPr>
              <w:t>-</w:t>
            </w:r>
          </w:p>
        </w:tc>
      </w:tr>
      <w:tr w:rsidR="00000000">
        <w:trPr>
          <w:divId w:val="124402490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rPr>
                <w:rFonts w:hint="eastAsia"/>
              </w:rPr>
            </w:pPr>
            <w:r>
              <w:rPr>
                <w:rFonts w:ascii="宋体" w:hAnsi="宋体" w:hint="eastAsia"/>
                <w:lang w:eastAsia="zh-Hans"/>
              </w:rPr>
              <w:t>0.5</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jc w:val="right"/>
            </w:pPr>
            <w:r>
              <w:rPr>
                <w:rFonts w:ascii="宋体" w:hAnsi="宋体" w:hint="eastAsia"/>
                <w:lang w:eastAsia="zh-Hans"/>
              </w:rPr>
              <w:t>-</w:t>
            </w:r>
          </w:p>
        </w:tc>
      </w:tr>
    </w:tbl>
    <w:p w:rsidR="006F7D2D" w:rsidRDefault="006F7D2D">
      <w:pPr>
        <w:pStyle w:val="XBRLTitle2"/>
        <w:spacing w:before="156"/>
        <w:ind w:left="454"/>
      </w:pPr>
      <w:bookmarkStart w:id="297" w:name="_Toc17881712"/>
      <w:bookmarkStart w:id="298" w:name="_Toc492299908"/>
      <w:bookmarkStart w:id="299" w:name="_Toc466644492"/>
      <w:bookmarkStart w:id="300" w:name="_Toc458599607"/>
      <w:bookmarkStart w:id="301" w:name="_Toc462325492"/>
      <w:bookmarkStart w:id="302" w:name="_Toc512627243"/>
      <w:bookmarkStart w:id="303" w:name="_Toc512694323"/>
      <w:r>
        <w:rPr>
          <w:rFonts w:hint="eastAsia"/>
        </w:rPr>
        <w:t>基金管理人运用固有资金投资本基金交易明</w:t>
      </w:r>
      <w:r>
        <w:rPr>
          <w:rFonts w:hint="eastAsia"/>
        </w:rPr>
        <w:t>细</w:t>
      </w:r>
      <w:bookmarkEnd w:id="297"/>
      <w:bookmarkEnd w:id="298"/>
      <w:bookmarkEnd w:id="299"/>
      <w:bookmarkEnd w:id="300"/>
      <w:bookmarkEnd w:id="301"/>
      <w:bookmarkEnd w:id="302"/>
      <w:bookmarkEnd w:id="303"/>
      <w:r>
        <w:rPr>
          <w:rFonts w:hint="eastAsia"/>
          <w:lang w:eastAsia="zh-CN"/>
        </w:rPr>
        <w:t xml:space="preserve"> </w:t>
      </w:r>
    </w:p>
    <w:p w:rsidR="006F7D2D" w:rsidRDefault="006F7D2D">
      <w:pPr>
        <w:spacing w:line="360" w:lineRule="auto"/>
        <w:ind w:firstLineChars="200" w:firstLine="420"/>
        <w:jc w:val="left"/>
        <w:divId w:val="126507574"/>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F7D2D" w:rsidRDefault="006F7D2D">
      <w:pPr>
        <w:pStyle w:val="XBRLTitle1"/>
        <w:spacing w:before="156"/>
        <w:ind w:left="425"/>
      </w:pPr>
      <w:bookmarkStart w:id="304" w:name="_Toc17881714"/>
      <w:bookmarkStart w:id="305" w:name="_Toc479856294"/>
      <w:bookmarkStart w:id="306" w:name="_Toc492299909"/>
      <w:bookmarkStart w:id="307" w:name="_Toc512627244"/>
      <w:bookmarkStart w:id="308" w:name="_Toc512694324"/>
      <w:bookmarkStart w:id="309" w:name="m701"/>
      <w:r>
        <w:rPr>
          <w:rFonts w:hint="eastAsia"/>
        </w:rPr>
        <w:t>影响投资者决策的其他重要信</w:t>
      </w:r>
      <w:r>
        <w:rPr>
          <w:rFonts w:hint="eastAsia"/>
        </w:rPr>
        <w:t>息</w:t>
      </w:r>
      <w:bookmarkEnd w:id="304"/>
      <w:bookmarkEnd w:id="305"/>
      <w:bookmarkEnd w:id="306"/>
      <w:bookmarkEnd w:id="307"/>
      <w:bookmarkEnd w:id="308"/>
      <w:r>
        <w:rPr>
          <w:rFonts w:hint="eastAsia"/>
          <w:lang w:eastAsia="zh-CN"/>
        </w:rPr>
        <w:t xml:space="preserve"> </w:t>
      </w:r>
    </w:p>
    <w:p w:rsidR="006F7D2D" w:rsidRDefault="006F7D2D">
      <w:pPr>
        <w:pStyle w:val="XBRLTitle2"/>
        <w:spacing w:before="156"/>
        <w:ind w:left="454"/>
        <w:rPr>
          <w:rFonts w:hint="eastAsia"/>
        </w:rPr>
      </w:pPr>
      <w:bookmarkStart w:id="310" w:name="_Toc17881715"/>
      <w:bookmarkStart w:id="311" w:name="_Toc492299910"/>
      <w:bookmarkStart w:id="312" w:name="_Toc512627245"/>
      <w:bookmarkStart w:id="313" w:name="_Toc512694325"/>
      <w:r>
        <w:rPr>
          <w:rFonts w:hint="eastAsia"/>
          <w:kern w:val="0"/>
        </w:rPr>
        <w:t>报告期内单一投资者持有基金份额比例达到或超过</w:t>
      </w:r>
      <w:r>
        <w:rPr>
          <w:rFonts w:hint="eastAsia"/>
          <w:kern w:val="0"/>
        </w:rPr>
        <w:t>20%</w:t>
      </w:r>
      <w:r>
        <w:rPr>
          <w:rFonts w:hint="eastAsia"/>
          <w:kern w:val="0"/>
        </w:rPr>
        <w:t>的情</w:t>
      </w:r>
      <w:r>
        <w:rPr>
          <w:rFonts w:hint="eastAsia"/>
          <w:kern w:val="0"/>
        </w:rPr>
        <w:t>况</w:t>
      </w:r>
      <w:bookmarkEnd w:id="310"/>
      <w:bookmarkEnd w:id="311"/>
      <w:bookmarkEnd w:id="312"/>
      <w:bookmarkEnd w:id="313"/>
      <w:r>
        <w:rPr>
          <w:rFonts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47"/>
        <w:gridCol w:w="1100"/>
        <w:gridCol w:w="1290"/>
        <w:gridCol w:w="1231"/>
        <w:gridCol w:w="1223"/>
        <w:gridCol w:w="1290"/>
        <w:gridCol w:w="1414"/>
      </w:tblGrid>
      <w:tr w:rsidR="00000000">
        <w:trPr>
          <w:divId w:val="410659412"/>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jc w:val="center"/>
              <w:rPr>
                <w:rFonts w:hint="eastAsia"/>
              </w:rPr>
            </w:pPr>
            <w:bookmarkStart w:id="314" w:name="m13_01"/>
            <w:bookmarkStart w:id="315" w:name="m13_01_01"/>
            <w:bookmarkStart w:id="316" w:name="_Toc433036733"/>
            <w:bookmarkStart w:id="317" w:name="m12_01"/>
            <w:bookmarkEnd w:id="21"/>
            <w:bookmarkEnd w:id="37"/>
            <w:bookmarkEnd w:id="38"/>
            <w:bookmarkEnd w:id="218"/>
            <w:bookmarkEnd w:id="219"/>
            <w:bookmarkEnd w:id="314"/>
            <w:bookmarkEnd w:id="315"/>
            <w:bookmarkEnd w:id="316"/>
            <w:bookmarkEnd w:id="317"/>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41065941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7D2D" w:rsidRDefault="006F7D2D">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期初</w:t>
            </w:r>
            <w:r>
              <w:rPr>
                <w:rFonts w:ascii="宋体" w:hAnsi="宋体" w:hint="eastAsia"/>
                <w:color w:val="000000"/>
                <w:kern w:val="0"/>
              </w:rPr>
              <w:t xml:space="preserve"> </w:t>
            </w:r>
          </w:p>
          <w:p w:rsidR="006F7D2D" w:rsidRDefault="006F7D2D">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申购</w:t>
            </w:r>
            <w:r>
              <w:rPr>
                <w:rFonts w:ascii="宋体" w:hAnsi="宋体" w:hint="eastAsia"/>
                <w:color w:val="000000"/>
                <w:kern w:val="0"/>
              </w:rPr>
              <w:t xml:space="preserve"> </w:t>
            </w:r>
          </w:p>
          <w:p w:rsidR="006F7D2D" w:rsidRDefault="006F7D2D">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赎回</w:t>
            </w:r>
            <w:r>
              <w:rPr>
                <w:rFonts w:ascii="宋体" w:hAnsi="宋体" w:hint="eastAsia"/>
                <w:color w:val="000000"/>
                <w:kern w:val="0"/>
              </w:rPr>
              <w:t xml:space="preserve"> </w:t>
            </w:r>
          </w:p>
          <w:p w:rsidR="006F7D2D" w:rsidRDefault="006F7D2D">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D2D" w:rsidRDefault="006F7D2D">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410659412"/>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center"/>
            </w:pPr>
            <w:r>
              <w:rPr>
                <w:rFonts w:ascii="宋体" w:hAnsi="宋体" w:hint="eastAsia"/>
                <w:color w:val="000000"/>
                <w:szCs w:val="21"/>
              </w:rPr>
              <w:t>个</w:t>
            </w:r>
            <w:r>
              <w:rPr>
                <w:rFonts w:ascii="宋体" w:hAnsi="宋体" w:hint="eastAsia"/>
                <w:color w:val="000000"/>
                <w:szCs w:val="21"/>
              </w:rPr>
              <w:t>人</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right"/>
            </w:pPr>
            <w:r>
              <w:rPr>
                <w:rFonts w:ascii="宋体" w:hAnsi="宋体" w:hint="eastAsia"/>
                <w:color w:val="000000"/>
                <w:szCs w:val="21"/>
              </w:rPr>
              <w:t>9,781,864.4</w:t>
            </w:r>
            <w:r>
              <w:rPr>
                <w:rFonts w:ascii="宋体" w:hAnsi="宋体" w:hint="eastAsia"/>
                <w:color w:val="000000"/>
                <w:szCs w:val="21"/>
              </w:rPr>
              <w:t>2</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right"/>
            </w:pPr>
            <w:r>
              <w:rPr>
                <w:rFonts w:ascii="宋体" w:hAnsi="宋体" w:hint="eastAsia"/>
                <w:color w:val="000000"/>
                <w:szCs w:val="21"/>
              </w:rPr>
              <w:t>9,781,864.4</w:t>
            </w:r>
            <w:r>
              <w:rPr>
                <w:rFonts w:ascii="宋体" w:hAnsi="宋体" w:hint="eastAsia"/>
                <w:color w:val="000000"/>
                <w:szCs w:val="21"/>
              </w:rPr>
              <w:t>2</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right"/>
            </w:pPr>
            <w:r>
              <w:rPr>
                <w:rFonts w:ascii="宋体" w:hAnsi="宋体" w:hint="eastAsia"/>
                <w:color w:val="000000"/>
                <w:szCs w:val="21"/>
              </w:rPr>
              <w:t>39.4</w:t>
            </w:r>
            <w:r>
              <w:rPr>
                <w:rFonts w:ascii="宋体" w:hAnsi="宋体" w:hint="eastAsia"/>
                <w:color w:val="000000"/>
                <w:szCs w:val="21"/>
              </w:rPr>
              <w:t>8</w:t>
            </w:r>
            <w:r>
              <w:rPr>
                <w:szCs w:val="21"/>
              </w:rPr>
              <w:t>%</w:t>
            </w:r>
            <w:r>
              <w:t xml:space="preserve"> </w:t>
            </w:r>
          </w:p>
        </w:tc>
      </w:tr>
      <w:tr w:rsidR="00000000">
        <w:trPr>
          <w:divId w:val="41065941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41065941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F7D2D" w:rsidRDefault="006F7D2D">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6F7D2D" w:rsidRDefault="006F7D2D">
      <w:pPr>
        <w:pStyle w:val="XBRLTitle1"/>
        <w:spacing w:before="156"/>
        <w:ind w:left="425"/>
      </w:pPr>
      <w:bookmarkStart w:id="318" w:name="_Toc17881717"/>
      <w:bookmarkStart w:id="319" w:name="_Toc466644495"/>
      <w:bookmarkStart w:id="320" w:name="_Toc447872955"/>
      <w:bookmarkStart w:id="321" w:name="_Toc438646481"/>
      <w:bookmarkStart w:id="322" w:name="_Toc492299912"/>
      <w:bookmarkStart w:id="323" w:name="_Toc512627247"/>
      <w:bookmarkStart w:id="324" w:name="_Toc512694327"/>
      <w:bookmarkEnd w:id="309"/>
      <w:r>
        <w:rPr>
          <w:rFonts w:hint="eastAsia"/>
        </w:rPr>
        <w:t>备查文件目</w:t>
      </w:r>
      <w:r>
        <w:rPr>
          <w:rFonts w:hint="eastAsia"/>
        </w:rPr>
        <w:t>录</w:t>
      </w:r>
      <w:bookmarkEnd w:id="318"/>
      <w:bookmarkEnd w:id="319"/>
      <w:bookmarkEnd w:id="320"/>
      <w:bookmarkEnd w:id="321"/>
      <w:bookmarkEnd w:id="322"/>
      <w:bookmarkEnd w:id="323"/>
      <w:bookmarkEnd w:id="324"/>
    </w:p>
    <w:p w:rsidR="006F7D2D" w:rsidRDefault="006F7D2D">
      <w:pPr>
        <w:pStyle w:val="XBRLTitle2"/>
        <w:spacing w:before="156"/>
        <w:ind w:left="454"/>
        <w:rPr>
          <w:rFonts w:hint="eastAsia"/>
        </w:rPr>
      </w:pPr>
      <w:bookmarkStart w:id="325" w:name="_Toc438646482"/>
      <w:bookmarkStart w:id="326" w:name="_Toc17881718"/>
      <w:bookmarkStart w:id="327" w:name="_Toc492299913"/>
      <w:bookmarkStart w:id="328" w:name="_Toc466644496"/>
      <w:bookmarkStart w:id="329" w:name="_Toc447872956"/>
      <w:bookmarkStart w:id="330" w:name="_Toc512627248"/>
      <w:bookmarkStart w:id="331" w:name="_Toc512694328"/>
      <w:bookmarkStart w:id="332" w:name="m801_01_1733"/>
      <w:r>
        <w:rPr>
          <w:rFonts w:hAnsi="宋体" w:hint="eastAsia"/>
        </w:rPr>
        <w:t>备查文件目</w:t>
      </w:r>
      <w:r>
        <w:rPr>
          <w:rFonts w:hAnsi="宋体" w:hint="eastAsia"/>
        </w:rPr>
        <w:t>录</w:t>
      </w:r>
      <w:bookmarkEnd w:id="325"/>
      <w:bookmarkEnd w:id="326"/>
      <w:bookmarkEnd w:id="327"/>
      <w:bookmarkEnd w:id="328"/>
      <w:bookmarkEnd w:id="329"/>
      <w:bookmarkEnd w:id="330"/>
      <w:bookmarkEnd w:id="331"/>
      <w:r>
        <w:rPr>
          <w:rFonts w:hAnsi="宋体" w:hint="eastAsia"/>
        </w:rPr>
        <w:t xml:space="preserve"> </w:t>
      </w:r>
    </w:p>
    <w:p w:rsidR="006F7D2D" w:rsidRDefault="006F7D2D">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w:t>
      </w:r>
      <w:r>
        <w:rPr>
          <w:rFonts w:ascii="宋体" w:hAnsi="宋体" w:cs="宋体" w:hint="eastAsia"/>
          <w:color w:val="000000"/>
          <w:kern w:val="0"/>
        </w:rPr>
        <w:t>MSCI</w:t>
      </w:r>
      <w:r>
        <w:rPr>
          <w:rFonts w:ascii="宋体" w:hAnsi="宋体" w:cs="宋体" w:hint="eastAsia"/>
          <w:color w:val="000000"/>
          <w:kern w:val="0"/>
        </w:rPr>
        <w:t>中国</w:t>
      </w:r>
      <w:r>
        <w:rPr>
          <w:rFonts w:ascii="宋体" w:hAnsi="宋体" w:cs="宋体" w:hint="eastAsia"/>
          <w:color w:val="000000"/>
          <w:kern w:val="0"/>
        </w:rPr>
        <w:t>A</w:t>
      </w:r>
      <w:r>
        <w:rPr>
          <w:rFonts w:ascii="宋体" w:hAnsi="宋体" w:cs="宋体" w:hint="eastAsia"/>
          <w:color w:val="000000"/>
          <w:kern w:val="0"/>
        </w:rPr>
        <w:t>股交易型开放式指数证券投资基金联接基金基金合同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w:t>
      </w:r>
      <w:r>
        <w:rPr>
          <w:rFonts w:ascii="宋体" w:hAnsi="宋体" w:cs="宋体" w:hint="eastAsia"/>
          <w:color w:val="000000"/>
          <w:kern w:val="0"/>
        </w:rPr>
        <w:t>MSCI</w:t>
      </w:r>
      <w:r>
        <w:rPr>
          <w:rFonts w:ascii="宋体" w:hAnsi="宋体" w:cs="宋体" w:hint="eastAsia"/>
          <w:color w:val="000000"/>
          <w:kern w:val="0"/>
        </w:rPr>
        <w:t>中国</w:t>
      </w:r>
      <w:r>
        <w:rPr>
          <w:rFonts w:ascii="宋体" w:hAnsi="宋体" w:cs="宋体" w:hint="eastAsia"/>
          <w:color w:val="000000"/>
          <w:kern w:val="0"/>
        </w:rPr>
        <w:t>A</w:t>
      </w:r>
      <w:r>
        <w:rPr>
          <w:rFonts w:ascii="宋体" w:hAnsi="宋体" w:cs="宋体" w:hint="eastAsia"/>
          <w:color w:val="000000"/>
          <w:kern w:val="0"/>
        </w:rPr>
        <w:t>股交易型开放式指数证券投资基金联接基金托管协议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F7D2D" w:rsidRDefault="006F7D2D">
      <w:pPr>
        <w:pStyle w:val="XBRLTitle2"/>
        <w:spacing w:before="156"/>
        <w:ind w:left="454"/>
      </w:pPr>
      <w:bookmarkStart w:id="333" w:name="_Toc438646483"/>
      <w:bookmarkStart w:id="334" w:name="_Toc17881719"/>
      <w:bookmarkStart w:id="335" w:name="_Toc492299914"/>
      <w:bookmarkStart w:id="336" w:name="_Toc466644497"/>
      <w:bookmarkStart w:id="337" w:name="_Toc447872957"/>
      <w:bookmarkStart w:id="338" w:name="_Toc512627249"/>
      <w:bookmarkStart w:id="339" w:name="_Toc512694329"/>
      <w:bookmarkStart w:id="340" w:name="m801_01_1734"/>
      <w:bookmarkEnd w:id="332"/>
      <w:r>
        <w:rPr>
          <w:rFonts w:hAnsi="宋体" w:hint="eastAsia"/>
        </w:rPr>
        <w:t>存放地</w:t>
      </w:r>
      <w:r>
        <w:rPr>
          <w:rFonts w:hAnsi="宋体" w:hint="eastAsia"/>
        </w:rPr>
        <w:t>点</w:t>
      </w:r>
      <w:bookmarkEnd w:id="333"/>
      <w:bookmarkEnd w:id="334"/>
      <w:bookmarkEnd w:id="335"/>
      <w:bookmarkEnd w:id="336"/>
      <w:bookmarkEnd w:id="337"/>
      <w:bookmarkEnd w:id="338"/>
      <w:bookmarkEnd w:id="339"/>
      <w:r>
        <w:rPr>
          <w:rFonts w:hAnsi="宋体" w:hint="eastAsia"/>
        </w:rPr>
        <w:t xml:space="preserve"> </w:t>
      </w:r>
    </w:p>
    <w:p w:rsidR="006F7D2D" w:rsidRDefault="006F7D2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F7D2D" w:rsidRDefault="006F7D2D">
      <w:pPr>
        <w:pStyle w:val="XBRLTitle2"/>
        <w:spacing w:before="156"/>
        <w:ind w:left="454"/>
      </w:pPr>
      <w:bookmarkStart w:id="341" w:name="_Toc438646484"/>
      <w:bookmarkStart w:id="342" w:name="_Toc17881720"/>
      <w:bookmarkStart w:id="343" w:name="_Toc492299915"/>
      <w:bookmarkStart w:id="344" w:name="_Toc466644498"/>
      <w:bookmarkStart w:id="345" w:name="_Toc447872958"/>
      <w:bookmarkStart w:id="346" w:name="_Toc512627250"/>
      <w:bookmarkStart w:id="347" w:name="_Toc512694330"/>
      <w:bookmarkStart w:id="348" w:name="m801_01_1735"/>
      <w:bookmarkEnd w:id="340"/>
      <w:r>
        <w:rPr>
          <w:rFonts w:hAnsi="宋体" w:hint="eastAsia"/>
        </w:rPr>
        <w:t>查阅方</w:t>
      </w:r>
      <w:r>
        <w:rPr>
          <w:rFonts w:hAnsi="宋体" w:hint="eastAsia"/>
        </w:rPr>
        <w:t>式</w:t>
      </w:r>
      <w:bookmarkEnd w:id="341"/>
      <w:bookmarkEnd w:id="342"/>
      <w:bookmarkEnd w:id="343"/>
      <w:bookmarkEnd w:id="344"/>
      <w:bookmarkEnd w:id="345"/>
      <w:bookmarkEnd w:id="346"/>
      <w:bookmarkEnd w:id="347"/>
      <w:r>
        <w:rPr>
          <w:rFonts w:hAnsi="宋体" w:hint="eastAsia"/>
        </w:rPr>
        <w:t xml:space="preserve"> </w:t>
      </w:r>
    </w:p>
    <w:p w:rsidR="006F7D2D" w:rsidRDefault="006F7D2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2"/>
      <w:r>
        <w:rPr>
          <w:rFonts w:ascii="宋体" w:hAnsi="宋体" w:cs="宋体" w:hint="eastAsia"/>
          <w:color w:val="000000"/>
          <w:kern w:val="0"/>
        </w:rPr>
        <w:t xml:space="preserve"> </w:t>
      </w:r>
    </w:p>
    <w:bookmarkEnd w:id="348"/>
    <w:p w:rsidR="006F7D2D" w:rsidRDefault="006F7D2D">
      <w:pPr>
        <w:jc w:val="right"/>
        <w:rPr>
          <w:rFonts w:ascii="宋体" w:hAnsi="宋体"/>
          <w:sz w:val="24"/>
        </w:rPr>
      </w:pPr>
      <w:r>
        <w:rPr>
          <w:rFonts w:ascii="宋体" w:hAnsi="宋体" w:hint="eastAsia"/>
          <w:sz w:val="24"/>
        </w:rPr>
        <w:t xml:space="preserve">　</w:t>
      </w:r>
      <w:r>
        <w:rPr>
          <w:rFonts w:ascii="宋体" w:hAnsi="宋体" w:hint="eastAsia"/>
          <w:sz w:val="24"/>
        </w:rPr>
        <w:t xml:space="preserve"> </w:t>
      </w:r>
    </w:p>
    <w:p w:rsidR="006F7D2D" w:rsidRDefault="006F7D2D">
      <w:pPr>
        <w:ind w:firstLineChars="600" w:firstLine="1687"/>
        <w:jc w:val="left"/>
        <w:rPr>
          <w:rFonts w:hint="eastAsia"/>
        </w:rPr>
      </w:pPr>
      <w:r>
        <w:rPr>
          <w:rFonts w:ascii="宋体" w:hAnsi="宋体" w:hint="eastAsia"/>
          <w:b/>
          <w:bCs/>
          <w:sz w:val="28"/>
          <w:szCs w:val="30"/>
        </w:rPr>
        <w:t xml:space="preserve">　</w:t>
      </w:r>
      <w:r>
        <w:rPr>
          <w:rFonts w:ascii="宋体" w:hAnsi="宋体" w:hint="eastAsia"/>
          <w:b/>
          <w:bCs/>
          <w:sz w:val="28"/>
          <w:szCs w:val="30"/>
        </w:rPr>
        <w:t xml:space="preserve"> </w:t>
      </w:r>
    </w:p>
    <w:p w:rsidR="006F7D2D" w:rsidRDefault="006F7D2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F7D2D" w:rsidRDefault="006F7D2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6F7D2D">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D2D" w:rsidRDefault="006F7D2D">
      <w:pPr>
        <w:rPr>
          <w:szCs w:val="21"/>
        </w:rPr>
      </w:pPr>
      <w:r>
        <w:rPr>
          <w:szCs w:val="21"/>
        </w:rPr>
        <w:separator/>
      </w:r>
      <w:r>
        <w:rPr>
          <w:szCs w:val="21"/>
        </w:rPr>
        <w:t xml:space="preserve"> </w:t>
      </w:r>
    </w:p>
  </w:endnote>
  <w:endnote w:type="continuationSeparator" w:id="0">
    <w:p w:rsidR="006F7D2D" w:rsidRDefault="006F7D2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2D" w:rsidRDefault="006F7D2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D2D" w:rsidRDefault="006F7D2D">
      <w:pPr>
        <w:rPr>
          <w:szCs w:val="21"/>
        </w:rPr>
      </w:pPr>
      <w:r>
        <w:rPr>
          <w:szCs w:val="21"/>
        </w:rPr>
        <w:separator/>
      </w:r>
      <w:r>
        <w:rPr>
          <w:szCs w:val="21"/>
        </w:rPr>
        <w:t xml:space="preserve"> </w:t>
      </w:r>
    </w:p>
  </w:footnote>
  <w:footnote w:type="continuationSeparator" w:id="0">
    <w:p w:rsidR="006F7D2D" w:rsidRDefault="006F7D2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D2D" w:rsidRDefault="006F7D2D">
    <w:pPr>
      <w:pStyle w:val="aa"/>
      <w:jc w:val="right"/>
    </w:pPr>
    <w:r>
      <w:rPr>
        <w:rFonts w:ascii="宋体" w:hAnsi="宋体" w:hint="eastAsia"/>
      </w:rPr>
      <w:t>摩根</w:t>
    </w:r>
    <w:r>
      <w:rPr>
        <w:rFonts w:ascii="宋体" w:hAnsi="宋体" w:hint="eastAsia"/>
      </w:rPr>
      <w:t>MSCI</w:t>
    </w:r>
    <w:r>
      <w:rPr>
        <w:rFonts w:ascii="宋体" w:hAnsi="宋体" w:hint="eastAsia"/>
      </w:rPr>
      <w:t>中国</w:t>
    </w:r>
    <w:r>
      <w:rPr>
        <w:rFonts w:ascii="宋体" w:hAnsi="宋体" w:hint="eastAsia"/>
      </w:rPr>
      <w:t>A</w:t>
    </w:r>
    <w:r>
      <w:rPr>
        <w:rFonts w:ascii="宋体" w:hAnsi="宋体" w:hint="eastAsia"/>
      </w:rPr>
      <w:t>股交易型开放式指数证券投资基金联接基金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A332285A"/>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suff w:val="space"/>
      <w:lvlText w:val="%1.%2.%3"/>
      <w:lvlJc w:val="left"/>
      <w:pPr>
        <w:ind w:left="908"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1047202">
    <w:abstractNumId w:val="0"/>
  </w:num>
  <w:num w:numId="2" w16cid:durableId="1972202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B6F1D"/>
    <w:rsid w:val="003E0F21"/>
    <w:rsid w:val="006F7D2D"/>
    <w:rsid w:val="00FB6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annotation text"/>
    <w:basedOn w:val="a"/>
    <w:link w:val="13"/>
    <w:uiPriority w:val="99"/>
    <w:semiHidden/>
    <w:unhideWhenUsed/>
    <w:pPr>
      <w:jc w:val="left"/>
    </w:pPr>
  </w:style>
  <w:style w:type="character" w:customStyle="1" w:styleId="a9">
    <w:name w:val="批注文字 字符"/>
    <w:basedOn w:val="a0"/>
    <w:link w:val="a8"/>
    <w:uiPriority w:val="99"/>
    <w:semiHidden/>
    <w:rPr>
      <w:kern w:val="2"/>
      <w:sz w:val="21"/>
    </w:rPr>
  </w:style>
  <w:style w:type="paragraph" w:styleId="aa">
    <w:name w:val="header"/>
    <w:basedOn w:val="a"/>
    <w:link w:val="14"/>
    <w:uiPriority w:val="9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Pr>
      <w:kern w:val="2"/>
      <w:sz w:val="18"/>
      <w:szCs w:val="18"/>
    </w:rPr>
  </w:style>
  <w:style w:type="paragraph" w:styleId="ac">
    <w:name w:val="footer"/>
    <w:basedOn w:val="a"/>
    <w:link w:val="15"/>
    <w:uiPriority w:val="99"/>
    <w:pPr>
      <w:tabs>
        <w:tab w:val="center" w:pos="4153"/>
        <w:tab w:val="right" w:pos="8306"/>
      </w:tabs>
      <w:snapToGrid w:val="0"/>
      <w:jc w:val="left"/>
    </w:pPr>
    <w:rPr>
      <w:sz w:val="18"/>
      <w:szCs w:val="18"/>
    </w:rPr>
  </w:style>
  <w:style w:type="character" w:customStyle="1" w:styleId="ad">
    <w:name w:val="页脚 字符"/>
    <w:basedOn w:val="a0"/>
    <w:link w:val="ac"/>
    <w:uiPriority w:val="99"/>
    <w:rPr>
      <w:kern w:val="2"/>
      <w:sz w:val="18"/>
      <w:szCs w:val="18"/>
    </w:rPr>
  </w:style>
  <w:style w:type="paragraph" w:styleId="ae">
    <w:name w:val="Title"/>
    <w:basedOn w:val="1"/>
    <w:next w:val="2"/>
    <w:link w:val="16"/>
    <w:uiPriority w:val="10"/>
    <w:qFormat/>
    <w:pPr>
      <w:keepNext w:val="0"/>
      <w:keepLines w:val="0"/>
      <w:spacing w:before="240" w:after="60" w:line="240" w:lineRule="auto"/>
      <w:jc w:val="center"/>
    </w:pPr>
    <w:rPr>
      <w:rFonts w:ascii="Cambria" w:hAnsi="Cambria"/>
      <w:kern w:val="0"/>
      <w:sz w:val="32"/>
      <w:szCs w:val="32"/>
    </w:rPr>
  </w:style>
  <w:style w:type="character" w:customStyle="1" w:styleId="af">
    <w:name w:val="标题 字符"/>
    <w:basedOn w:val="a0"/>
    <w:link w:val="ae"/>
    <w:uiPriority w:val="10"/>
    <w:rPr>
      <w:rFonts w:asciiTheme="majorHAnsi" w:eastAsiaTheme="majorEastAsia" w:hAnsiTheme="majorHAnsi" w:cstheme="majorBidi"/>
      <w:spacing w:val="-10"/>
      <w:kern w:val="28"/>
      <w:sz w:val="56"/>
      <w:szCs w:val="56"/>
    </w:rPr>
  </w:style>
  <w:style w:type="paragraph" w:styleId="af0">
    <w:name w:val="Subtitle"/>
    <w:basedOn w:val="2"/>
    <w:next w:val="3"/>
    <w:link w:val="17"/>
    <w:qFormat/>
    <w:pPr>
      <w:spacing w:before="240" w:after="60" w:line="312" w:lineRule="auto"/>
      <w:jc w:val="left"/>
    </w:pPr>
    <w:rPr>
      <w:rFonts w:cs="Times New Roman"/>
      <w:bCs w:val="0"/>
      <w:kern w:val="28"/>
      <w:sz w:val="24"/>
    </w:rPr>
  </w:style>
  <w:style w:type="character" w:customStyle="1" w:styleId="af1">
    <w:name w:val="副标题 字符"/>
    <w:basedOn w:val="a0"/>
    <w:link w:val="af0"/>
    <w:rPr>
      <w:rFonts w:asciiTheme="majorHAnsi" w:eastAsiaTheme="majorEastAsia" w:hAnsiTheme="majorHAnsi" w:cstheme="majorBidi"/>
      <w:color w:val="595959" w:themeColor="text1" w:themeTint="A6"/>
      <w:spacing w:val="15"/>
      <w:kern w:val="2"/>
      <w:sz w:val="28"/>
      <w:szCs w:val="28"/>
    </w:rPr>
  </w:style>
  <w:style w:type="paragraph" w:styleId="af2">
    <w:name w:val="Date"/>
    <w:basedOn w:val="a"/>
    <w:next w:val="a"/>
    <w:link w:val="18"/>
    <w:rPr>
      <w:rFonts w:ascii="宋体"/>
      <w:sz w:val="32"/>
      <w:lang w:val="x-none" w:eastAsia="x-none"/>
    </w:rPr>
  </w:style>
  <w:style w:type="character" w:customStyle="1" w:styleId="af3">
    <w:name w:val="日期 字符"/>
    <w:basedOn w:val="a0"/>
    <w:link w:val="af2"/>
    <w:rPr>
      <w:kern w:val="2"/>
      <w:sz w:val="21"/>
    </w:rPr>
  </w:style>
  <w:style w:type="paragraph" w:styleId="af4">
    <w:name w:val="Document Map"/>
    <w:basedOn w:val="a"/>
    <w:link w:val="19"/>
    <w:pPr>
      <w:shd w:val="clear" w:color="auto" w:fill="000080"/>
    </w:pPr>
  </w:style>
  <w:style w:type="character" w:customStyle="1" w:styleId="af5">
    <w:name w:val="文档结构图 字符"/>
    <w:basedOn w:val="a0"/>
    <w:link w:val="af4"/>
    <w:rPr>
      <w:rFonts w:ascii="Microsoft YaHei UI" w:eastAsia="Microsoft YaHei UI"/>
      <w:kern w:val="2"/>
      <w:sz w:val="18"/>
      <w:szCs w:val="18"/>
    </w:rPr>
  </w:style>
  <w:style w:type="paragraph" w:styleId="af6">
    <w:name w:val="Balloon Text"/>
    <w:basedOn w:val="a"/>
    <w:link w:val="1a"/>
    <w:uiPriority w:val="99"/>
    <w:semiHidden/>
    <w:unhideWhenUsed/>
    <w:rPr>
      <w:sz w:val="18"/>
      <w:szCs w:val="18"/>
    </w:rPr>
  </w:style>
  <w:style w:type="character" w:customStyle="1" w:styleId="af7">
    <w:name w:val="批注框文本 字符"/>
    <w:basedOn w:val="a0"/>
    <w:link w:val="af6"/>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f0"/>
    <w:next w:val="4"/>
    <w:qFormat/>
    <w:pPr>
      <w:numPr>
        <w:ilvl w:val="5"/>
        <w:numId w:val="2"/>
      </w:numPr>
      <w:spacing w:beforeLines="50" w:before="0" w:after="0" w:line="240" w:lineRule="auto"/>
      <w:ind w:left="2042"/>
      <w:outlineLvl w:val="9"/>
    </w:pPr>
    <w:rPr>
      <w:bCs/>
    </w:rPr>
  </w:style>
  <w:style w:type="paragraph" w:customStyle="1" w:styleId="af8">
    <w:name w:val="次标题"/>
    <w:basedOn w:val="3"/>
    <w:next w:val="a"/>
    <w:pPr>
      <w:spacing w:before="120" w:after="120"/>
      <w:jc w:val="left"/>
    </w:pPr>
    <w:rPr>
      <w:rFonts w:ascii="宋体" w:hAnsi="宋体"/>
      <w:sz w:val="21"/>
    </w:rPr>
  </w:style>
  <w:style w:type="paragraph" w:customStyle="1" w:styleId="XBRL6">
    <w:name w:val="XBRL标题6"/>
    <w:basedOn w:val="af0"/>
    <w:next w:val="4"/>
    <w:qFormat/>
    <w:pPr>
      <w:spacing w:beforeLines="50" w:before="0" w:after="0" w:line="240" w:lineRule="auto"/>
      <w:outlineLvl w:val="9"/>
    </w:pPr>
    <w:rPr>
      <w:bCs/>
    </w:rPr>
  </w:style>
  <w:style w:type="paragraph" w:customStyle="1" w:styleId="XBRL2">
    <w:name w:val="XBRL标题2"/>
    <w:basedOn w:val="af0"/>
    <w:next w:val="4"/>
    <w:qFormat/>
    <w:pPr>
      <w:spacing w:beforeLines="50" w:before="0" w:after="0" w:line="240" w:lineRule="auto"/>
    </w:pPr>
    <w:rPr>
      <w:bCs/>
    </w:rPr>
  </w:style>
  <w:style w:type="paragraph" w:customStyle="1" w:styleId="XBRL3">
    <w:name w:val="XBRL标题3"/>
    <w:basedOn w:val="af0"/>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f0"/>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f0"/>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f0"/>
    <w:next w:val="4"/>
    <w:qFormat/>
    <w:pPr>
      <w:spacing w:beforeLines="50" w:before="0" w:after="0" w:line="240" w:lineRule="auto"/>
      <w:outlineLvl w:val="9"/>
    </w:pPr>
    <w:rPr>
      <w:bCs/>
    </w:rPr>
  </w:style>
  <w:style w:type="paragraph" w:customStyle="1" w:styleId="XBRL4">
    <w:name w:val="XBRL标题4"/>
    <w:basedOn w:val="af0"/>
    <w:next w:val="4"/>
    <w:qFormat/>
    <w:pPr>
      <w:spacing w:beforeLines="50" w:before="0" w:after="0" w:line="240" w:lineRule="auto"/>
      <w:outlineLvl w:val="9"/>
    </w:pPr>
    <w:rPr>
      <w:bCs/>
    </w:rPr>
  </w:style>
  <w:style w:type="paragraph" w:customStyle="1" w:styleId="XBRLTitle4">
    <w:name w:val="XBRLTitle4"/>
    <w:basedOn w:val="af0"/>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f0"/>
    <w:next w:val="4"/>
    <w:autoRedefine/>
    <w:qFormat/>
    <w:pPr>
      <w:keepNext w:val="0"/>
      <w:keepLines w:val="0"/>
      <w:spacing w:beforeLines="50" w:before="0" w:after="0" w:line="240" w:lineRule="auto"/>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9">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批注文字 字符1"/>
    <w:basedOn w:val="a0"/>
    <w:link w:val="a8"/>
    <w:uiPriority w:val="99"/>
    <w:semiHidden/>
    <w:locked/>
    <w:rPr>
      <w:kern w:val="2"/>
      <w:sz w:val="21"/>
    </w:rPr>
  </w:style>
  <w:style w:type="character" w:customStyle="1" w:styleId="14">
    <w:name w:val="页眉 字符1"/>
    <w:basedOn w:val="a0"/>
    <w:link w:val="aa"/>
    <w:locked/>
    <w:rPr>
      <w:kern w:val="2"/>
      <w:sz w:val="18"/>
      <w:szCs w:val="18"/>
    </w:rPr>
  </w:style>
  <w:style w:type="character" w:customStyle="1" w:styleId="15">
    <w:name w:val="页脚 字符1"/>
    <w:basedOn w:val="a0"/>
    <w:link w:val="ac"/>
    <w:uiPriority w:val="99"/>
    <w:locked/>
    <w:rPr>
      <w:kern w:val="2"/>
      <w:sz w:val="18"/>
      <w:szCs w:val="18"/>
    </w:rPr>
  </w:style>
  <w:style w:type="character" w:customStyle="1" w:styleId="16">
    <w:name w:val="标题 字符1"/>
    <w:link w:val="ae"/>
    <w:uiPriority w:val="10"/>
    <w:locked/>
    <w:rPr>
      <w:rFonts w:ascii="Cambria" w:hAnsi="Cambria" w:cs="Times New Roman" w:hint="default"/>
      <w:b/>
      <w:bCs/>
      <w:sz w:val="32"/>
      <w:szCs w:val="32"/>
    </w:rPr>
  </w:style>
  <w:style w:type="character" w:customStyle="1" w:styleId="17">
    <w:name w:val="副标题 字符1"/>
    <w:link w:val="af0"/>
    <w:locked/>
    <w:rPr>
      <w:rFonts w:ascii="Cambria" w:eastAsia="宋体" w:hAnsi="Cambria" w:cs="Times New Roman" w:hint="default"/>
      <w:b/>
      <w:bCs w:val="0"/>
      <w:kern w:val="28"/>
      <w:sz w:val="24"/>
      <w:szCs w:val="32"/>
    </w:rPr>
  </w:style>
  <w:style w:type="character" w:customStyle="1" w:styleId="18">
    <w:name w:val="日期 字符1"/>
    <w:link w:val="af2"/>
    <w:locked/>
    <w:rPr>
      <w:rFonts w:ascii="宋体" w:eastAsia="宋体" w:hAnsi="宋体" w:hint="eastAsia"/>
      <w:kern w:val="2"/>
      <w:sz w:val="32"/>
    </w:rPr>
  </w:style>
  <w:style w:type="character" w:customStyle="1" w:styleId="19">
    <w:name w:val="文档结构图 字符1"/>
    <w:basedOn w:val="a0"/>
    <w:link w:val="af4"/>
    <w:locked/>
    <w:rPr>
      <w:rFonts w:ascii="宋体" w:eastAsia="宋体" w:hAnsi="宋体" w:hint="eastAsia"/>
      <w:kern w:val="2"/>
      <w:sz w:val="18"/>
      <w:szCs w:val="18"/>
    </w:rPr>
  </w:style>
  <w:style w:type="character" w:customStyle="1" w:styleId="1a">
    <w:name w:val="批注框文本 字符1"/>
    <w:basedOn w:val="a0"/>
    <w:link w:val="af6"/>
    <w:uiPriority w:val="99"/>
    <w:semiHidden/>
    <w:locked/>
    <w:rPr>
      <w:kern w:val="2"/>
      <w:sz w:val="18"/>
      <w:szCs w:val="18"/>
    </w:rPr>
  </w:style>
  <w:style w:type="table" w:styleId="afa">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0">
    <w:name w:val="页眉 Char"/>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07574">
      <w:marLeft w:val="0"/>
      <w:marRight w:val="0"/>
      <w:marTop w:val="0"/>
      <w:marBottom w:val="0"/>
      <w:divBdr>
        <w:top w:val="none" w:sz="0" w:space="0" w:color="auto"/>
        <w:left w:val="none" w:sz="0" w:space="0" w:color="auto"/>
        <w:bottom w:val="none" w:sz="0" w:space="0" w:color="auto"/>
        <w:right w:val="none" w:sz="0" w:space="0" w:color="auto"/>
      </w:divBdr>
    </w:div>
    <w:div w:id="233325196">
      <w:marLeft w:val="0"/>
      <w:marRight w:val="0"/>
      <w:marTop w:val="0"/>
      <w:marBottom w:val="0"/>
      <w:divBdr>
        <w:top w:val="none" w:sz="0" w:space="0" w:color="auto"/>
        <w:left w:val="none" w:sz="0" w:space="0" w:color="auto"/>
        <w:bottom w:val="none" w:sz="0" w:space="0" w:color="auto"/>
        <w:right w:val="none" w:sz="0" w:space="0" w:color="auto"/>
      </w:divBdr>
      <w:divsChild>
        <w:div w:id="514611076">
          <w:marLeft w:val="0"/>
          <w:marRight w:val="0"/>
          <w:marTop w:val="0"/>
          <w:marBottom w:val="0"/>
          <w:divBdr>
            <w:top w:val="none" w:sz="0" w:space="0" w:color="auto"/>
            <w:left w:val="none" w:sz="0" w:space="0" w:color="auto"/>
            <w:bottom w:val="none" w:sz="0" w:space="0" w:color="auto"/>
            <w:right w:val="none" w:sz="0" w:space="0" w:color="auto"/>
          </w:divBdr>
        </w:div>
      </w:divsChild>
    </w:div>
    <w:div w:id="306592865">
      <w:marLeft w:val="0"/>
      <w:marRight w:val="0"/>
      <w:marTop w:val="0"/>
      <w:marBottom w:val="0"/>
      <w:divBdr>
        <w:top w:val="none" w:sz="0" w:space="0" w:color="auto"/>
        <w:left w:val="none" w:sz="0" w:space="0" w:color="auto"/>
        <w:bottom w:val="none" w:sz="0" w:space="0" w:color="auto"/>
        <w:right w:val="none" w:sz="0" w:space="0" w:color="auto"/>
      </w:divBdr>
    </w:div>
    <w:div w:id="410540996">
      <w:marLeft w:val="0"/>
      <w:marRight w:val="0"/>
      <w:marTop w:val="0"/>
      <w:marBottom w:val="0"/>
      <w:divBdr>
        <w:top w:val="none" w:sz="0" w:space="0" w:color="auto"/>
        <w:left w:val="none" w:sz="0" w:space="0" w:color="auto"/>
        <w:bottom w:val="none" w:sz="0" w:space="0" w:color="auto"/>
        <w:right w:val="none" w:sz="0" w:space="0" w:color="auto"/>
      </w:divBdr>
    </w:div>
    <w:div w:id="426927376">
      <w:marLeft w:val="0"/>
      <w:marRight w:val="0"/>
      <w:marTop w:val="0"/>
      <w:marBottom w:val="0"/>
      <w:divBdr>
        <w:top w:val="none" w:sz="0" w:space="0" w:color="auto"/>
        <w:left w:val="none" w:sz="0" w:space="0" w:color="auto"/>
        <w:bottom w:val="none" w:sz="0" w:space="0" w:color="auto"/>
        <w:right w:val="none" w:sz="0" w:space="0" w:color="auto"/>
      </w:divBdr>
    </w:div>
    <w:div w:id="465123154">
      <w:marLeft w:val="0"/>
      <w:marRight w:val="0"/>
      <w:marTop w:val="0"/>
      <w:marBottom w:val="0"/>
      <w:divBdr>
        <w:top w:val="none" w:sz="0" w:space="0" w:color="auto"/>
        <w:left w:val="none" w:sz="0" w:space="0" w:color="auto"/>
        <w:bottom w:val="none" w:sz="0" w:space="0" w:color="auto"/>
        <w:right w:val="none" w:sz="0" w:space="0" w:color="auto"/>
      </w:divBdr>
      <w:divsChild>
        <w:div w:id="1839496118">
          <w:marLeft w:val="0"/>
          <w:marRight w:val="0"/>
          <w:marTop w:val="0"/>
          <w:marBottom w:val="0"/>
          <w:divBdr>
            <w:top w:val="none" w:sz="0" w:space="0" w:color="auto"/>
            <w:left w:val="none" w:sz="0" w:space="0" w:color="auto"/>
            <w:bottom w:val="none" w:sz="0" w:space="0" w:color="auto"/>
            <w:right w:val="none" w:sz="0" w:space="0" w:color="auto"/>
          </w:divBdr>
        </w:div>
      </w:divsChild>
    </w:div>
    <w:div w:id="525827489">
      <w:marLeft w:val="0"/>
      <w:marRight w:val="0"/>
      <w:marTop w:val="0"/>
      <w:marBottom w:val="0"/>
      <w:divBdr>
        <w:top w:val="none" w:sz="0" w:space="0" w:color="auto"/>
        <w:left w:val="none" w:sz="0" w:space="0" w:color="auto"/>
        <w:bottom w:val="none" w:sz="0" w:space="0" w:color="auto"/>
        <w:right w:val="none" w:sz="0" w:space="0" w:color="auto"/>
      </w:divBdr>
      <w:divsChild>
        <w:div w:id="1005940016">
          <w:marLeft w:val="0"/>
          <w:marRight w:val="0"/>
          <w:marTop w:val="0"/>
          <w:marBottom w:val="0"/>
          <w:divBdr>
            <w:top w:val="none" w:sz="0" w:space="0" w:color="auto"/>
            <w:left w:val="none" w:sz="0" w:space="0" w:color="auto"/>
            <w:bottom w:val="none" w:sz="0" w:space="0" w:color="auto"/>
            <w:right w:val="none" w:sz="0" w:space="0" w:color="auto"/>
          </w:divBdr>
        </w:div>
        <w:div w:id="318308569">
          <w:marLeft w:val="0"/>
          <w:marRight w:val="0"/>
          <w:marTop w:val="0"/>
          <w:marBottom w:val="0"/>
          <w:divBdr>
            <w:top w:val="none" w:sz="0" w:space="0" w:color="auto"/>
            <w:left w:val="none" w:sz="0" w:space="0" w:color="auto"/>
            <w:bottom w:val="none" w:sz="0" w:space="0" w:color="auto"/>
            <w:right w:val="none" w:sz="0" w:space="0" w:color="auto"/>
          </w:divBdr>
        </w:div>
      </w:divsChild>
    </w:div>
    <w:div w:id="558782518">
      <w:marLeft w:val="0"/>
      <w:marRight w:val="0"/>
      <w:marTop w:val="0"/>
      <w:marBottom w:val="0"/>
      <w:divBdr>
        <w:top w:val="none" w:sz="0" w:space="0" w:color="auto"/>
        <w:left w:val="none" w:sz="0" w:space="0" w:color="auto"/>
        <w:bottom w:val="none" w:sz="0" w:space="0" w:color="auto"/>
        <w:right w:val="none" w:sz="0" w:space="0" w:color="auto"/>
      </w:divBdr>
    </w:div>
    <w:div w:id="566500716">
      <w:marLeft w:val="0"/>
      <w:marRight w:val="0"/>
      <w:marTop w:val="0"/>
      <w:marBottom w:val="0"/>
      <w:divBdr>
        <w:top w:val="none" w:sz="0" w:space="0" w:color="auto"/>
        <w:left w:val="none" w:sz="0" w:space="0" w:color="auto"/>
        <w:bottom w:val="none" w:sz="0" w:space="0" w:color="auto"/>
        <w:right w:val="none" w:sz="0" w:space="0" w:color="auto"/>
      </w:divBdr>
    </w:div>
    <w:div w:id="681470435">
      <w:marLeft w:val="0"/>
      <w:marRight w:val="0"/>
      <w:marTop w:val="0"/>
      <w:marBottom w:val="0"/>
      <w:divBdr>
        <w:top w:val="none" w:sz="0" w:space="0" w:color="auto"/>
        <w:left w:val="none" w:sz="0" w:space="0" w:color="auto"/>
        <w:bottom w:val="none" w:sz="0" w:space="0" w:color="auto"/>
        <w:right w:val="none" w:sz="0" w:space="0" w:color="auto"/>
      </w:divBdr>
    </w:div>
    <w:div w:id="735856205">
      <w:marLeft w:val="0"/>
      <w:marRight w:val="0"/>
      <w:marTop w:val="0"/>
      <w:marBottom w:val="0"/>
      <w:divBdr>
        <w:top w:val="none" w:sz="0" w:space="0" w:color="auto"/>
        <w:left w:val="none" w:sz="0" w:space="0" w:color="auto"/>
        <w:bottom w:val="none" w:sz="0" w:space="0" w:color="auto"/>
        <w:right w:val="none" w:sz="0" w:space="0" w:color="auto"/>
      </w:divBdr>
      <w:divsChild>
        <w:div w:id="1425958854">
          <w:marLeft w:val="0"/>
          <w:marRight w:val="0"/>
          <w:marTop w:val="0"/>
          <w:marBottom w:val="0"/>
          <w:divBdr>
            <w:top w:val="none" w:sz="0" w:space="0" w:color="auto"/>
            <w:left w:val="none" w:sz="0" w:space="0" w:color="auto"/>
            <w:bottom w:val="none" w:sz="0" w:space="0" w:color="auto"/>
            <w:right w:val="none" w:sz="0" w:space="0" w:color="auto"/>
          </w:divBdr>
        </w:div>
      </w:divsChild>
    </w:div>
    <w:div w:id="961881869">
      <w:marLeft w:val="0"/>
      <w:marRight w:val="0"/>
      <w:marTop w:val="0"/>
      <w:marBottom w:val="0"/>
      <w:divBdr>
        <w:top w:val="none" w:sz="0" w:space="0" w:color="auto"/>
        <w:left w:val="none" w:sz="0" w:space="0" w:color="auto"/>
        <w:bottom w:val="none" w:sz="0" w:space="0" w:color="auto"/>
        <w:right w:val="none" w:sz="0" w:space="0" w:color="auto"/>
      </w:divBdr>
      <w:divsChild>
        <w:div w:id="253706066">
          <w:marLeft w:val="0"/>
          <w:marRight w:val="0"/>
          <w:marTop w:val="0"/>
          <w:marBottom w:val="0"/>
          <w:divBdr>
            <w:top w:val="none" w:sz="0" w:space="0" w:color="auto"/>
            <w:left w:val="none" w:sz="0" w:space="0" w:color="auto"/>
            <w:bottom w:val="none" w:sz="0" w:space="0" w:color="auto"/>
            <w:right w:val="none" w:sz="0" w:space="0" w:color="auto"/>
          </w:divBdr>
        </w:div>
      </w:divsChild>
    </w:div>
    <w:div w:id="1039432860">
      <w:marLeft w:val="0"/>
      <w:marRight w:val="0"/>
      <w:marTop w:val="0"/>
      <w:marBottom w:val="0"/>
      <w:divBdr>
        <w:top w:val="none" w:sz="0" w:space="0" w:color="auto"/>
        <w:left w:val="none" w:sz="0" w:space="0" w:color="auto"/>
        <w:bottom w:val="none" w:sz="0" w:space="0" w:color="auto"/>
        <w:right w:val="none" w:sz="0" w:space="0" w:color="auto"/>
      </w:divBdr>
    </w:div>
    <w:div w:id="1070688723">
      <w:marLeft w:val="0"/>
      <w:marRight w:val="0"/>
      <w:marTop w:val="0"/>
      <w:marBottom w:val="0"/>
      <w:divBdr>
        <w:top w:val="none" w:sz="0" w:space="0" w:color="auto"/>
        <w:left w:val="none" w:sz="0" w:space="0" w:color="auto"/>
        <w:bottom w:val="none" w:sz="0" w:space="0" w:color="auto"/>
        <w:right w:val="none" w:sz="0" w:space="0" w:color="auto"/>
      </w:divBdr>
    </w:div>
    <w:div w:id="1166751248">
      <w:marLeft w:val="0"/>
      <w:marRight w:val="0"/>
      <w:marTop w:val="0"/>
      <w:marBottom w:val="0"/>
      <w:divBdr>
        <w:top w:val="none" w:sz="0" w:space="0" w:color="auto"/>
        <w:left w:val="none" w:sz="0" w:space="0" w:color="auto"/>
        <w:bottom w:val="none" w:sz="0" w:space="0" w:color="auto"/>
        <w:right w:val="none" w:sz="0" w:space="0" w:color="auto"/>
      </w:divBdr>
    </w:div>
    <w:div w:id="1532835180">
      <w:marLeft w:val="0"/>
      <w:marRight w:val="0"/>
      <w:marTop w:val="0"/>
      <w:marBottom w:val="0"/>
      <w:divBdr>
        <w:top w:val="none" w:sz="0" w:space="0" w:color="auto"/>
        <w:left w:val="none" w:sz="0" w:space="0" w:color="auto"/>
        <w:bottom w:val="none" w:sz="0" w:space="0" w:color="auto"/>
        <w:right w:val="none" w:sz="0" w:space="0" w:color="auto"/>
      </w:divBdr>
    </w:div>
    <w:div w:id="1550989418">
      <w:marLeft w:val="0"/>
      <w:marRight w:val="0"/>
      <w:marTop w:val="0"/>
      <w:marBottom w:val="0"/>
      <w:divBdr>
        <w:top w:val="none" w:sz="0" w:space="0" w:color="auto"/>
        <w:left w:val="none" w:sz="0" w:space="0" w:color="auto"/>
        <w:bottom w:val="none" w:sz="0" w:space="0" w:color="auto"/>
        <w:right w:val="none" w:sz="0" w:space="0" w:color="auto"/>
      </w:divBdr>
    </w:div>
    <w:div w:id="1712993185">
      <w:marLeft w:val="0"/>
      <w:marRight w:val="0"/>
      <w:marTop w:val="0"/>
      <w:marBottom w:val="0"/>
      <w:divBdr>
        <w:top w:val="none" w:sz="0" w:space="0" w:color="auto"/>
        <w:left w:val="none" w:sz="0" w:space="0" w:color="auto"/>
        <w:bottom w:val="none" w:sz="0" w:space="0" w:color="auto"/>
        <w:right w:val="none" w:sz="0" w:space="0" w:color="auto"/>
      </w:divBdr>
      <w:divsChild>
        <w:div w:id="398792121">
          <w:marLeft w:val="0"/>
          <w:marRight w:val="0"/>
          <w:marTop w:val="0"/>
          <w:marBottom w:val="0"/>
          <w:divBdr>
            <w:top w:val="none" w:sz="0" w:space="0" w:color="auto"/>
            <w:left w:val="none" w:sz="0" w:space="0" w:color="auto"/>
            <w:bottom w:val="none" w:sz="0" w:space="0" w:color="auto"/>
            <w:right w:val="none" w:sz="0" w:space="0" w:color="auto"/>
          </w:divBdr>
        </w:div>
      </w:divsChild>
    </w:div>
    <w:div w:id="1730034050">
      <w:marLeft w:val="0"/>
      <w:marRight w:val="0"/>
      <w:marTop w:val="0"/>
      <w:marBottom w:val="0"/>
      <w:divBdr>
        <w:top w:val="none" w:sz="0" w:space="0" w:color="auto"/>
        <w:left w:val="none" w:sz="0" w:space="0" w:color="auto"/>
        <w:bottom w:val="none" w:sz="0" w:space="0" w:color="auto"/>
        <w:right w:val="none" w:sz="0" w:space="0" w:color="auto"/>
      </w:divBdr>
      <w:divsChild>
        <w:div w:id="2012441890">
          <w:marLeft w:val="0"/>
          <w:marRight w:val="0"/>
          <w:marTop w:val="0"/>
          <w:marBottom w:val="0"/>
          <w:divBdr>
            <w:top w:val="none" w:sz="0" w:space="0" w:color="auto"/>
            <w:left w:val="none" w:sz="0" w:space="0" w:color="auto"/>
            <w:bottom w:val="none" w:sz="0" w:space="0" w:color="auto"/>
            <w:right w:val="none" w:sz="0" w:space="0" w:color="auto"/>
          </w:divBdr>
        </w:div>
      </w:divsChild>
    </w:div>
    <w:div w:id="1753237309">
      <w:marLeft w:val="0"/>
      <w:marRight w:val="0"/>
      <w:marTop w:val="0"/>
      <w:marBottom w:val="0"/>
      <w:divBdr>
        <w:top w:val="none" w:sz="0" w:space="0" w:color="auto"/>
        <w:left w:val="none" w:sz="0" w:space="0" w:color="auto"/>
        <w:bottom w:val="none" w:sz="0" w:space="0" w:color="auto"/>
        <w:right w:val="none" w:sz="0" w:space="0" w:color="auto"/>
      </w:divBdr>
      <w:divsChild>
        <w:div w:id="410659412">
          <w:marLeft w:val="0"/>
          <w:marRight w:val="0"/>
          <w:marTop w:val="0"/>
          <w:marBottom w:val="0"/>
          <w:divBdr>
            <w:top w:val="none" w:sz="0" w:space="0" w:color="auto"/>
            <w:left w:val="none" w:sz="0" w:space="0" w:color="auto"/>
            <w:bottom w:val="none" w:sz="0" w:space="0" w:color="auto"/>
            <w:right w:val="none" w:sz="0" w:space="0" w:color="auto"/>
          </w:divBdr>
        </w:div>
      </w:divsChild>
    </w:div>
    <w:div w:id="1764456313">
      <w:marLeft w:val="0"/>
      <w:marRight w:val="0"/>
      <w:marTop w:val="0"/>
      <w:marBottom w:val="0"/>
      <w:divBdr>
        <w:top w:val="none" w:sz="0" w:space="0" w:color="auto"/>
        <w:left w:val="none" w:sz="0" w:space="0" w:color="auto"/>
        <w:bottom w:val="none" w:sz="0" w:space="0" w:color="auto"/>
        <w:right w:val="none" w:sz="0" w:space="0" w:color="auto"/>
      </w:divBdr>
    </w:div>
    <w:div w:id="1784420249">
      <w:marLeft w:val="0"/>
      <w:marRight w:val="0"/>
      <w:marTop w:val="0"/>
      <w:marBottom w:val="0"/>
      <w:divBdr>
        <w:top w:val="none" w:sz="0" w:space="0" w:color="auto"/>
        <w:left w:val="none" w:sz="0" w:space="0" w:color="auto"/>
        <w:bottom w:val="none" w:sz="0" w:space="0" w:color="auto"/>
        <w:right w:val="none" w:sz="0" w:space="0" w:color="auto"/>
      </w:divBdr>
    </w:div>
    <w:div w:id="1998919892">
      <w:marLeft w:val="0"/>
      <w:marRight w:val="0"/>
      <w:marTop w:val="0"/>
      <w:marBottom w:val="0"/>
      <w:divBdr>
        <w:top w:val="none" w:sz="0" w:space="0" w:color="auto"/>
        <w:left w:val="none" w:sz="0" w:space="0" w:color="auto"/>
        <w:bottom w:val="none" w:sz="0" w:space="0" w:color="auto"/>
        <w:right w:val="none" w:sz="0" w:space="0" w:color="auto"/>
      </w:divBdr>
      <w:divsChild>
        <w:div w:id="1244024901">
          <w:marLeft w:val="0"/>
          <w:marRight w:val="0"/>
          <w:marTop w:val="0"/>
          <w:marBottom w:val="0"/>
          <w:divBdr>
            <w:top w:val="none" w:sz="0" w:space="0" w:color="auto"/>
            <w:left w:val="none" w:sz="0" w:space="0" w:color="auto"/>
            <w:bottom w:val="none" w:sz="0" w:space="0" w:color="auto"/>
            <w:right w:val="none" w:sz="0" w:space="0" w:color="auto"/>
          </w:divBdr>
        </w:div>
      </w:divsChild>
    </w:div>
    <w:div w:id="2047291554">
      <w:marLeft w:val="0"/>
      <w:marRight w:val="0"/>
      <w:marTop w:val="0"/>
      <w:marBottom w:val="0"/>
      <w:divBdr>
        <w:top w:val="none" w:sz="0" w:space="0" w:color="auto"/>
        <w:left w:val="none" w:sz="0" w:space="0" w:color="auto"/>
        <w:bottom w:val="none" w:sz="0" w:space="0" w:color="auto"/>
        <w:right w:val="none" w:sz="0" w:space="0" w:color="auto"/>
      </w:divBdr>
      <w:divsChild>
        <w:div w:id="78816419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F255-8C29-4B5D-8D37-A49299DB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1421</Words>
  <Characters>8100</Characters>
  <Application>Microsoft Office Word</Application>
  <DocSecurity>4</DocSecurity>
  <Lines>67</Lines>
  <Paragraphs>19</Paragraphs>
  <ScaleCrop>false</ScaleCrop>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