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上投摩根锦程稳健养老目标一年持有期混合型基金中基金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C240D" w:rsidRDefault="00DD40E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C240D" w:rsidRDefault="00DD40E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C240D" w:rsidRDefault="00DD40E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C240D" w:rsidRDefault="00DD40EA">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FC240D" w:rsidRDefault="00DD40E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上投摩根锦程稳健养老一年持有混合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009143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009143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408,558,800.21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FC240D" w:rsidRDefault="00DD40EA">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FC240D" w:rsidRDefault="00DD40EA">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FC240D" w:rsidRDefault="00DD40EA">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20%:80%</w:t>
            </w:r>
            <w:r>
              <w:rPr>
                <w:color w:val="000000"/>
                <w:kern w:val="0"/>
                <w:sz w:val="24"/>
                <w:szCs w:val="24"/>
              </w:rPr>
              <w:t>；高风险类资产指股票型基金、</w:t>
            </w:r>
            <w:r>
              <w:rPr>
                <w:color w:val="000000"/>
                <w:kern w:val="0"/>
                <w:sz w:val="24"/>
                <w:szCs w:val="24"/>
              </w:rPr>
              <w:lastRenderedPageBreak/>
              <w:t>应计入高风险类资产的混合型基金、商品基金（</w:t>
            </w:r>
            <w:proofErr w:type="gramStart"/>
            <w:r>
              <w:rPr>
                <w:color w:val="000000"/>
                <w:kern w:val="0"/>
                <w:sz w:val="24"/>
                <w:szCs w:val="24"/>
              </w:rPr>
              <w:t>含商品</w:t>
            </w:r>
            <w:proofErr w:type="gramEnd"/>
            <w:r>
              <w:rPr>
                <w:color w:val="000000"/>
                <w:kern w:val="0"/>
                <w:sz w:val="24"/>
                <w:szCs w:val="24"/>
              </w:rPr>
              <w:t>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FC240D" w:rsidRDefault="00DD40EA">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FC240D" w:rsidRDefault="00DD40EA">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FC240D" w:rsidRDefault="00DD40EA">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w:t>
            </w:r>
            <w:proofErr w:type="gramStart"/>
            <w:r>
              <w:rPr>
                <w:color w:val="000000"/>
                <w:kern w:val="0"/>
                <w:sz w:val="24"/>
                <w:szCs w:val="24"/>
              </w:rPr>
              <w:t>景气向好的指数</w:t>
            </w:r>
            <w:proofErr w:type="gramEnd"/>
            <w:r>
              <w:rPr>
                <w:color w:val="000000"/>
                <w:kern w:val="0"/>
                <w:sz w:val="24"/>
                <w:szCs w:val="24"/>
              </w:rPr>
              <w:t>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*20%+</w:t>
            </w:r>
            <w:r w:rsidRPr="00414345">
              <w:rPr>
                <w:color w:val="000000"/>
                <w:kern w:val="0"/>
                <w:sz w:val="24"/>
                <w:szCs w:val="24"/>
              </w:rPr>
              <w:t>中证综合</w:t>
            </w:r>
            <w:proofErr w:type="gramStart"/>
            <w:r w:rsidRPr="00414345">
              <w:rPr>
                <w:color w:val="000000"/>
                <w:kern w:val="0"/>
                <w:sz w:val="24"/>
                <w:szCs w:val="24"/>
              </w:rPr>
              <w:t>债指数</w:t>
            </w:r>
            <w:proofErr w:type="gramEnd"/>
            <w:r w:rsidRPr="00414345">
              <w:rPr>
                <w:color w:val="000000"/>
                <w:kern w:val="0"/>
                <w:sz w:val="24"/>
                <w:szCs w:val="24"/>
              </w:rPr>
              <w:t>收益率</w:t>
            </w:r>
            <w:r w:rsidRPr="00414345">
              <w:rPr>
                <w:color w:val="000000"/>
                <w:kern w:val="0"/>
                <w:sz w:val="24"/>
                <w:szCs w:val="24"/>
              </w:rPr>
              <w:t>*70%+</w:t>
            </w:r>
            <w:r w:rsidRPr="00414345">
              <w:rPr>
                <w:color w:val="000000"/>
                <w:kern w:val="0"/>
                <w:sz w:val="24"/>
                <w:szCs w:val="24"/>
              </w:rPr>
              <w:t>活期存款利率（税后）</w:t>
            </w:r>
            <w:r w:rsidRPr="00414345">
              <w:rPr>
                <w:color w:val="000000"/>
                <w:kern w:val="0"/>
                <w:sz w:val="24"/>
                <w:szCs w:val="24"/>
              </w:rPr>
              <w:t>*10%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FC240D" w:rsidRDefault="00DD40EA">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20%</w:t>
            </w:r>
            <w:r>
              <w:rPr>
                <w:color w:val="000000"/>
                <w:kern w:val="0"/>
                <w:sz w:val="24"/>
                <w:szCs w:val="24"/>
              </w:rPr>
              <w:t>：</w:t>
            </w:r>
            <w:r>
              <w:rPr>
                <w:color w:val="000000"/>
                <w:kern w:val="0"/>
                <w:sz w:val="24"/>
                <w:szCs w:val="24"/>
              </w:rPr>
              <w:t>80%</w:t>
            </w:r>
            <w:r>
              <w:rPr>
                <w:color w:val="000000"/>
                <w:kern w:val="0"/>
                <w:sz w:val="24"/>
                <w:szCs w:val="24"/>
              </w:rPr>
              <w:t>，在基金管理人管理的养老目标风险基金中，属于高风险类资产的配置比例较低的产品。</w:t>
            </w:r>
          </w:p>
          <w:p w:rsidR="00FC240D" w:rsidRDefault="00DD40EA">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w:t>
            </w:r>
            <w:r w:rsidRPr="00414345">
              <w:rPr>
                <w:color w:val="000000"/>
                <w:kern w:val="0"/>
                <w:sz w:val="24"/>
                <w:szCs w:val="24"/>
              </w:rPr>
              <w:lastRenderedPageBreak/>
              <w:t>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D40EA" w:rsidRPr="00414345" w:rsidTr="00DD40E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D40EA" w:rsidRPr="00414345" w:rsidTr="00DD40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5,624,246.84</w:t>
            </w:r>
          </w:p>
        </w:tc>
      </w:tr>
      <w:tr w:rsidR="00DD40EA" w:rsidRPr="00414345" w:rsidTr="00DD40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19,361,343.55</w:t>
            </w:r>
          </w:p>
        </w:tc>
      </w:tr>
      <w:tr w:rsidR="00DD40EA" w:rsidRPr="00414345" w:rsidTr="00DD40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0.0475</w:t>
            </w:r>
          </w:p>
        </w:tc>
      </w:tr>
      <w:tr w:rsidR="00DD40EA" w:rsidRPr="00414345" w:rsidTr="00DD40E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438,803,749.17</w:t>
            </w:r>
          </w:p>
        </w:tc>
      </w:tr>
      <w:tr w:rsidR="00DD40EA" w:rsidRPr="00414345" w:rsidTr="00DD40E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1.0740</w:t>
            </w:r>
          </w:p>
        </w:tc>
      </w:tr>
    </w:tbl>
    <w:p w:rsidR="00FC240D" w:rsidRDefault="00DD40EA">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C240D">
        <w:trPr>
          <w:jc w:val="center"/>
        </w:trPr>
        <w:tc>
          <w:tcPr>
            <w:tcW w:w="1701" w:type="dxa"/>
            <w:vAlign w:val="center"/>
          </w:tcPr>
          <w:p w:rsidR="00FC240D" w:rsidRDefault="00DD40EA">
            <w:pPr>
              <w:jc w:val="left"/>
            </w:pPr>
            <w:r>
              <w:rPr>
                <w:color w:val="000000"/>
                <w:sz w:val="24"/>
                <w:szCs w:val="24"/>
              </w:rPr>
              <w:t>过去三个月</w:t>
            </w:r>
          </w:p>
        </w:tc>
        <w:tc>
          <w:tcPr>
            <w:tcW w:w="1045" w:type="dxa"/>
            <w:vAlign w:val="center"/>
          </w:tcPr>
          <w:p w:rsidR="00FC240D" w:rsidRDefault="00DD40EA">
            <w:pPr>
              <w:jc w:val="center"/>
            </w:pPr>
            <w:r>
              <w:rPr>
                <w:color w:val="000000"/>
                <w:sz w:val="24"/>
                <w:szCs w:val="24"/>
              </w:rPr>
              <w:t>4.62%</w:t>
            </w:r>
          </w:p>
        </w:tc>
        <w:tc>
          <w:tcPr>
            <w:tcW w:w="1344" w:type="dxa"/>
            <w:vAlign w:val="center"/>
          </w:tcPr>
          <w:p w:rsidR="00FC240D" w:rsidRDefault="00DD40EA">
            <w:pPr>
              <w:jc w:val="center"/>
            </w:pPr>
            <w:r>
              <w:rPr>
                <w:color w:val="000000"/>
                <w:sz w:val="24"/>
                <w:szCs w:val="24"/>
              </w:rPr>
              <w:t>0.26%</w:t>
            </w:r>
          </w:p>
        </w:tc>
        <w:tc>
          <w:tcPr>
            <w:tcW w:w="1194" w:type="dxa"/>
            <w:vAlign w:val="center"/>
          </w:tcPr>
          <w:p w:rsidR="00FC240D" w:rsidRDefault="00DD40EA">
            <w:pPr>
              <w:jc w:val="center"/>
            </w:pPr>
            <w:r>
              <w:rPr>
                <w:color w:val="000000"/>
                <w:sz w:val="24"/>
                <w:szCs w:val="24"/>
              </w:rPr>
              <w:t>3.01%</w:t>
            </w:r>
          </w:p>
        </w:tc>
        <w:tc>
          <w:tcPr>
            <w:tcW w:w="1492" w:type="dxa"/>
            <w:vAlign w:val="center"/>
          </w:tcPr>
          <w:p w:rsidR="00FC240D" w:rsidRDefault="00DD40EA">
            <w:pPr>
              <w:jc w:val="center"/>
            </w:pPr>
            <w:r>
              <w:rPr>
                <w:color w:val="000000"/>
                <w:sz w:val="24"/>
                <w:szCs w:val="24"/>
              </w:rPr>
              <w:t>0.21%</w:t>
            </w:r>
          </w:p>
        </w:tc>
        <w:tc>
          <w:tcPr>
            <w:tcW w:w="1194" w:type="dxa"/>
            <w:vAlign w:val="center"/>
          </w:tcPr>
          <w:p w:rsidR="00FC240D" w:rsidRDefault="00DD40EA">
            <w:pPr>
              <w:jc w:val="center"/>
            </w:pPr>
            <w:r>
              <w:rPr>
                <w:color w:val="000000"/>
                <w:sz w:val="24"/>
                <w:szCs w:val="24"/>
              </w:rPr>
              <w:t>1.61%</w:t>
            </w:r>
          </w:p>
        </w:tc>
        <w:tc>
          <w:tcPr>
            <w:tcW w:w="898" w:type="dxa"/>
            <w:vAlign w:val="center"/>
          </w:tcPr>
          <w:p w:rsidR="00FC240D" w:rsidRDefault="00DD40EA">
            <w:pPr>
              <w:jc w:val="center"/>
            </w:pPr>
            <w:r>
              <w:rPr>
                <w:color w:val="000000"/>
                <w:sz w:val="24"/>
                <w:szCs w:val="24"/>
              </w:rPr>
              <w:t>0.05%</w:t>
            </w:r>
          </w:p>
        </w:tc>
      </w:tr>
      <w:tr w:rsidR="00FC240D">
        <w:trPr>
          <w:jc w:val="center"/>
        </w:trPr>
        <w:tc>
          <w:tcPr>
            <w:tcW w:w="1701" w:type="dxa"/>
            <w:vAlign w:val="center"/>
          </w:tcPr>
          <w:p w:rsidR="00FC240D" w:rsidRDefault="00DD40EA">
            <w:pPr>
              <w:jc w:val="left"/>
            </w:pPr>
            <w:r>
              <w:rPr>
                <w:color w:val="000000"/>
                <w:sz w:val="24"/>
                <w:szCs w:val="24"/>
              </w:rPr>
              <w:t>过去六个月</w:t>
            </w:r>
          </w:p>
        </w:tc>
        <w:tc>
          <w:tcPr>
            <w:tcW w:w="1045" w:type="dxa"/>
            <w:vAlign w:val="center"/>
          </w:tcPr>
          <w:p w:rsidR="00FC240D" w:rsidRDefault="00DD40EA">
            <w:pPr>
              <w:jc w:val="center"/>
            </w:pPr>
            <w:r>
              <w:rPr>
                <w:color w:val="000000"/>
                <w:sz w:val="24"/>
                <w:szCs w:val="24"/>
              </w:rPr>
              <w:t>6.47%</w:t>
            </w:r>
          </w:p>
        </w:tc>
        <w:tc>
          <w:tcPr>
            <w:tcW w:w="1344" w:type="dxa"/>
            <w:vAlign w:val="center"/>
          </w:tcPr>
          <w:p w:rsidR="00FC240D" w:rsidRDefault="00DD40EA">
            <w:pPr>
              <w:jc w:val="center"/>
            </w:pPr>
            <w:r>
              <w:rPr>
                <w:color w:val="000000"/>
                <w:sz w:val="24"/>
                <w:szCs w:val="24"/>
              </w:rPr>
              <w:t>0.30%</w:t>
            </w:r>
          </w:p>
        </w:tc>
        <w:tc>
          <w:tcPr>
            <w:tcW w:w="1194" w:type="dxa"/>
            <w:vAlign w:val="center"/>
          </w:tcPr>
          <w:p w:rsidR="00FC240D" w:rsidRDefault="00DD40EA">
            <w:pPr>
              <w:jc w:val="center"/>
            </w:pPr>
            <w:r>
              <w:rPr>
                <w:color w:val="000000"/>
                <w:sz w:val="24"/>
                <w:szCs w:val="24"/>
              </w:rPr>
              <w:t>4.55%</w:t>
            </w:r>
          </w:p>
        </w:tc>
        <w:tc>
          <w:tcPr>
            <w:tcW w:w="1492" w:type="dxa"/>
            <w:vAlign w:val="center"/>
          </w:tcPr>
          <w:p w:rsidR="00FC240D" w:rsidRDefault="00DD40EA">
            <w:pPr>
              <w:jc w:val="center"/>
            </w:pPr>
            <w:r>
              <w:rPr>
                <w:color w:val="000000"/>
                <w:sz w:val="24"/>
                <w:szCs w:val="24"/>
              </w:rPr>
              <w:t>0.27%</w:t>
            </w:r>
          </w:p>
        </w:tc>
        <w:tc>
          <w:tcPr>
            <w:tcW w:w="1194" w:type="dxa"/>
            <w:vAlign w:val="center"/>
          </w:tcPr>
          <w:p w:rsidR="00FC240D" w:rsidRDefault="00DD40EA">
            <w:pPr>
              <w:jc w:val="center"/>
            </w:pPr>
            <w:r>
              <w:rPr>
                <w:color w:val="000000"/>
                <w:sz w:val="24"/>
                <w:szCs w:val="24"/>
              </w:rPr>
              <w:t>1.92%</w:t>
            </w:r>
          </w:p>
        </w:tc>
        <w:tc>
          <w:tcPr>
            <w:tcW w:w="898" w:type="dxa"/>
            <w:vAlign w:val="center"/>
          </w:tcPr>
          <w:p w:rsidR="00FC240D" w:rsidRDefault="00DD40EA">
            <w:pPr>
              <w:jc w:val="center"/>
            </w:pPr>
            <w:r>
              <w:rPr>
                <w:color w:val="000000"/>
                <w:sz w:val="24"/>
                <w:szCs w:val="24"/>
              </w:rPr>
              <w:t>0.03%</w:t>
            </w:r>
          </w:p>
        </w:tc>
      </w:tr>
      <w:tr w:rsidR="00FC240D">
        <w:trPr>
          <w:jc w:val="center"/>
        </w:trPr>
        <w:tc>
          <w:tcPr>
            <w:tcW w:w="1701" w:type="dxa"/>
            <w:vAlign w:val="center"/>
          </w:tcPr>
          <w:p w:rsidR="00FC240D" w:rsidRDefault="00DD40EA">
            <w:pPr>
              <w:jc w:val="left"/>
            </w:pPr>
            <w:r>
              <w:rPr>
                <w:color w:val="000000"/>
                <w:sz w:val="24"/>
                <w:szCs w:val="24"/>
              </w:rPr>
              <w:t>过去一年</w:t>
            </w:r>
          </w:p>
        </w:tc>
        <w:tc>
          <w:tcPr>
            <w:tcW w:w="1045" w:type="dxa"/>
            <w:vAlign w:val="center"/>
          </w:tcPr>
          <w:p w:rsidR="00FC240D" w:rsidRDefault="00DD40EA">
            <w:pPr>
              <w:jc w:val="center"/>
            </w:pPr>
            <w:r>
              <w:rPr>
                <w:color w:val="000000"/>
                <w:sz w:val="24"/>
                <w:szCs w:val="24"/>
              </w:rPr>
              <w:t>-</w:t>
            </w:r>
          </w:p>
        </w:tc>
        <w:tc>
          <w:tcPr>
            <w:tcW w:w="1344"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1492"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898" w:type="dxa"/>
            <w:vAlign w:val="center"/>
          </w:tcPr>
          <w:p w:rsidR="00FC240D" w:rsidRDefault="00DD40EA">
            <w:pPr>
              <w:jc w:val="center"/>
            </w:pPr>
            <w:r>
              <w:rPr>
                <w:color w:val="000000"/>
                <w:sz w:val="24"/>
                <w:szCs w:val="24"/>
              </w:rPr>
              <w:t>-</w:t>
            </w:r>
          </w:p>
        </w:tc>
      </w:tr>
      <w:tr w:rsidR="00FC240D">
        <w:trPr>
          <w:jc w:val="center"/>
        </w:trPr>
        <w:tc>
          <w:tcPr>
            <w:tcW w:w="1701" w:type="dxa"/>
            <w:vAlign w:val="center"/>
          </w:tcPr>
          <w:p w:rsidR="00FC240D" w:rsidRDefault="00DD40EA">
            <w:pPr>
              <w:jc w:val="left"/>
            </w:pPr>
            <w:r>
              <w:rPr>
                <w:color w:val="000000"/>
                <w:sz w:val="24"/>
                <w:szCs w:val="24"/>
              </w:rPr>
              <w:t>过去三年</w:t>
            </w:r>
          </w:p>
        </w:tc>
        <w:tc>
          <w:tcPr>
            <w:tcW w:w="1045" w:type="dxa"/>
            <w:vAlign w:val="center"/>
          </w:tcPr>
          <w:p w:rsidR="00FC240D" w:rsidRDefault="00DD40EA">
            <w:pPr>
              <w:jc w:val="center"/>
            </w:pPr>
            <w:r>
              <w:rPr>
                <w:color w:val="000000"/>
                <w:sz w:val="24"/>
                <w:szCs w:val="24"/>
              </w:rPr>
              <w:t>-</w:t>
            </w:r>
          </w:p>
        </w:tc>
        <w:tc>
          <w:tcPr>
            <w:tcW w:w="1344"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1492"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898" w:type="dxa"/>
            <w:vAlign w:val="center"/>
          </w:tcPr>
          <w:p w:rsidR="00FC240D" w:rsidRDefault="00DD40EA">
            <w:pPr>
              <w:jc w:val="center"/>
            </w:pPr>
            <w:r>
              <w:rPr>
                <w:color w:val="000000"/>
                <w:sz w:val="24"/>
                <w:szCs w:val="24"/>
              </w:rPr>
              <w:t>-</w:t>
            </w:r>
          </w:p>
        </w:tc>
      </w:tr>
      <w:tr w:rsidR="00FC240D">
        <w:trPr>
          <w:jc w:val="center"/>
        </w:trPr>
        <w:tc>
          <w:tcPr>
            <w:tcW w:w="1701" w:type="dxa"/>
            <w:vAlign w:val="center"/>
          </w:tcPr>
          <w:p w:rsidR="00FC240D" w:rsidRDefault="00DD40EA">
            <w:pPr>
              <w:jc w:val="left"/>
            </w:pPr>
            <w:r>
              <w:rPr>
                <w:color w:val="000000"/>
                <w:sz w:val="24"/>
                <w:szCs w:val="24"/>
              </w:rPr>
              <w:t>过去五年</w:t>
            </w:r>
          </w:p>
        </w:tc>
        <w:tc>
          <w:tcPr>
            <w:tcW w:w="1045" w:type="dxa"/>
            <w:vAlign w:val="center"/>
          </w:tcPr>
          <w:p w:rsidR="00FC240D" w:rsidRDefault="00DD40EA">
            <w:pPr>
              <w:jc w:val="center"/>
            </w:pPr>
            <w:r>
              <w:rPr>
                <w:color w:val="000000"/>
                <w:sz w:val="24"/>
                <w:szCs w:val="24"/>
              </w:rPr>
              <w:t>-</w:t>
            </w:r>
          </w:p>
        </w:tc>
        <w:tc>
          <w:tcPr>
            <w:tcW w:w="1344"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1492" w:type="dxa"/>
            <w:vAlign w:val="center"/>
          </w:tcPr>
          <w:p w:rsidR="00FC240D" w:rsidRDefault="00DD40EA">
            <w:pPr>
              <w:jc w:val="center"/>
            </w:pPr>
            <w:r>
              <w:rPr>
                <w:color w:val="000000"/>
                <w:sz w:val="24"/>
                <w:szCs w:val="24"/>
              </w:rPr>
              <w:t>-</w:t>
            </w:r>
          </w:p>
        </w:tc>
        <w:tc>
          <w:tcPr>
            <w:tcW w:w="1194" w:type="dxa"/>
            <w:vAlign w:val="center"/>
          </w:tcPr>
          <w:p w:rsidR="00FC240D" w:rsidRDefault="00DD40EA">
            <w:pPr>
              <w:jc w:val="center"/>
            </w:pPr>
            <w:r>
              <w:rPr>
                <w:color w:val="000000"/>
                <w:sz w:val="24"/>
                <w:szCs w:val="24"/>
              </w:rPr>
              <w:t>-</w:t>
            </w:r>
          </w:p>
        </w:tc>
        <w:tc>
          <w:tcPr>
            <w:tcW w:w="898" w:type="dxa"/>
            <w:vAlign w:val="center"/>
          </w:tcPr>
          <w:p w:rsidR="00FC240D" w:rsidRDefault="00DD40EA">
            <w:pPr>
              <w:jc w:val="center"/>
            </w:pPr>
            <w:r>
              <w:rPr>
                <w:color w:val="000000"/>
                <w:sz w:val="24"/>
                <w:szCs w:val="24"/>
              </w:rPr>
              <w:t>-</w:t>
            </w:r>
          </w:p>
        </w:tc>
      </w:tr>
      <w:tr w:rsidR="00FC240D">
        <w:trPr>
          <w:jc w:val="center"/>
        </w:trPr>
        <w:tc>
          <w:tcPr>
            <w:tcW w:w="1701" w:type="dxa"/>
            <w:vAlign w:val="center"/>
          </w:tcPr>
          <w:p w:rsidR="00FC240D" w:rsidRDefault="00DD40EA">
            <w:pPr>
              <w:jc w:val="left"/>
            </w:pPr>
            <w:r>
              <w:rPr>
                <w:color w:val="000000"/>
                <w:sz w:val="24"/>
                <w:szCs w:val="24"/>
              </w:rPr>
              <w:t>自基金合同生效起至今</w:t>
            </w:r>
          </w:p>
        </w:tc>
        <w:tc>
          <w:tcPr>
            <w:tcW w:w="1045" w:type="dxa"/>
            <w:vAlign w:val="center"/>
          </w:tcPr>
          <w:p w:rsidR="00FC240D" w:rsidRDefault="00DD40EA">
            <w:pPr>
              <w:jc w:val="center"/>
            </w:pPr>
            <w:r>
              <w:rPr>
                <w:color w:val="000000"/>
                <w:sz w:val="24"/>
                <w:szCs w:val="24"/>
              </w:rPr>
              <w:t>7.40%</w:t>
            </w:r>
          </w:p>
        </w:tc>
        <w:tc>
          <w:tcPr>
            <w:tcW w:w="1344" w:type="dxa"/>
            <w:vAlign w:val="center"/>
          </w:tcPr>
          <w:p w:rsidR="00FC240D" w:rsidRDefault="00DD40EA">
            <w:pPr>
              <w:jc w:val="center"/>
            </w:pPr>
            <w:r>
              <w:rPr>
                <w:color w:val="000000"/>
                <w:sz w:val="24"/>
                <w:szCs w:val="24"/>
              </w:rPr>
              <w:t>0.27%</w:t>
            </w:r>
          </w:p>
        </w:tc>
        <w:tc>
          <w:tcPr>
            <w:tcW w:w="1194" w:type="dxa"/>
            <w:vAlign w:val="center"/>
          </w:tcPr>
          <w:p w:rsidR="00FC240D" w:rsidRDefault="00DD40EA">
            <w:pPr>
              <w:jc w:val="center"/>
            </w:pPr>
            <w:r>
              <w:rPr>
                <w:color w:val="000000"/>
                <w:sz w:val="24"/>
                <w:szCs w:val="24"/>
              </w:rPr>
              <w:t>5.33%</w:t>
            </w:r>
          </w:p>
        </w:tc>
        <w:tc>
          <w:tcPr>
            <w:tcW w:w="1492" w:type="dxa"/>
            <w:vAlign w:val="center"/>
          </w:tcPr>
          <w:p w:rsidR="00FC240D" w:rsidRDefault="00DD40EA">
            <w:pPr>
              <w:jc w:val="center"/>
            </w:pPr>
            <w:r>
              <w:rPr>
                <w:color w:val="000000"/>
                <w:sz w:val="24"/>
                <w:szCs w:val="24"/>
              </w:rPr>
              <w:t>0.25%</w:t>
            </w:r>
          </w:p>
        </w:tc>
        <w:tc>
          <w:tcPr>
            <w:tcW w:w="1194" w:type="dxa"/>
            <w:vAlign w:val="center"/>
          </w:tcPr>
          <w:p w:rsidR="00FC240D" w:rsidRDefault="00DD40EA">
            <w:pPr>
              <w:jc w:val="center"/>
            </w:pPr>
            <w:r>
              <w:rPr>
                <w:color w:val="000000"/>
                <w:sz w:val="24"/>
                <w:szCs w:val="24"/>
              </w:rPr>
              <w:t>2.07%</w:t>
            </w:r>
          </w:p>
        </w:tc>
        <w:tc>
          <w:tcPr>
            <w:tcW w:w="898" w:type="dxa"/>
            <w:vAlign w:val="center"/>
          </w:tcPr>
          <w:p w:rsidR="00FC240D" w:rsidRDefault="00DD40EA">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上投摩根锦程稳健养老目标一年持有期混合型基金中基金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FC240D" w:rsidRDefault="00DD40EA">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23</w:t>
      </w:r>
      <w:r>
        <w:rPr>
          <w:color w:val="000000"/>
          <w:sz w:val="24"/>
          <w:szCs w:val="24"/>
        </w:rPr>
        <w:t>日，截至报告期末本基金合同生效未满一年。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23</w:t>
      </w:r>
      <w:r w:rsidRPr="00414345">
        <w:rPr>
          <w:color w:val="000000"/>
          <w:sz w:val="24"/>
          <w:szCs w:val="24"/>
        </w:rPr>
        <w:t>日至</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22</w:t>
      </w:r>
      <w:r w:rsidRPr="00414345">
        <w:rPr>
          <w:color w:val="000000"/>
          <w:sz w:val="24"/>
          <w:szCs w:val="24"/>
        </w:rPr>
        <w:t>日，建仓期结束时资产配置比例符合本</w:t>
      </w:r>
      <w:proofErr w:type="gramStart"/>
      <w:r w:rsidRPr="00414345">
        <w:rPr>
          <w:color w:val="000000"/>
          <w:sz w:val="24"/>
          <w:szCs w:val="24"/>
        </w:rPr>
        <w:t>基金基金</w:t>
      </w:r>
      <w:proofErr w:type="gramEnd"/>
      <w:r w:rsidRPr="00414345">
        <w:rPr>
          <w:color w:val="000000"/>
          <w:sz w:val="24"/>
          <w:szCs w:val="24"/>
        </w:rPr>
        <w:t>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C240D">
        <w:trPr>
          <w:jc w:val="center"/>
        </w:trPr>
        <w:tc>
          <w:tcPr>
            <w:tcW w:w="846" w:type="dxa"/>
            <w:vAlign w:val="center"/>
          </w:tcPr>
          <w:p w:rsidR="00FC240D" w:rsidRDefault="00DD40EA">
            <w:pPr>
              <w:jc w:val="center"/>
            </w:pPr>
            <w:proofErr w:type="gramStart"/>
            <w:r>
              <w:rPr>
                <w:color w:val="000000"/>
                <w:sz w:val="24"/>
                <w:szCs w:val="24"/>
              </w:rPr>
              <w:t>杜习杰</w:t>
            </w:r>
            <w:proofErr w:type="gramEnd"/>
          </w:p>
        </w:tc>
        <w:tc>
          <w:tcPr>
            <w:tcW w:w="845" w:type="dxa"/>
            <w:vAlign w:val="center"/>
          </w:tcPr>
          <w:p w:rsidR="00FC240D" w:rsidRDefault="00DD40EA">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rsidR="00FC240D" w:rsidRDefault="00DD40EA">
            <w:pPr>
              <w:jc w:val="center"/>
            </w:pPr>
            <w:r>
              <w:rPr>
                <w:color w:val="000000"/>
                <w:sz w:val="24"/>
                <w:szCs w:val="24"/>
              </w:rPr>
              <w:t>2020-04-23</w:t>
            </w:r>
          </w:p>
        </w:tc>
        <w:tc>
          <w:tcPr>
            <w:tcW w:w="1548" w:type="dxa"/>
            <w:vAlign w:val="center"/>
          </w:tcPr>
          <w:p w:rsidR="00FC240D" w:rsidRDefault="00DD40EA">
            <w:pPr>
              <w:jc w:val="center"/>
            </w:pPr>
            <w:r>
              <w:rPr>
                <w:color w:val="000000"/>
                <w:sz w:val="24"/>
                <w:szCs w:val="24"/>
              </w:rPr>
              <w:t>-</w:t>
            </w:r>
          </w:p>
        </w:tc>
        <w:tc>
          <w:tcPr>
            <w:tcW w:w="1407" w:type="dxa"/>
            <w:vAlign w:val="center"/>
          </w:tcPr>
          <w:p w:rsidR="00FC240D" w:rsidRDefault="00DD40EA">
            <w:pPr>
              <w:jc w:val="center"/>
            </w:pPr>
            <w:r>
              <w:rPr>
                <w:color w:val="000000"/>
                <w:sz w:val="24"/>
                <w:szCs w:val="24"/>
              </w:rPr>
              <w:t>12</w:t>
            </w:r>
            <w:r>
              <w:rPr>
                <w:color w:val="000000"/>
                <w:sz w:val="24"/>
                <w:szCs w:val="24"/>
              </w:rPr>
              <w:t>年</w:t>
            </w:r>
          </w:p>
        </w:tc>
        <w:tc>
          <w:tcPr>
            <w:tcW w:w="2673" w:type="dxa"/>
            <w:vAlign w:val="center"/>
          </w:tcPr>
          <w:p w:rsidR="00FC240D" w:rsidRDefault="00DD40EA">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w:t>
            </w:r>
            <w:r>
              <w:rPr>
                <w:color w:val="000000"/>
                <w:sz w:val="24"/>
                <w:szCs w:val="24"/>
              </w:rPr>
              <w:lastRenderedPageBreak/>
              <w:t>上投摩根基金管理有限公司，历任研究员、投资经理兼研究员，现任组合基金投资</w:t>
            </w:r>
            <w:proofErr w:type="gramStart"/>
            <w:r>
              <w:rPr>
                <w:color w:val="000000"/>
                <w:sz w:val="24"/>
                <w:szCs w:val="24"/>
              </w:rPr>
              <w:t>部基金</w:t>
            </w:r>
            <w:proofErr w:type="gramEnd"/>
            <w:r>
              <w:rPr>
                <w:color w:val="000000"/>
                <w:sz w:val="24"/>
                <w:szCs w:val="24"/>
              </w:rPr>
              <w:t>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w:t>
            </w:r>
            <w:proofErr w:type="gramStart"/>
            <w:r>
              <w:rPr>
                <w:color w:val="000000"/>
                <w:sz w:val="24"/>
                <w:szCs w:val="24"/>
              </w:rPr>
              <w:t>程积极</w:t>
            </w:r>
            <w:proofErr w:type="gramEnd"/>
            <w:r>
              <w:rPr>
                <w:color w:val="000000"/>
                <w:sz w:val="24"/>
                <w:szCs w:val="24"/>
              </w:rPr>
              <w:t>成长养老目标五年持有期混合型发起</w:t>
            </w:r>
            <w:proofErr w:type="gramStart"/>
            <w:r>
              <w:rPr>
                <w:color w:val="000000"/>
                <w:sz w:val="24"/>
                <w:szCs w:val="24"/>
              </w:rPr>
              <w:t>式基金</w:t>
            </w:r>
            <w:proofErr w:type="gramEnd"/>
            <w:r>
              <w:rPr>
                <w:color w:val="000000"/>
                <w:sz w:val="24"/>
                <w:szCs w:val="24"/>
              </w:rPr>
              <w:t>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bl>
    <w:p w:rsidR="00FC240D" w:rsidRDefault="00DD40EA">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FC240D" w:rsidRDefault="00DD40EA">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w:t>
      </w:r>
      <w:proofErr w:type="gramStart"/>
      <w:r>
        <w:rPr>
          <w:color w:val="000000"/>
          <w:sz w:val="24"/>
          <w:szCs w:val="24"/>
        </w:rPr>
        <w:t>首任基金</w:t>
      </w:r>
      <w:proofErr w:type="gramEnd"/>
      <w:r>
        <w:rPr>
          <w:color w:val="000000"/>
          <w:sz w:val="24"/>
          <w:szCs w:val="24"/>
        </w:rPr>
        <w:t>经理，其任职日期为本</w:t>
      </w:r>
      <w:proofErr w:type="gramStart"/>
      <w:r>
        <w:rPr>
          <w:color w:val="000000"/>
          <w:sz w:val="24"/>
          <w:szCs w:val="24"/>
        </w:rPr>
        <w:t>基金基金</w:t>
      </w:r>
      <w:proofErr w:type="gramEnd"/>
      <w:r>
        <w:rPr>
          <w:color w:val="000000"/>
          <w:sz w:val="24"/>
          <w:szCs w:val="24"/>
        </w:rPr>
        <w:t>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稳健养老目标一年持有期混合型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C240D" w:rsidRDefault="00DD40EA">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240D" w:rsidRDefault="00DD40EA">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w:t>
      </w:r>
      <w:r>
        <w:rPr>
          <w:color w:val="000000"/>
          <w:sz w:val="24"/>
          <w:szCs w:val="24"/>
        </w:rPr>
        <w:lastRenderedPageBreak/>
        <w:t>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FC240D" w:rsidRDefault="00DD40EA">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C240D" w:rsidRDefault="00DD40EA">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四季度，经济复苏逐渐成为驱动市场的主要因素。随着美国大选落地，不确定因素的影响降低，美国货币政策持续宽松并计划推出新一轮的刺激政策，新冠疫苗开始接种，一系列因素都提升了全球投资者的风险偏好。各大类资产都有显著的涨幅，其中</w:t>
      </w:r>
      <w:r>
        <w:rPr>
          <w:color w:val="000000"/>
          <w:sz w:val="24"/>
          <w:szCs w:val="24"/>
        </w:rPr>
        <w:t>A</w:t>
      </w:r>
      <w:r>
        <w:rPr>
          <w:color w:val="000000"/>
          <w:sz w:val="24"/>
          <w:szCs w:val="24"/>
        </w:rPr>
        <w:t>股震荡上行，且结构分化严重，成长风格大幅超越价值风格。行业层面看，有色金属、新能源、食品</w:t>
      </w:r>
      <w:proofErr w:type="gramStart"/>
      <w:r>
        <w:rPr>
          <w:color w:val="000000"/>
          <w:sz w:val="24"/>
          <w:szCs w:val="24"/>
        </w:rPr>
        <w:t>饮料涨幅</w:t>
      </w:r>
      <w:proofErr w:type="gramEnd"/>
      <w:r>
        <w:rPr>
          <w:color w:val="000000"/>
          <w:sz w:val="24"/>
          <w:szCs w:val="24"/>
        </w:rPr>
        <w:t>居前。海外权益资产中，日经</w:t>
      </w:r>
      <w:r>
        <w:rPr>
          <w:color w:val="000000"/>
          <w:sz w:val="24"/>
          <w:szCs w:val="24"/>
        </w:rPr>
        <w:t>225</w:t>
      </w:r>
      <w:r>
        <w:rPr>
          <w:color w:val="000000"/>
          <w:sz w:val="24"/>
          <w:szCs w:val="24"/>
        </w:rPr>
        <w:t>指数创出了近二十年来的新高，在主要海外经济体中位于前列。国内债券收益率下行，固定收益类资产底部反弹。海外经济开始逐步复苏，利率处于历史底部，发达市场债券面临较大的回调风险，新兴市场债券显著好于发达市场债券。避险需求降低，黄金走弱。美元持续贬值，大宗商品价格上升。</w:t>
      </w:r>
    </w:p>
    <w:p w:rsidR="00FC240D" w:rsidRDefault="00DD40EA">
      <w:pPr>
        <w:spacing w:before="29" w:line="288" w:lineRule="auto"/>
        <w:ind w:firstLineChars="200" w:firstLine="480"/>
        <w:rPr>
          <w:color w:val="000000"/>
          <w:sz w:val="24"/>
          <w:szCs w:val="24"/>
        </w:rPr>
      </w:pPr>
      <w:r>
        <w:rPr>
          <w:color w:val="000000"/>
          <w:sz w:val="24"/>
          <w:szCs w:val="24"/>
        </w:rPr>
        <w:t xml:space="preserve"> </w:t>
      </w:r>
      <w:r>
        <w:rPr>
          <w:color w:val="000000"/>
          <w:sz w:val="24"/>
          <w:szCs w:val="24"/>
        </w:rPr>
        <w:t>展望未来，经济明确复苏是驱动市场的主因，在疫苗的利好刺激下，经济复苏预期加强，全球风险偏好均有所提升。开年市场流动性相对充裕，公</w:t>
      </w:r>
      <w:proofErr w:type="gramStart"/>
      <w:r>
        <w:rPr>
          <w:color w:val="000000"/>
          <w:sz w:val="24"/>
          <w:szCs w:val="24"/>
        </w:rPr>
        <w:t>募基金</w:t>
      </w:r>
      <w:proofErr w:type="gramEnd"/>
      <w:r>
        <w:rPr>
          <w:color w:val="000000"/>
          <w:sz w:val="24"/>
          <w:szCs w:val="24"/>
        </w:rPr>
        <w:t>发行回暖有望为市场提供增量资金。经济复苏叠加通胀预期，低估值顺周期板块配置价值相对更高。科技仍是配置的主线，新能源、电子等行业将继续受益于景气度提升和增量资金的流入。</w:t>
      </w:r>
    </w:p>
    <w:p w:rsidR="00FC240D" w:rsidRDefault="00DD40EA">
      <w:pPr>
        <w:spacing w:before="29" w:line="288" w:lineRule="auto"/>
        <w:ind w:firstLineChars="200" w:firstLine="480"/>
        <w:rPr>
          <w:color w:val="000000"/>
          <w:sz w:val="24"/>
          <w:szCs w:val="24"/>
        </w:rPr>
      </w:pPr>
      <w:r>
        <w:rPr>
          <w:color w:val="000000"/>
          <w:sz w:val="24"/>
          <w:szCs w:val="24"/>
        </w:rPr>
        <w:t>流动性边际转向，利率</w:t>
      </w:r>
      <w:proofErr w:type="gramStart"/>
      <w:r>
        <w:rPr>
          <w:color w:val="000000"/>
          <w:sz w:val="24"/>
          <w:szCs w:val="24"/>
        </w:rPr>
        <w:t>债出现</w:t>
      </w:r>
      <w:proofErr w:type="gramEnd"/>
      <w:r>
        <w:rPr>
          <w:color w:val="000000"/>
          <w:sz w:val="24"/>
          <w:szCs w:val="24"/>
        </w:rPr>
        <w:t>反弹，短端下行更多，期限利差修复到位，短期可能反弹已经到位。目前债券收益率处于高位，中长期看债券仍具有较高的配置价值。发达市场债券收益率处于低位，随着经济复苏，利率走高概率增大，海外发达市场债券面临较大的回调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疫情对</w:t>
      </w:r>
      <w:r w:rsidRPr="00414345">
        <w:rPr>
          <w:color w:val="000000"/>
          <w:sz w:val="24"/>
          <w:szCs w:val="24"/>
        </w:rPr>
        <w:t>REITs</w:t>
      </w:r>
      <w:r w:rsidRPr="00414345">
        <w:rPr>
          <w:color w:val="000000"/>
          <w:sz w:val="24"/>
          <w:szCs w:val="24"/>
        </w:rPr>
        <w:t>的基本面影响较大，随着疫苗接种，疫情影响趋弱，在经济复苏的背景下，</w:t>
      </w:r>
      <w:r w:rsidRPr="00414345">
        <w:rPr>
          <w:color w:val="000000"/>
          <w:sz w:val="24"/>
          <w:szCs w:val="24"/>
        </w:rPr>
        <w:t>REITs</w:t>
      </w:r>
      <w:r w:rsidRPr="00414345">
        <w:rPr>
          <w:color w:val="000000"/>
          <w:sz w:val="24"/>
          <w:szCs w:val="24"/>
        </w:rPr>
        <w:t>凸显配置价值。美元持续走弱，进一步推升大宗商品价格上升，通胀预期利好黄金。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本报告期上投摩根锦程稳健养老一年持有混合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:4.62%</w:t>
      </w:r>
      <w:r w:rsidRPr="00414345">
        <w:rPr>
          <w:color w:val="000000"/>
          <w:sz w:val="24"/>
          <w:szCs w:val="24"/>
        </w:rPr>
        <w:t>，同</w:t>
      </w:r>
      <w:r w:rsidRPr="00414345">
        <w:rPr>
          <w:color w:val="000000"/>
          <w:sz w:val="24"/>
          <w:szCs w:val="24"/>
        </w:rPr>
        <w:lastRenderedPageBreak/>
        <w:t>期业绩比较基准收益率为</w:t>
      </w:r>
      <w:r w:rsidRPr="00414345">
        <w:rPr>
          <w:color w:val="000000"/>
          <w:sz w:val="24"/>
          <w:szCs w:val="24"/>
        </w:rPr>
        <w:t>:3.01%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25,214,437.76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25,214,437.76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373,319,049.98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85.00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35,108,365.36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26,239,645.36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8,868,720.00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4,812,969.26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721,643.01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439,176,465.37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389,833.60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9,528,391.48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375,979.00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195,511.00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1,509,185.24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11,477,171.01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263,403.60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138,465.00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889,339.83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177,718.00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25,214,437.76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5.75</w:t>
            </w:r>
          </w:p>
        </w:tc>
      </w:tr>
    </w:tbl>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C240D">
        <w:trPr>
          <w:jc w:val="center"/>
        </w:trPr>
        <w:tc>
          <w:tcPr>
            <w:tcW w:w="855" w:type="dxa"/>
            <w:vAlign w:val="center"/>
          </w:tcPr>
          <w:p w:rsidR="00FC240D" w:rsidRDefault="00DD40EA">
            <w:pPr>
              <w:jc w:val="center"/>
            </w:pPr>
            <w:r>
              <w:rPr>
                <w:color w:val="000000"/>
                <w:sz w:val="24"/>
                <w:szCs w:val="24"/>
              </w:rPr>
              <w:t>1</w:t>
            </w:r>
          </w:p>
        </w:tc>
        <w:tc>
          <w:tcPr>
            <w:tcW w:w="1334" w:type="dxa"/>
            <w:vAlign w:val="center"/>
          </w:tcPr>
          <w:p w:rsidR="00FC240D" w:rsidRDefault="00DD40EA">
            <w:pPr>
              <w:jc w:val="center"/>
            </w:pPr>
            <w:r>
              <w:rPr>
                <w:color w:val="000000"/>
                <w:sz w:val="24"/>
                <w:szCs w:val="24"/>
              </w:rPr>
              <w:t>601318</w:t>
            </w:r>
          </w:p>
        </w:tc>
        <w:tc>
          <w:tcPr>
            <w:tcW w:w="1777" w:type="dxa"/>
            <w:vAlign w:val="center"/>
          </w:tcPr>
          <w:p w:rsidR="00FC240D" w:rsidRDefault="00DD40EA">
            <w:pPr>
              <w:jc w:val="center"/>
            </w:pPr>
            <w:r>
              <w:rPr>
                <w:color w:val="000000"/>
                <w:sz w:val="24"/>
                <w:szCs w:val="24"/>
              </w:rPr>
              <w:t>中国平安</w:t>
            </w:r>
          </w:p>
        </w:tc>
        <w:tc>
          <w:tcPr>
            <w:tcW w:w="1334" w:type="dxa"/>
            <w:vAlign w:val="center"/>
          </w:tcPr>
          <w:p w:rsidR="00FC240D" w:rsidRDefault="00DD40EA">
            <w:pPr>
              <w:jc w:val="right"/>
            </w:pPr>
            <w:r>
              <w:rPr>
                <w:color w:val="000000"/>
                <w:sz w:val="24"/>
                <w:szCs w:val="24"/>
              </w:rPr>
              <w:t>27,400.00</w:t>
            </w:r>
          </w:p>
        </w:tc>
        <w:tc>
          <w:tcPr>
            <w:tcW w:w="1924" w:type="dxa"/>
            <w:vAlign w:val="center"/>
          </w:tcPr>
          <w:p w:rsidR="00FC240D" w:rsidRDefault="00DD40EA">
            <w:pPr>
              <w:jc w:val="right"/>
            </w:pPr>
            <w:r>
              <w:rPr>
                <w:color w:val="000000"/>
                <w:sz w:val="24"/>
                <w:szCs w:val="24"/>
              </w:rPr>
              <w:t>2,383,252.00</w:t>
            </w:r>
          </w:p>
        </w:tc>
        <w:tc>
          <w:tcPr>
            <w:tcW w:w="1644" w:type="dxa"/>
            <w:vAlign w:val="center"/>
          </w:tcPr>
          <w:p w:rsidR="00FC240D" w:rsidRDefault="00DD40EA">
            <w:pPr>
              <w:jc w:val="right"/>
            </w:pPr>
            <w:r>
              <w:rPr>
                <w:color w:val="000000"/>
                <w:sz w:val="24"/>
                <w:szCs w:val="24"/>
              </w:rPr>
              <w:t>0.54</w:t>
            </w:r>
          </w:p>
        </w:tc>
      </w:tr>
      <w:tr w:rsidR="00FC240D">
        <w:trPr>
          <w:jc w:val="center"/>
        </w:trPr>
        <w:tc>
          <w:tcPr>
            <w:tcW w:w="855" w:type="dxa"/>
            <w:vAlign w:val="center"/>
          </w:tcPr>
          <w:p w:rsidR="00FC240D" w:rsidRDefault="00DD40EA">
            <w:pPr>
              <w:jc w:val="center"/>
            </w:pPr>
            <w:r>
              <w:rPr>
                <w:color w:val="000000"/>
                <w:sz w:val="24"/>
                <w:szCs w:val="24"/>
              </w:rPr>
              <w:t>2</w:t>
            </w:r>
          </w:p>
        </w:tc>
        <w:tc>
          <w:tcPr>
            <w:tcW w:w="1334" w:type="dxa"/>
            <w:vAlign w:val="center"/>
          </w:tcPr>
          <w:p w:rsidR="00FC240D" w:rsidRDefault="00DD40EA">
            <w:pPr>
              <w:jc w:val="center"/>
            </w:pPr>
            <w:r>
              <w:rPr>
                <w:color w:val="000000"/>
                <w:sz w:val="24"/>
                <w:szCs w:val="24"/>
              </w:rPr>
              <w:t>002142</w:t>
            </w:r>
          </w:p>
        </w:tc>
        <w:tc>
          <w:tcPr>
            <w:tcW w:w="1777" w:type="dxa"/>
            <w:vAlign w:val="center"/>
          </w:tcPr>
          <w:p w:rsidR="00FC240D" w:rsidRDefault="00DD40EA">
            <w:pPr>
              <w:jc w:val="center"/>
            </w:pPr>
            <w:r>
              <w:rPr>
                <w:color w:val="000000"/>
                <w:sz w:val="24"/>
                <w:szCs w:val="24"/>
              </w:rPr>
              <w:t>宁波银行</w:t>
            </w:r>
          </w:p>
        </w:tc>
        <w:tc>
          <w:tcPr>
            <w:tcW w:w="1334" w:type="dxa"/>
            <w:vAlign w:val="center"/>
          </w:tcPr>
          <w:p w:rsidR="00FC240D" w:rsidRDefault="00DD40EA">
            <w:pPr>
              <w:jc w:val="right"/>
            </w:pPr>
            <w:r>
              <w:rPr>
                <w:color w:val="000000"/>
                <w:sz w:val="24"/>
                <w:szCs w:val="24"/>
              </w:rPr>
              <w:t>59,400.00</w:t>
            </w:r>
          </w:p>
        </w:tc>
        <w:tc>
          <w:tcPr>
            <w:tcW w:w="1924" w:type="dxa"/>
            <w:vAlign w:val="center"/>
          </w:tcPr>
          <w:p w:rsidR="00FC240D" w:rsidRDefault="00DD40EA">
            <w:pPr>
              <w:jc w:val="right"/>
            </w:pPr>
            <w:r>
              <w:rPr>
                <w:color w:val="000000"/>
                <w:sz w:val="24"/>
                <w:szCs w:val="24"/>
              </w:rPr>
              <w:t>2,099,196.00</w:t>
            </w:r>
          </w:p>
        </w:tc>
        <w:tc>
          <w:tcPr>
            <w:tcW w:w="1644" w:type="dxa"/>
            <w:vAlign w:val="center"/>
          </w:tcPr>
          <w:p w:rsidR="00FC240D" w:rsidRDefault="00DD40EA">
            <w:pPr>
              <w:jc w:val="right"/>
            </w:pPr>
            <w:r>
              <w:rPr>
                <w:color w:val="000000"/>
                <w:sz w:val="24"/>
                <w:szCs w:val="24"/>
              </w:rPr>
              <w:t>0.48</w:t>
            </w:r>
          </w:p>
        </w:tc>
      </w:tr>
      <w:tr w:rsidR="00FC240D">
        <w:trPr>
          <w:jc w:val="center"/>
        </w:trPr>
        <w:tc>
          <w:tcPr>
            <w:tcW w:w="855" w:type="dxa"/>
            <w:vAlign w:val="center"/>
          </w:tcPr>
          <w:p w:rsidR="00FC240D" w:rsidRDefault="00DD40EA">
            <w:pPr>
              <w:jc w:val="center"/>
            </w:pPr>
            <w:r>
              <w:rPr>
                <w:color w:val="000000"/>
                <w:sz w:val="24"/>
                <w:szCs w:val="24"/>
              </w:rPr>
              <w:t>3</w:t>
            </w:r>
          </w:p>
        </w:tc>
        <w:tc>
          <w:tcPr>
            <w:tcW w:w="1334" w:type="dxa"/>
            <w:vAlign w:val="center"/>
          </w:tcPr>
          <w:p w:rsidR="00FC240D" w:rsidRDefault="00DD40EA">
            <w:pPr>
              <w:jc w:val="center"/>
            </w:pPr>
            <w:r>
              <w:rPr>
                <w:color w:val="000000"/>
                <w:sz w:val="24"/>
                <w:szCs w:val="24"/>
              </w:rPr>
              <w:t>601995</w:t>
            </w:r>
          </w:p>
        </w:tc>
        <w:tc>
          <w:tcPr>
            <w:tcW w:w="1777" w:type="dxa"/>
            <w:vAlign w:val="center"/>
          </w:tcPr>
          <w:p w:rsidR="00FC240D" w:rsidRDefault="00DD40EA">
            <w:pPr>
              <w:jc w:val="center"/>
            </w:pPr>
            <w:r>
              <w:rPr>
                <w:color w:val="000000"/>
                <w:sz w:val="24"/>
                <w:szCs w:val="24"/>
              </w:rPr>
              <w:t>中金公司</w:t>
            </w:r>
          </w:p>
        </w:tc>
        <w:tc>
          <w:tcPr>
            <w:tcW w:w="1334" w:type="dxa"/>
            <w:vAlign w:val="center"/>
          </w:tcPr>
          <w:p w:rsidR="00FC240D" w:rsidRDefault="00DD40EA">
            <w:pPr>
              <w:jc w:val="right"/>
            </w:pPr>
            <w:r>
              <w:rPr>
                <w:color w:val="000000"/>
                <w:sz w:val="24"/>
                <w:szCs w:val="24"/>
              </w:rPr>
              <w:t>24,951.00</w:t>
            </w:r>
          </w:p>
        </w:tc>
        <w:tc>
          <w:tcPr>
            <w:tcW w:w="1924" w:type="dxa"/>
            <w:vAlign w:val="center"/>
          </w:tcPr>
          <w:p w:rsidR="00FC240D" w:rsidRDefault="00DD40EA">
            <w:pPr>
              <w:jc w:val="right"/>
            </w:pPr>
            <w:r>
              <w:rPr>
                <w:color w:val="000000"/>
                <w:sz w:val="24"/>
                <w:szCs w:val="24"/>
              </w:rPr>
              <w:t>1,714,383.21</w:t>
            </w:r>
          </w:p>
        </w:tc>
        <w:tc>
          <w:tcPr>
            <w:tcW w:w="1644" w:type="dxa"/>
            <w:vAlign w:val="center"/>
          </w:tcPr>
          <w:p w:rsidR="00FC240D" w:rsidRDefault="00DD40EA">
            <w:pPr>
              <w:jc w:val="right"/>
            </w:pPr>
            <w:r>
              <w:rPr>
                <w:color w:val="000000"/>
                <w:sz w:val="24"/>
                <w:szCs w:val="24"/>
              </w:rPr>
              <w:t>0.39</w:t>
            </w:r>
          </w:p>
        </w:tc>
      </w:tr>
      <w:tr w:rsidR="00FC240D">
        <w:trPr>
          <w:jc w:val="center"/>
        </w:trPr>
        <w:tc>
          <w:tcPr>
            <w:tcW w:w="855" w:type="dxa"/>
            <w:vAlign w:val="center"/>
          </w:tcPr>
          <w:p w:rsidR="00FC240D" w:rsidRDefault="00DD40EA">
            <w:pPr>
              <w:jc w:val="center"/>
            </w:pPr>
            <w:r>
              <w:rPr>
                <w:color w:val="000000"/>
                <w:sz w:val="24"/>
                <w:szCs w:val="24"/>
              </w:rPr>
              <w:t>4</w:t>
            </w:r>
          </w:p>
        </w:tc>
        <w:tc>
          <w:tcPr>
            <w:tcW w:w="1334" w:type="dxa"/>
            <w:vAlign w:val="center"/>
          </w:tcPr>
          <w:p w:rsidR="00FC240D" w:rsidRDefault="00DD40EA">
            <w:pPr>
              <w:jc w:val="center"/>
            </w:pPr>
            <w:r>
              <w:rPr>
                <w:color w:val="000000"/>
                <w:sz w:val="24"/>
                <w:szCs w:val="24"/>
              </w:rPr>
              <w:t>600030</w:t>
            </w:r>
          </w:p>
        </w:tc>
        <w:tc>
          <w:tcPr>
            <w:tcW w:w="1777" w:type="dxa"/>
            <w:vAlign w:val="center"/>
          </w:tcPr>
          <w:p w:rsidR="00FC240D" w:rsidRDefault="00DD40EA">
            <w:pPr>
              <w:jc w:val="center"/>
            </w:pPr>
            <w:r>
              <w:rPr>
                <w:color w:val="000000"/>
                <w:sz w:val="24"/>
                <w:szCs w:val="24"/>
              </w:rPr>
              <w:t>中信证券</w:t>
            </w:r>
          </w:p>
        </w:tc>
        <w:tc>
          <w:tcPr>
            <w:tcW w:w="1334" w:type="dxa"/>
            <w:vAlign w:val="center"/>
          </w:tcPr>
          <w:p w:rsidR="00FC240D" w:rsidRDefault="00DD40EA">
            <w:pPr>
              <w:jc w:val="right"/>
            </w:pPr>
            <w:r>
              <w:rPr>
                <w:color w:val="000000"/>
                <w:sz w:val="24"/>
                <w:szCs w:val="24"/>
              </w:rPr>
              <w:t>38,900.00</w:t>
            </w:r>
          </w:p>
        </w:tc>
        <w:tc>
          <w:tcPr>
            <w:tcW w:w="1924" w:type="dxa"/>
            <w:vAlign w:val="center"/>
          </w:tcPr>
          <w:p w:rsidR="00FC240D" w:rsidRDefault="00DD40EA">
            <w:pPr>
              <w:jc w:val="right"/>
            </w:pPr>
            <w:r>
              <w:rPr>
                <w:color w:val="000000"/>
                <w:sz w:val="24"/>
                <w:szCs w:val="24"/>
              </w:rPr>
              <w:t>1,143,660.00</w:t>
            </w:r>
          </w:p>
        </w:tc>
        <w:tc>
          <w:tcPr>
            <w:tcW w:w="1644" w:type="dxa"/>
            <w:vAlign w:val="center"/>
          </w:tcPr>
          <w:p w:rsidR="00FC240D" w:rsidRDefault="00DD40EA">
            <w:pPr>
              <w:jc w:val="right"/>
            </w:pPr>
            <w:r>
              <w:rPr>
                <w:color w:val="000000"/>
                <w:sz w:val="24"/>
                <w:szCs w:val="24"/>
              </w:rPr>
              <w:t>0.26</w:t>
            </w:r>
          </w:p>
        </w:tc>
      </w:tr>
      <w:tr w:rsidR="00FC240D">
        <w:trPr>
          <w:jc w:val="center"/>
        </w:trPr>
        <w:tc>
          <w:tcPr>
            <w:tcW w:w="855" w:type="dxa"/>
            <w:vAlign w:val="center"/>
          </w:tcPr>
          <w:p w:rsidR="00FC240D" w:rsidRDefault="00DD40EA">
            <w:pPr>
              <w:jc w:val="center"/>
            </w:pPr>
            <w:r>
              <w:rPr>
                <w:color w:val="000000"/>
                <w:sz w:val="24"/>
                <w:szCs w:val="24"/>
              </w:rPr>
              <w:t>5</w:t>
            </w:r>
          </w:p>
        </w:tc>
        <w:tc>
          <w:tcPr>
            <w:tcW w:w="1334" w:type="dxa"/>
            <w:vAlign w:val="center"/>
          </w:tcPr>
          <w:p w:rsidR="00FC240D" w:rsidRDefault="00DD40EA">
            <w:pPr>
              <w:jc w:val="center"/>
            </w:pPr>
            <w:r>
              <w:rPr>
                <w:color w:val="000000"/>
                <w:sz w:val="24"/>
                <w:szCs w:val="24"/>
              </w:rPr>
              <w:t>300124</w:t>
            </w:r>
          </w:p>
        </w:tc>
        <w:tc>
          <w:tcPr>
            <w:tcW w:w="1777" w:type="dxa"/>
            <w:vAlign w:val="center"/>
          </w:tcPr>
          <w:p w:rsidR="00FC240D" w:rsidRDefault="00DD40EA">
            <w:pPr>
              <w:jc w:val="center"/>
            </w:pPr>
            <w:r>
              <w:rPr>
                <w:color w:val="000000"/>
                <w:sz w:val="24"/>
                <w:szCs w:val="24"/>
              </w:rPr>
              <w:t>汇</w:t>
            </w:r>
            <w:proofErr w:type="gramStart"/>
            <w:r>
              <w:rPr>
                <w:color w:val="000000"/>
                <w:sz w:val="24"/>
                <w:szCs w:val="24"/>
              </w:rPr>
              <w:t>川技术</w:t>
            </w:r>
            <w:proofErr w:type="gramEnd"/>
          </w:p>
        </w:tc>
        <w:tc>
          <w:tcPr>
            <w:tcW w:w="1334" w:type="dxa"/>
            <w:vAlign w:val="center"/>
          </w:tcPr>
          <w:p w:rsidR="00FC240D" w:rsidRDefault="00DD40EA">
            <w:pPr>
              <w:jc w:val="right"/>
            </w:pPr>
            <w:r>
              <w:rPr>
                <w:color w:val="000000"/>
                <w:sz w:val="24"/>
                <w:szCs w:val="24"/>
              </w:rPr>
              <w:t>12,000.00</w:t>
            </w:r>
          </w:p>
        </w:tc>
        <w:tc>
          <w:tcPr>
            <w:tcW w:w="1924" w:type="dxa"/>
            <w:vAlign w:val="center"/>
          </w:tcPr>
          <w:p w:rsidR="00FC240D" w:rsidRDefault="00DD40EA">
            <w:pPr>
              <w:jc w:val="right"/>
            </w:pPr>
            <w:r>
              <w:rPr>
                <w:color w:val="000000"/>
                <w:sz w:val="24"/>
                <w:szCs w:val="24"/>
              </w:rPr>
              <w:t>1,119,600.00</w:t>
            </w:r>
          </w:p>
        </w:tc>
        <w:tc>
          <w:tcPr>
            <w:tcW w:w="1644" w:type="dxa"/>
            <w:vAlign w:val="center"/>
          </w:tcPr>
          <w:p w:rsidR="00FC240D" w:rsidRDefault="00DD40EA">
            <w:pPr>
              <w:jc w:val="right"/>
            </w:pPr>
            <w:r>
              <w:rPr>
                <w:color w:val="000000"/>
                <w:sz w:val="24"/>
                <w:szCs w:val="24"/>
              </w:rPr>
              <w:t>0.26</w:t>
            </w:r>
          </w:p>
        </w:tc>
      </w:tr>
      <w:tr w:rsidR="00FC240D">
        <w:trPr>
          <w:jc w:val="center"/>
        </w:trPr>
        <w:tc>
          <w:tcPr>
            <w:tcW w:w="855" w:type="dxa"/>
            <w:vAlign w:val="center"/>
          </w:tcPr>
          <w:p w:rsidR="00FC240D" w:rsidRDefault="00DD40EA">
            <w:pPr>
              <w:jc w:val="center"/>
            </w:pPr>
            <w:r>
              <w:rPr>
                <w:color w:val="000000"/>
                <w:sz w:val="24"/>
                <w:szCs w:val="24"/>
              </w:rPr>
              <w:t>6</w:t>
            </w:r>
          </w:p>
        </w:tc>
        <w:tc>
          <w:tcPr>
            <w:tcW w:w="1334" w:type="dxa"/>
            <w:vAlign w:val="center"/>
          </w:tcPr>
          <w:p w:rsidR="00FC240D" w:rsidRDefault="00DD40EA">
            <w:pPr>
              <w:jc w:val="center"/>
            </w:pPr>
            <w:r>
              <w:rPr>
                <w:color w:val="000000"/>
                <w:sz w:val="24"/>
                <w:szCs w:val="24"/>
              </w:rPr>
              <w:t>600036</w:t>
            </w:r>
          </w:p>
        </w:tc>
        <w:tc>
          <w:tcPr>
            <w:tcW w:w="1777" w:type="dxa"/>
            <w:vAlign w:val="center"/>
          </w:tcPr>
          <w:p w:rsidR="00FC240D" w:rsidRDefault="00DD40EA">
            <w:pPr>
              <w:jc w:val="center"/>
            </w:pPr>
            <w:r>
              <w:rPr>
                <w:color w:val="000000"/>
                <w:sz w:val="24"/>
                <w:szCs w:val="24"/>
              </w:rPr>
              <w:t>招商银行</w:t>
            </w:r>
          </w:p>
        </w:tc>
        <w:tc>
          <w:tcPr>
            <w:tcW w:w="1334" w:type="dxa"/>
            <w:vAlign w:val="center"/>
          </w:tcPr>
          <w:p w:rsidR="00FC240D" w:rsidRDefault="00DD40EA">
            <w:pPr>
              <w:jc w:val="right"/>
            </w:pPr>
            <w:r>
              <w:rPr>
                <w:color w:val="000000"/>
                <w:sz w:val="24"/>
                <w:szCs w:val="24"/>
              </w:rPr>
              <w:t>20,400.00</w:t>
            </w:r>
          </w:p>
        </w:tc>
        <w:tc>
          <w:tcPr>
            <w:tcW w:w="1924" w:type="dxa"/>
            <w:vAlign w:val="center"/>
          </w:tcPr>
          <w:p w:rsidR="00FC240D" w:rsidRDefault="00DD40EA">
            <w:pPr>
              <w:jc w:val="right"/>
            </w:pPr>
            <w:r>
              <w:rPr>
                <w:color w:val="000000"/>
                <w:sz w:val="24"/>
                <w:szCs w:val="24"/>
              </w:rPr>
              <w:t>896,580.00</w:t>
            </w:r>
          </w:p>
        </w:tc>
        <w:tc>
          <w:tcPr>
            <w:tcW w:w="1644" w:type="dxa"/>
            <w:vAlign w:val="center"/>
          </w:tcPr>
          <w:p w:rsidR="00FC240D" w:rsidRDefault="00DD40EA">
            <w:pPr>
              <w:jc w:val="right"/>
            </w:pPr>
            <w:r>
              <w:rPr>
                <w:color w:val="000000"/>
                <w:sz w:val="24"/>
                <w:szCs w:val="24"/>
              </w:rPr>
              <w:t>0.20</w:t>
            </w:r>
          </w:p>
        </w:tc>
      </w:tr>
      <w:tr w:rsidR="00FC240D">
        <w:trPr>
          <w:jc w:val="center"/>
        </w:trPr>
        <w:tc>
          <w:tcPr>
            <w:tcW w:w="855" w:type="dxa"/>
            <w:vAlign w:val="center"/>
          </w:tcPr>
          <w:p w:rsidR="00FC240D" w:rsidRDefault="00DD40EA">
            <w:pPr>
              <w:jc w:val="center"/>
            </w:pPr>
            <w:r>
              <w:rPr>
                <w:color w:val="000000"/>
                <w:sz w:val="24"/>
                <w:szCs w:val="24"/>
              </w:rPr>
              <w:lastRenderedPageBreak/>
              <w:t>7</w:t>
            </w:r>
          </w:p>
        </w:tc>
        <w:tc>
          <w:tcPr>
            <w:tcW w:w="1334" w:type="dxa"/>
            <w:vAlign w:val="center"/>
          </w:tcPr>
          <w:p w:rsidR="00FC240D" w:rsidRDefault="00DD40EA">
            <w:pPr>
              <w:jc w:val="center"/>
            </w:pPr>
            <w:r>
              <w:rPr>
                <w:color w:val="000000"/>
                <w:sz w:val="24"/>
                <w:szCs w:val="24"/>
              </w:rPr>
              <w:t>300347</w:t>
            </w:r>
          </w:p>
        </w:tc>
        <w:tc>
          <w:tcPr>
            <w:tcW w:w="1777" w:type="dxa"/>
            <w:vAlign w:val="center"/>
          </w:tcPr>
          <w:p w:rsidR="00FC240D" w:rsidRDefault="00DD40EA">
            <w:pPr>
              <w:jc w:val="center"/>
            </w:pPr>
            <w:r>
              <w:rPr>
                <w:color w:val="000000"/>
                <w:sz w:val="24"/>
                <w:szCs w:val="24"/>
              </w:rPr>
              <w:t>泰格医药</w:t>
            </w:r>
          </w:p>
        </w:tc>
        <w:tc>
          <w:tcPr>
            <w:tcW w:w="1334" w:type="dxa"/>
            <w:vAlign w:val="center"/>
          </w:tcPr>
          <w:p w:rsidR="00FC240D" w:rsidRDefault="00DD40EA">
            <w:pPr>
              <w:jc w:val="right"/>
            </w:pPr>
            <w:r>
              <w:rPr>
                <w:color w:val="000000"/>
                <w:sz w:val="24"/>
                <w:szCs w:val="24"/>
              </w:rPr>
              <w:t>5,503.00</w:t>
            </w:r>
          </w:p>
        </w:tc>
        <w:tc>
          <w:tcPr>
            <w:tcW w:w="1924" w:type="dxa"/>
            <w:vAlign w:val="center"/>
          </w:tcPr>
          <w:p w:rsidR="00FC240D" w:rsidRDefault="00DD40EA">
            <w:pPr>
              <w:jc w:val="right"/>
            </w:pPr>
            <w:r>
              <w:rPr>
                <w:color w:val="000000"/>
                <w:sz w:val="24"/>
                <w:szCs w:val="24"/>
              </w:rPr>
              <w:t>889,339.83</w:t>
            </w:r>
          </w:p>
        </w:tc>
        <w:tc>
          <w:tcPr>
            <w:tcW w:w="1644" w:type="dxa"/>
            <w:vAlign w:val="center"/>
          </w:tcPr>
          <w:p w:rsidR="00FC240D" w:rsidRDefault="00DD40EA">
            <w:pPr>
              <w:jc w:val="right"/>
            </w:pPr>
            <w:r>
              <w:rPr>
                <w:color w:val="000000"/>
                <w:sz w:val="24"/>
                <w:szCs w:val="24"/>
              </w:rPr>
              <w:t>0.20</w:t>
            </w:r>
          </w:p>
        </w:tc>
      </w:tr>
      <w:tr w:rsidR="00FC240D">
        <w:trPr>
          <w:jc w:val="center"/>
        </w:trPr>
        <w:tc>
          <w:tcPr>
            <w:tcW w:w="855" w:type="dxa"/>
            <w:vAlign w:val="center"/>
          </w:tcPr>
          <w:p w:rsidR="00FC240D" w:rsidRDefault="00DD40EA">
            <w:pPr>
              <w:jc w:val="center"/>
            </w:pPr>
            <w:r>
              <w:rPr>
                <w:color w:val="000000"/>
                <w:sz w:val="24"/>
                <w:szCs w:val="24"/>
              </w:rPr>
              <w:t>8</w:t>
            </w:r>
          </w:p>
        </w:tc>
        <w:tc>
          <w:tcPr>
            <w:tcW w:w="1334" w:type="dxa"/>
            <w:vAlign w:val="center"/>
          </w:tcPr>
          <w:p w:rsidR="00FC240D" w:rsidRDefault="00DD40EA">
            <w:pPr>
              <w:jc w:val="center"/>
            </w:pPr>
            <w:r>
              <w:rPr>
                <w:color w:val="000000"/>
                <w:sz w:val="24"/>
                <w:szCs w:val="24"/>
              </w:rPr>
              <w:t>600276</w:t>
            </w:r>
          </w:p>
        </w:tc>
        <w:tc>
          <w:tcPr>
            <w:tcW w:w="1777" w:type="dxa"/>
            <w:vAlign w:val="center"/>
          </w:tcPr>
          <w:p w:rsidR="00FC240D" w:rsidRDefault="00DD40EA">
            <w:pPr>
              <w:jc w:val="center"/>
            </w:pPr>
            <w:r>
              <w:rPr>
                <w:color w:val="000000"/>
                <w:sz w:val="24"/>
                <w:szCs w:val="24"/>
              </w:rPr>
              <w:t>恒瑞医药</w:t>
            </w:r>
          </w:p>
        </w:tc>
        <w:tc>
          <w:tcPr>
            <w:tcW w:w="1334" w:type="dxa"/>
            <w:vAlign w:val="center"/>
          </w:tcPr>
          <w:p w:rsidR="00FC240D" w:rsidRDefault="00DD40EA">
            <w:pPr>
              <w:jc w:val="right"/>
            </w:pPr>
            <w:r>
              <w:rPr>
                <w:color w:val="000000"/>
                <w:sz w:val="24"/>
                <w:szCs w:val="24"/>
              </w:rPr>
              <w:t>7,400.00</w:t>
            </w:r>
          </w:p>
        </w:tc>
        <w:tc>
          <w:tcPr>
            <w:tcW w:w="1924" w:type="dxa"/>
            <w:vAlign w:val="center"/>
          </w:tcPr>
          <w:p w:rsidR="00FC240D" w:rsidRDefault="00DD40EA">
            <w:pPr>
              <w:jc w:val="right"/>
            </w:pPr>
            <w:r>
              <w:rPr>
                <w:color w:val="000000"/>
                <w:sz w:val="24"/>
                <w:szCs w:val="24"/>
              </w:rPr>
              <w:t>824,804.00</w:t>
            </w:r>
          </w:p>
        </w:tc>
        <w:tc>
          <w:tcPr>
            <w:tcW w:w="1644" w:type="dxa"/>
            <w:vAlign w:val="center"/>
          </w:tcPr>
          <w:p w:rsidR="00FC240D" w:rsidRDefault="00DD40EA">
            <w:pPr>
              <w:jc w:val="right"/>
            </w:pPr>
            <w:r>
              <w:rPr>
                <w:color w:val="000000"/>
                <w:sz w:val="24"/>
                <w:szCs w:val="24"/>
              </w:rPr>
              <w:t>0.19</w:t>
            </w:r>
          </w:p>
        </w:tc>
      </w:tr>
      <w:tr w:rsidR="00FC240D">
        <w:trPr>
          <w:jc w:val="center"/>
        </w:trPr>
        <w:tc>
          <w:tcPr>
            <w:tcW w:w="855" w:type="dxa"/>
            <w:vAlign w:val="center"/>
          </w:tcPr>
          <w:p w:rsidR="00FC240D" w:rsidRDefault="00DD40EA">
            <w:pPr>
              <w:jc w:val="center"/>
            </w:pPr>
            <w:r>
              <w:rPr>
                <w:color w:val="000000"/>
                <w:sz w:val="24"/>
                <w:szCs w:val="24"/>
              </w:rPr>
              <w:t>9</w:t>
            </w:r>
          </w:p>
        </w:tc>
        <w:tc>
          <w:tcPr>
            <w:tcW w:w="1334" w:type="dxa"/>
            <w:vAlign w:val="center"/>
          </w:tcPr>
          <w:p w:rsidR="00FC240D" w:rsidRDefault="00DD40EA">
            <w:pPr>
              <w:jc w:val="center"/>
            </w:pPr>
            <w:r>
              <w:rPr>
                <w:color w:val="000000"/>
                <w:sz w:val="24"/>
                <w:szCs w:val="24"/>
              </w:rPr>
              <w:t>300274</w:t>
            </w:r>
          </w:p>
        </w:tc>
        <w:tc>
          <w:tcPr>
            <w:tcW w:w="1777" w:type="dxa"/>
            <w:vAlign w:val="center"/>
          </w:tcPr>
          <w:p w:rsidR="00FC240D" w:rsidRDefault="00DD40EA">
            <w:pPr>
              <w:jc w:val="center"/>
            </w:pPr>
            <w:r>
              <w:rPr>
                <w:color w:val="000000"/>
                <w:sz w:val="24"/>
                <w:szCs w:val="24"/>
              </w:rPr>
              <w:t>阳光电源</w:t>
            </w:r>
          </w:p>
        </w:tc>
        <w:tc>
          <w:tcPr>
            <w:tcW w:w="1334" w:type="dxa"/>
            <w:vAlign w:val="center"/>
          </w:tcPr>
          <w:p w:rsidR="00FC240D" w:rsidRDefault="00DD40EA">
            <w:pPr>
              <w:jc w:val="right"/>
            </w:pPr>
            <w:r>
              <w:rPr>
                <w:color w:val="000000"/>
                <w:sz w:val="24"/>
                <w:szCs w:val="24"/>
              </w:rPr>
              <w:t>9,900.00</w:t>
            </w:r>
          </w:p>
        </w:tc>
        <w:tc>
          <w:tcPr>
            <w:tcW w:w="1924" w:type="dxa"/>
            <w:vAlign w:val="center"/>
          </w:tcPr>
          <w:p w:rsidR="00FC240D" w:rsidRDefault="00DD40EA">
            <w:pPr>
              <w:jc w:val="right"/>
            </w:pPr>
            <w:r>
              <w:rPr>
                <w:color w:val="000000"/>
                <w:sz w:val="24"/>
                <w:szCs w:val="24"/>
              </w:rPr>
              <w:t>715,572.00</w:t>
            </w:r>
          </w:p>
        </w:tc>
        <w:tc>
          <w:tcPr>
            <w:tcW w:w="1644" w:type="dxa"/>
            <w:vAlign w:val="center"/>
          </w:tcPr>
          <w:p w:rsidR="00FC240D" w:rsidRDefault="00DD40EA">
            <w:pPr>
              <w:jc w:val="right"/>
            </w:pPr>
            <w:r>
              <w:rPr>
                <w:color w:val="000000"/>
                <w:sz w:val="24"/>
                <w:szCs w:val="24"/>
              </w:rPr>
              <w:t>0.16</w:t>
            </w:r>
          </w:p>
        </w:tc>
      </w:tr>
      <w:tr w:rsidR="00FC240D">
        <w:trPr>
          <w:jc w:val="center"/>
        </w:trPr>
        <w:tc>
          <w:tcPr>
            <w:tcW w:w="855" w:type="dxa"/>
            <w:vAlign w:val="center"/>
          </w:tcPr>
          <w:p w:rsidR="00FC240D" w:rsidRDefault="00DD40EA">
            <w:pPr>
              <w:jc w:val="center"/>
            </w:pPr>
            <w:r>
              <w:rPr>
                <w:color w:val="000000"/>
                <w:sz w:val="24"/>
                <w:szCs w:val="24"/>
              </w:rPr>
              <w:t>10</w:t>
            </w:r>
          </w:p>
        </w:tc>
        <w:tc>
          <w:tcPr>
            <w:tcW w:w="1334" w:type="dxa"/>
            <w:vAlign w:val="center"/>
          </w:tcPr>
          <w:p w:rsidR="00FC240D" w:rsidRDefault="00DD40EA">
            <w:pPr>
              <w:jc w:val="center"/>
            </w:pPr>
            <w:r>
              <w:rPr>
                <w:color w:val="000000"/>
                <w:sz w:val="24"/>
                <w:szCs w:val="24"/>
              </w:rPr>
              <w:t>300014</w:t>
            </w:r>
          </w:p>
        </w:tc>
        <w:tc>
          <w:tcPr>
            <w:tcW w:w="1777" w:type="dxa"/>
            <w:vAlign w:val="center"/>
          </w:tcPr>
          <w:p w:rsidR="00FC240D" w:rsidRDefault="00DD40EA">
            <w:pPr>
              <w:jc w:val="center"/>
            </w:pPr>
            <w:r>
              <w:rPr>
                <w:color w:val="000000"/>
                <w:sz w:val="24"/>
                <w:szCs w:val="24"/>
              </w:rPr>
              <w:t>亿</w:t>
            </w:r>
            <w:proofErr w:type="gramStart"/>
            <w:r>
              <w:rPr>
                <w:color w:val="000000"/>
                <w:sz w:val="24"/>
                <w:szCs w:val="24"/>
              </w:rPr>
              <w:t>纬锂能</w:t>
            </w:r>
            <w:proofErr w:type="gramEnd"/>
          </w:p>
        </w:tc>
        <w:tc>
          <w:tcPr>
            <w:tcW w:w="1334" w:type="dxa"/>
            <w:vAlign w:val="center"/>
          </w:tcPr>
          <w:p w:rsidR="00FC240D" w:rsidRDefault="00DD40EA">
            <w:pPr>
              <w:jc w:val="right"/>
            </w:pPr>
            <w:r>
              <w:rPr>
                <w:color w:val="000000"/>
                <w:sz w:val="24"/>
                <w:szCs w:val="24"/>
              </w:rPr>
              <w:t>8,744.00</w:t>
            </w:r>
          </w:p>
        </w:tc>
        <w:tc>
          <w:tcPr>
            <w:tcW w:w="1924" w:type="dxa"/>
            <w:vAlign w:val="center"/>
          </w:tcPr>
          <w:p w:rsidR="00FC240D" w:rsidRDefault="00DD40EA">
            <w:pPr>
              <w:jc w:val="right"/>
            </w:pPr>
            <w:r>
              <w:rPr>
                <w:color w:val="000000"/>
                <w:sz w:val="24"/>
                <w:szCs w:val="24"/>
              </w:rPr>
              <w:t>712,636.00</w:t>
            </w:r>
          </w:p>
        </w:tc>
        <w:tc>
          <w:tcPr>
            <w:tcW w:w="1644" w:type="dxa"/>
            <w:vAlign w:val="center"/>
          </w:tcPr>
          <w:p w:rsidR="00FC240D" w:rsidRDefault="00DD40EA">
            <w:pPr>
              <w:jc w:val="right"/>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6,141,645.36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26,239,645.36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C240D">
        <w:trPr>
          <w:jc w:val="center"/>
        </w:trPr>
        <w:tc>
          <w:tcPr>
            <w:tcW w:w="850" w:type="dxa"/>
            <w:vAlign w:val="center"/>
          </w:tcPr>
          <w:p w:rsidR="00FC240D" w:rsidRDefault="00DD40EA">
            <w:pPr>
              <w:jc w:val="center"/>
            </w:pPr>
            <w:r>
              <w:rPr>
                <w:color w:val="000000"/>
                <w:sz w:val="24"/>
                <w:szCs w:val="24"/>
              </w:rPr>
              <w:t>1</w:t>
            </w:r>
          </w:p>
        </w:tc>
        <w:tc>
          <w:tcPr>
            <w:tcW w:w="1475" w:type="dxa"/>
            <w:vAlign w:val="center"/>
          </w:tcPr>
          <w:p w:rsidR="00FC240D" w:rsidRDefault="00DD40EA">
            <w:pPr>
              <w:jc w:val="center"/>
            </w:pPr>
            <w:r>
              <w:rPr>
                <w:color w:val="000000"/>
                <w:sz w:val="24"/>
                <w:szCs w:val="24"/>
              </w:rPr>
              <w:t>180208</w:t>
            </w:r>
          </w:p>
        </w:tc>
        <w:tc>
          <w:tcPr>
            <w:tcW w:w="1769" w:type="dxa"/>
            <w:vAlign w:val="center"/>
          </w:tcPr>
          <w:p w:rsidR="00FC240D" w:rsidRDefault="00DD40EA">
            <w:pPr>
              <w:jc w:val="center"/>
            </w:pPr>
            <w:r>
              <w:rPr>
                <w:color w:val="000000"/>
                <w:sz w:val="24"/>
                <w:szCs w:val="24"/>
              </w:rPr>
              <w:t>18</w:t>
            </w:r>
            <w:r>
              <w:rPr>
                <w:color w:val="000000"/>
                <w:sz w:val="24"/>
                <w:szCs w:val="24"/>
              </w:rPr>
              <w:t>国开</w:t>
            </w:r>
            <w:r>
              <w:rPr>
                <w:color w:val="000000"/>
                <w:sz w:val="24"/>
                <w:szCs w:val="24"/>
              </w:rPr>
              <w:t>08</w:t>
            </w:r>
          </w:p>
        </w:tc>
        <w:tc>
          <w:tcPr>
            <w:tcW w:w="1387" w:type="dxa"/>
            <w:vAlign w:val="center"/>
          </w:tcPr>
          <w:p w:rsidR="00FC240D" w:rsidRDefault="00DD40EA">
            <w:pPr>
              <w:jc w:val="right"/>
            </w:pPr>
            <w:r>
              <w:rPr>
                <w:color w:val="000000"/>
                <w:sz w:val="24"/>
                <w:szCs w:val="24"/>
              </w:rPr>
              <w:t>200,000</w:t>
            </w:r>
          </w:p>
        </w:tc>
        <w:tc>
          <w:tcPr>
            <w:tcW w:w="2150" w:type="dxa"/>
            <w:vAlign w:val="center"/>
          </w:tcPr>
          <w:p w:rsidR="00FC240D" w:rsidRDefault="00DD40EA">
            <w:pPr>
              <w:jc w:val="right"/>
            </w:pPr>
            <w:r>
              <w:rPr>
                <w:color w:val="000000"/>
                <w:sz w:val="24"/>
                <w:szCs w:val="24"/>
              </w:rPr>
              <w:t>20,098,000.00</w:t>
            </w:r>
          </w:p>
        </w:tc>
        <w:tc>
          <w:tcPr>
            <w:tcW w:w="1237" w:type="dxa"/>
            <w:vAlign w:val="center"/>
          </w:tcPr>
          <w:p w:rsidR="00FC240D" w:rsidRDefault="00DD40EA">
            <w:pPr>
              <w:jc w:val="right"/>
            </w:pPr>
            <w:r>
              <w:rPr>
                <w:color w:val="000000"/>
                <w:sz w:val="24"/>
                <w:szCs w:val="24"/>
              </w:rPr>
              <w:t>4.58</w:t>
            </w:r>
          </w:p>
        </w:tc>
      </w:tr>
      <w:tr w:rsidR="00FC240D">
        <w:trPr>
          <w:jc w:val="center"/>
        </w:trPr>
        <w:tc>
          <w:tcPr>
            <w:tcW w:w="850" w:type="dxa"/>
            <w:vAlign w:val="center"/>
          </w:tcPr>
          <w:p w:rsidR="00FC240D" w:rsidRDefault="00DD40EA">
            <w:pPr>
              <w:jc w:val="center"/>
            </w:pPr>
            <w:r>
              <w:rPr>
                <w:color w:val="000000"/>
                <w:sz w:val="24"/>
                <w:szCs w:val="24"/>
              </w:rPr>
              <w:t>2</w:t>
            </w:r>
          </w:p>
        </w:tc>
        <w:tc>
          <w:tcPr>
            <w:tcW w:w="1475" w:type="dxa"/>
            <w:vAlign w:val="center"/>
          </w:tcPr>
          <w:p w:rsidR="00FC240D" w:rsidRDefault="00DD40EA">
            <w:pPr>
              <w:jc w:val="center"/>
            </w:pPr>
            <w:r>
              <w:rPr>
                <w:color w:val="000000"/>
                <w:sz w:val="24"/>
                <w:szCs w:val="24"/>
              </w:rPr>
              <w:t>127020</w:t>
            </w:r>
          </w:p>
        </w:tc>
        <w:tc>
          <w:tcPr>
            <w:tcW w:w="1769" w:type="dxa"/>
            <w:vAlign w:val="center"/>
          </w:tcPr>
          <w:p w:rsidR="00FC240D" w:rsidRDefault="00DD40EA">
            <w:pPr>
              <w:jc w:val="center"/>
            </w:pPr>
            <w:proofErr w:type="gramStart"/>
            <w:r>
              <w:rPr>
                <w:color w:val="000000"/>
                <w:sz w:val="24"/>
                <w:szCs w:val="24"/>
              </w:rPr>
              <w:t>中金转债</w:t>
            </w:r>
            <w:proofErr w:type="gramEnd"/>
          </w:p>
        </w:tc>
        <w:tc>
          <w:tcPr>
            <w:tcW w:w="1387" w:type="dxa"/>
            <w:vAlign w:val="center"/>
          </w:tcPr>
          <w:p w:rsidR="00FC240D" w:rsidRDefault="00DD40EA">
            <w:pPr>
              <w:jc w:val="right"/>
            </w:pPr>
            <w:r>
              <w:rPr>
                <w:color w:val="000000"/>
                <w:sz w:val="24"/>
                <w:szCs w:val="24"/>
              </w:rPr>
              <w:t>18,262</w:t>
            </w:r>
          </w:p>
        </w:tc>
        <w:tc>
          <w:tcPr>
            <w:tcW w:w="2150" w:type="dxa"/>
            <w:vAlign w:val="center"/>
          </w:tcPr>
          <w:p w:rsidR="00FC240D" w:rsidRDefault="00DD40EA">
            <w:pPr>
              <w:jc w:val="right"/>
            </w:pPr>
            <w:r>
              <w:rPr>
                <w:color w:val="000000"/>
                <w:sz w:val="24"/>
                <w:szCs w:val="24"/>
              </w:rPr>
              <w:t>2,146,332.86</w:t>
            </w:r>
          </w:p>
        </w:tc>
        <w:tc>
          <w:tcPr>
            <w:tcW w:w="1237" w:type="dxa"/>
            <w:vAlign w:val="center"/>
          </w:tcPr>
          <w:p w:rsidR="00FC240D" w:rsidRDefault="00DD40EA">
            <w:pPr>
              <w:jc w:val="right"/>
            </w:pPr>
            <w:r>
              <w:rPr>
                <w:color w:val="000000"/>
                <w:sz w:val="24"/>
                <w:szCs w:val="24"/>
              </w:rPr>
              <w:t>0.49</w:t>
            </w:r>
          </w:p>
        </w:tc>
      </w:tr>
      <w:tr w:rsidR="00FC240D">
        <w:trPr>
          <w:jc w:val="center"/>
        </w:trPr>
        <w:tc>
          <w:tcPr>
            <w:tcW w:w="850" w:type="dxa"/>
            <w:vAlign w:val="center"/>
          </w:tcPr>
          <w:p w:rsidR="00FC240D" w:rsidRDefault="00DD40EA">
            <w:pPr>
              <w:jc w:val="center"/>
            </w:pPr>
            <w:r>
              <w:rPr>
                <w:color w:val="000000"/>
                <w:sz w:val="24"/>
                <w:szCs w:val="24"/>
              </w:rPr>
              <w:t>3</w:t>
            </w:r>
          </w:p>
        </w:tc>
        <w:tc>
          <w:tcPr>
            <w:tcW w:w="1475" w:type="dxa"/>
            <w:vAlign w:val="center"/>
          </w:tcPr>
          <w:p w:rsidR="00FC240D" w:rsidRDefault="00DD40EA">
            <w:pPr>
              <w:jc w:val="center"/>
            </w:pPr>
            <w:r>
              <w:rPr>
                <w:color w:val="000000"/>
                <w:sz w:val="24"/>
                <w:szCs w:val="24"/>
              </w:rPr>
              <w:t>113013</w:t>
            </w:r>
          </w:p>
        </w:tc>
        <w:tc>
          <w:tcPr>
            <w:tcW w:w="1769" w:type="dxa"/>
            <w:vAlign w:val="center"/>
          </w:tcPr>
          <w:p w:rsidR="00FC240D" w:rsidRDefault="00DD40EA">
            <w:pPr>
              <w:jc w:val="center"/>
            </w:pPr>
            <w:r>
              <w:rPr>
                <w:color w:val="000000"/>
                <w:sz w:val="24"/>
                <w:szCs w:val="24"/>
              </w:rPr>
              <w:t>国君转债</w:t>
            </w:r>
          </w:p>
        </w:tc>
        <w:tc>
          <w:tcPr>
            <w:tcW w:w="1387" w:type="dxa"/>
            <w:vAlign w:val="center"/>
          </w:tcPr>
          <w:p w:rsidR="00FC240D" w:rsidRDefault="00DD40EA">
            <w:pPr>
              <w:jc w:val="right"/>
            </w:pPr>
            <w:r>
              <w:rPr>
                <w:color w:val="000000"/>
                <w:sz w:val="24"/>
                <w:szCs w:val="24"/>
              </w:rPr>
              <w:t>17,230</w:t>
            </w:r>
          </w:p>
        </w:tc>
        <w:tc>
          <w:tcPr>
            <w:tcW w:w="2150" w:type="dxa"/>
            <w:vAlign w:val="center"/>
          </w:tcPr>
          <w:p w:rsidR="00FC240D" w:rsidRDefault="00DD40EA">
            <w:pPr>
              <w:jc w:val="right"/>
            </w:pPr>
            <w:r>
              <w:rPr>
                <w:color w:val="000000"/>
                <w:sz w:val="24"/>
                <w:szCs w:val="24"/>
              </w:rPr>
              <w:t>2,058,640.40</w:t>
            </w:r>
          </w:p>
        </w:tc>
        <w:tc>
          <w:tcPr>
            <w:tcW w:w="1237" w:type="dxa"/>
            <w:vAlign w:val="center"/>
          </w:tcPr>
          <w:p w:rsidR="00FC240D" w:rsidRDefault="00DD40EA">
            <w:pPr>
              <w:jc w:val="right"/>
            </w:pPr>
            <w:r>
              <w:rPr>
                <w:color w:val="000000"/>
                <w:sz w:val="24"/>
                <w:szCs w:val="24"/>
              </w:rPr>
              <w:t>0.47</w:t>
            </w:r>
          </w:p>
        </w:tc>
      </w:tr>
      <w:tr w:rsidR="00FC240D">
        <w:trPr>
          <w:jc w:val="center"/>
        </w:trPr>
        <w:tc>
          <w:tcPr>
            <w:tcW w:w="850" w:type="dxa"/>
            <w:vAlign w:val="center"/>
          </w:tcPr>
          <w:p w:rsidR="00FC240D" w:rsidRDefault="00DD40EA">
            <w:pPr>
              <w:jc w:val="center"/>
            </w:pPr>
            <w:r>
              <w:rPr>
                <w:color w:val="000000"/>
                <w:sz w:val="24"/>
                <w:szCs w:val="24"/>
              </w:rPr>
              <w:t>4</w:t>
            </w:r>
          </w:p>
        </w:tc>
        <w:tc>
          <w:tcPr>
            <w:tcW w:w="1475" w:type="dxa"/>
            <w:vAlign w:val="center"/>
          </w:tcPr>
          <w:p w:rsidR="00FC240D" w:rsidRDefault="00DD40EA">
            <w:pPr>
              <w:jc w:val="center"/>
            </w:pPr>
            <w:r>
              <w:rPr>
                <w:color w:val="000000"/>
                <w:sz w:val="24"/>
                <w:szCs w:val="24"/>
              </w:rPr>
              <w:t>128128</w:t>
            </w:r>
          </w:p>
        </w:tc>
        <w:tc>
          <w:tcPr>
            <w:tcW w:w="1769" w:type="dxa"/>
            <w:vAlign w:val="center"/>
          </w:tcPr>
          <w:p w:rsidR="00FC240D" w:rsidRDefault="00DD40EA">
            <w:pPr>
              <w:jc w:val="center"/>
            </w:pPr>
            <w:proofErr w:type="gramStart"/>
            <w:r>
              <w:rPr>
                <w:color w:val="000000"/>
                <w:sz w:val="24"/>
                <w:szCs w:val="24"/>
              </w:rPr>
              <w:t>齐翔转</w:t>
            </w:r>
            <w:proofErr w:type="gramEnd"/>
            <w:r>
              <w:rPr>
                <w:color w:val="000000"/>
                <w:sz w:val="24"/>
                <w:szCs w:val="24"/>
              </w:rPr>
              <w:t>2</w:t>
            </w:r>
          </w:p>
        </w:tc>
        <w:tc>
          <w:tcPr>
            <w:tcW w:w="1387" w:type="dxa"/>
            <w:vAlign w:val="center"/>
          </w:tcPr>
          <w:p w:rsidR="00FC240D" w:rsidRDefault="00DD40EA">
            <w:pPr>
              <w:jc w:val="right"/>
            </w:pPr>
            <w:r>
              <w:rPr>
                <w:color w:val="000000"/>
                <w:sz w:val="24"/>
                <w:szCs w:val="24"/>
              </w:rPr>
              <w:t>18,710</w:t>
            </w:r>
          </w:p>
        </w:tc>
        <w:tc>
          <w:tcPr>
            <w:tcW w:w="2150" w:type="dxa"/>
            <w:vAlign w:val="center"/>
          </w:tcPr>
          <w:p w:rsidR="00FC240D" w:rsidRDefault="00DD40EA">
            <w:pPr>
              <w:jc w:val="right"/>
            </w:pPr>
            <w:r>
              <w:rPr>
                <w:color w:val="000000"/>
                <w:sz w:val="24"/>
                <w:szCs w:val="24"/>
              </w:rPr>
              <w:t>1,936,672.10</w:t>
            </w:r>
          </w:p>
        </w:tc>
        <w:tc>
          <w:tcPr>
            <w:tcW w:w="1237" w:type="dxa"/>
            <w:vAlign w:val="center"/>
          </w:tcPr>
          <w:p w:rsidR="00FC240D" w:rsidRDefault="00DD40EA">
            <w:pPr>
              <w:jc w:val="right"/>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1295"/>
        <w:gridCol w:w="1339"/>
        <w:gridCol w:w="1322"/>
        <w:gridCol w:w="1567"/>
        <w:gridCol w:w="1660"/>
        <w:gridCol w:w="1685"/>
      </w:tblGrid>
      <w:tr w:rsidR="00D57B7C" w:rsidRPr="00414345" w:rsidTr="00A324F4">
        <w:trPr>
          <w:jc w:val="center"/>
        </w:trPr>
        <w:tc>
          <w:tcPr>
            <w:tcW w:w="124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28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证券代码</w:t>
            </w:r>
          </w:p>
        </w:tc>
        <w:tc>
          <w:tcPr>
            <w:tcW w:w="127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证券名称</w:t>
            </w:r>
          </w:p>
        </w:tc>
        <w:tc>
          <w:tcPr>
            <w:tcW w:w="150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57B7C" w:rsidRPr="00414345">
              <w:rPr>
                <w:color w:val="000000"/>
                <w:sz w:val="24"/>
                <w:szCs w:val="24"/>
              </w:rPr>
              <w:t>(</w:t>
            </w:r>
            <w:r w:rsidRPr="00414345">
              <w:rPr>
                <w:color w:val="000000"/>
                <w:sz w:val="24"/>
                <w:szCs w:val="24"/>
              </w:rPr>
              <w:t>份</w:t>
            </w:r>
            <w:r w:rsidR="00D57B7C" w:rsidRPr="00414345">
              <w:rPr>
                <w:color w:val="000000"/>
                <w:sz w:val="24"/>
                <w:szCs w:val="24"/>
              </w:rPr>
              <w:t>)</w:t>
            </w:r>
          </w:p>
        </w:tc>
        <w:tc>
          <w:tcPr>
            <w:tcW w:w="159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57B7C" w:rsidRPr="00414345">
              <w:rPr>
                <w:color w:val="000000"/>
                <w:sz w:val="24"/>
                <w:szCs w:val="24"/>
              </w:rPr>
              <w:t>(</w:t>
            </w:r>
            <w:r w:rsidRPr="00414345">
              <w:rPr>
                <w:color w:val="000000"/>
                <w:sz w:val="24"/>
                <w:szCs w:val="24"/>
              </w:rPr>
              <w:t>％</w:t>
            </w:r>
            <w:r w:rsidR="00D57B7C" w:rsidRPr="00414345">
              <w:rPr>
                <w:color w:val="000000"/>
                <w:sz w:val="24"/>
                <w:szCs w:val="24"/>
              </w:rPr>
              <w:t>)</w:t>
            </w:r>
          </w:p>
        </w:tc>
      </w:tr>
      <w:tr w:rsidR="00FC240D">
        <w:trPr>
          <w:jc w:val="center"/>
        </w:trPr>
        <w:tc>
          <w:tcPr>
            <w:tcW w:w="1295" w:type="dxa"/>
            <w:vAlign w:val="center"/>
          </w:tcPr>
          <w:p w:rsidR="00FC240D" w:rsidRDefault="00DD40EA">
            <w:pPr>
              <w:jc w:val="center"/>
            </w:pPr>
            <w:r>
              <w:rPr>
                <w:color w:val="000000"/>
                <w:sz w:val="24"/>
                <w:szCs w:val="24"/>
              </w:rPr>
              <w:lastRenderedPageBreak/>
              <w:t>1</w:t>
            </w:r>
          </w:p>
        </w:tc>
        <w:tc>
          <w:tcPr>
            <w:tcW w:w="1339" w:type="dxa"/>
            <w:vAlign w:val="center"/>
          </w:tcPr>
          <w:p w:rsidR="00FC240D" w:rsidRDefault="00DD40EA">
            <w:pPr>
              <w:jc w:val="center"/>
            </w:pPr>
            <w:r>
              <w:rPr>
                <w:color w:val="000000"/>
                <w:sz w:val="24"/>
                <w:szCs w:val="24"/>
              </w:rPr>
              <w:t>169441</w:t>
            </w:r>
          </w:p>
        </w:tc>
        <w:tc>
          <w:tcPr>
            <w:tcW w:w="1322" w:type="dxa"/>
            <w:vAlign w:val="center"/>
          </w:tcPr>
          <w:p w:rsidR="00FC240D" w:rsidRDefault="00DD40EA">
            <w:pPr>
              <w:jc w:val="center"/>
            </w:pPr>
            <w:r>
              <w:rPr>
                <w:color w:val="000000"/>
                <w:sz w:val="24"/>
                <w:szCs w:val="24"/>
              </w:rPr>
              <w:t>20</w:t>
            </w:r>
            <w:r>
              <w:rPr>
                <w:color w:val="000000"/>
                <w:sz w:val="24"/>
                <w:szCs w:val="24"/>
              </w:rPr>
              <w:t>上实</w:t>
            </w:r>
            <w:r>
              <w:rPr>
                <w:color w:val="000000"/>
                <w:sz w:val="24"/>
                <w:szCs w:val="24"/>
              </w:rPr>
              <w:t>A1</w:t>
            </w:r>
          </w:p>
        </w:tc>
        <w:tc>
          <w:tcPr>
            <w:tcW w:w="1567" w:type="dxa"/>
            <w:vAlign w:val="center"/>
          </w:tcPr>
          <w:p w:rsidR="00FC240D" w:rsidRDefault="00DD40EA">
            <w:pPr>
              <w:jc w:val="right"/>
            </w:pPr>
            <w:r>
              <w:rPr>
                <w:color w:val="000000"/>
                <w:sz w:val="24"/>
                <w:szCs w:val="24"/>
              </w:rPr>
              <w:t>75,000.00</w:t>
            </w:r>
          </w:p>
        </w:tc>
        <w:tc>
          <w:tcPr>
            <w:tcW w:w="1660" w:type="dxa"/>
            <w:vAlign w:val="center"/>
          </w:tcPr>
          <w:p w:rsidR="00FC240D" w:rsidRDefault="00DD40EA">
            <w:pPr>
              <w:jc w:val="right"/>
            </w:pPr>
            <w:r>
              <w:rPr>
                <w:color w:val="000000"/>
                <w:sz w:val="24"/>
                <w:szCs w:val="24"/>
              </w:rPr>
              <w:t>4,454,250.00</w:t>
            </w:r>
          </w:p>
        </w:tc>
        <w:tc>
          <w:tcPr>
            <w:tcW w:w="1685" w:type="dxa"/>
            <w:vAlign w:val="center"/>
          </w:tcPr>
          <w:p w:rsidR="00FC240D" w:rsidRDefault="00DD40EA">
            <w:pPr>
              <w:jc w:val="right"/>
            </w:pPr>
            <w:r>
              <w:rPr>
                <w:color w:val="000000"/>
                <w:sz w:val="24"/>
                <w:szCs w:val="24"/>
              </w:rPr>
              <w:t>1.02</w:t>
            </w:r>
          </w:p>
        </w:tc>
      </w:tr>
      <w:tr w:rsidR="00FC240D">
        <w:trPr>
          <w:jc w:val="center"/>
        </w:trPr>
        <w:tc>
          <w:tcPr>
            <w:tcW w:w="1295" w:type="dxa"/>
            <w:vAlign w:val="center"/>
          </w:tcPr>
          <w:p w:rsidR="00FC240D" w:rsidRDefault="00DD40EA">
            <w:pPr>
              <w:jc w:val="center"/>
            </w:pPr>
            <w:r>
              <w:rPr>
                <w:color w:val="000000"/>
                <w:sz w:val="24"/>
                <w:szCs w:val="24"/>
              </w:rPr>
              <w:t>2</w:t>
            </w:r>
          </w:p>
        </w:tc>
        <w:tc>
          <w:tcPr>
            <w:tcW w:w="1339" w:type="dxa"/>
            <w:vAlign w:val="center"/>
          </w:tcPr>
          <w:p w:rsidR="00FC240D" w:rsidRDefault="00DD40EA">
            <w:pPr>
              <w:jc w:val="center"/>
            </w:pPr>
            <w:r>
              <w:rPr>
                <w:color w:val="000000"/>
                <w:sz w:val="24"/>
                <w:szCs w:val="24"/>
              </w:rPr>
              <w:t>156031</w:t>
            </w:r>
          </w:p>
        </w:tc>
        <w:tc>
          <w:tcPr>
            <w:tcW w:w="1322" w:type="dxa"/>
            <w:vAlign w:val="center"/>
          </w:tcPr>
          <w:p w:rsidR="00FC240D" w:rsidRDefault="00DD40EA">
            <w:pPr>
              <w:jc w:val="center"/>
            </w:pPr>
            <w:r>
              <w:rPr>
                <w:color w:val="000000"/>
                <w:sz w:val="24"/>
                <w:szCs w:val="24"/>
              </w:rPr>
              <w:t>PR</w:t>
            </w:r>
            <w:r>
              <w:rPr>
                <w:color w:val="000000"/>
                <w:sz w:val="24"/>
                <w:szCs w:val="24"/>
              </w:rPr>
              <w:t>上实</w:t>
            </w:r>
            <w:r>
              <w:rPr>
                <w:color w:val="000000"/>
                <w:sz w:val="24"/>
                <w:szCs w:val="24"/>
              </w:rPr>
              <w:t>A3</w:t>
            </w:r>
          </w:p>
        </w:tc>
        <w:tc>
          <w:tcPr>
            <w:tcW w:w="1567" w:type="dxa"/>
            <w:vAlign w:val="center"/>
          </w:tcPr>
          <w:p w:rsidR="00FC240D" w:rsidRDefault="00DD40EA">
            <w:pPr>
              <w:jc w:val="right"/>
            </w:pPr>
            <w:r>
              <w:rPr>
                <w:color w:val="000000"/>
                <w:sz w:val="24"/>
                <w:szCs w:val="24"/>
              </w:rPr>
              <w:t>123,000.00</w:t>
            </w:r>
          </w:p>
        </w:tc>
        <w:tc>
          <w:tcPr>
            <w:tcW w:w="1660" w:type="dxa"/>
            <w:vAlign w:val="center"/>
          </w:tcPr>
          <w:p w:rsidR="00FC240D" w:rsidRDefault="00DD40EA">
            <w:pPr>
              <w:jc w:val="right"/>
            </w:pPr>
            <w:r>
              <w:rPr>
                <w:color w:val="000000"/>
                <w:sz w:val="24"/>
                <w:szCs w:val="24"/>
              </w:rPr>
              <w:t>4,414,470.00</w:t>
            </w:r>
          </w:p>
        </w:tc>
        <w:tc>
          <w:tcPr>
            <w:tcW w:w="1685" w:type="dxa"/>
            <w:vAlign w:val="center"/>
          </w:tcPr>
          <w:p w:rsidR="00FC240D" w:rsidRDefault="00DD40EA">
            <w:pPr>
              <w:jc w:val="right"/>
            </w:pPr>
            <w:r>
              <w:rPr>
                <w:color w:val="000000"/>
                <w:sz w:val="24"/>
                <w:szCs w:val="24"/>
              </w:rPr>
              <w:t>1.01</w:t>
            </w:r>
          </w:p>
        </w:tc>
      </w:tr>
    </w:tbl>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22,346.08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811.42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638,483.54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59,320.46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721,643.01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FC240D">
        <w:trPr>
          <w:jc w:val="center"/>
        </w:trPr>
        <w:tc>
          <w:tcPr>
            <w:tcW w:w="1883" w:type="dxa"/>
            <w:vAlign w:val="center"/>
          </w:tcPr>
          <w:p w:rsidR="00FC240D" w:rsidRDefault="00DD40EA">
            <w:pPr>
              <w:jc w:val="center"/>
            </w:pPr>
            <w:r>
              <w:rPr>
                <w:color w:val="000000"/>
                <w:sz w:val="24"/>
                <w:szCs w:val="24"/>
              </w:rPr>
              <w:t>1</w:t>
            </w:r>
          </w:p>
        </w:tc>
        <w:tc>
          <w:tcPr>
            <w:tcW w:w="1801" w:type="dxa"/>
            <w:vAlign w:val="center"/>
          </w:tcPr>
          <w:p w:rsidR="00FC240D" w:rsidRDefault="00DD40EA">
            <w:pPr>
              <w:jc w:val="center"/>
            </w:pPr>
            <w:r>
              <w:rPr>
                <w:color w:val="000000"/>
                <w:sz w:val="24"/>
                <w:szCs w:val="24"/>
              </w:rPr>
              <w:t>113013</w:t>
            </w:r>
          </w:p>
        </w:tc>
        <w:tc>
          <w:tcPr>
            <w:tcW w:w="1727" w:type="dxa"/>
            <w:vAlign w:val="center"/>
          </w:tcPr>
          <w:p w:rsidR="00FC240D" w:rsidRDefault="00DD40EA">
            <w:pPr>
              <w:jc w:val="center"/>
            </w:pPr>
            <w:r>
              <w:rPr>
                <w:color w:val="000000"/>
                <w:sz w:val="24"/>
                <w:szCs w:val="24"/>
              </w:rPr>
              <w:t>国君转债</w:t>
            </w:r>
          </w:p>
        </w:tc>
        <w:tc>
          <w:tcPr>
            <w:tcW w:w="1768" w:type="dxa"/>
            <w:vAlign w:val="center"/>
          </w:tcPr>
          <w:p w:rsidR="00FC240D" w:rsidRDefault="00DD40EA">
            <w:pPr>
              <w:jc w:val="right"/>
            </w:pPr>
            <w:r>
              <w:rPr>
                <w:color w:val="000000"/>
                <w:sz w:val="24"/>
                <w:szCs w:val="24"/>
              </w:rPr>
              <w:t>2,058,640.40</w:t>
            </w:r>
          </w:p>
        </w:tc>
        <w:tc>
          <w:tcPr>
            <w:tcW w:w="1689" w:type="dxa"/>
            <w:vAlign w:val="center"/>
          </w:tcPr>
          <w:p w:rsidR="00FC240D" w:rsidRDefault="00DD40EA">
            <w:pPr>
              <w:jc w:val="right"/>
            </w:pPr>
            <w:r>
              <w:rPr>
                <w:color w:val="000000"/>
                <w:sz w:val="24"/>
                <w:szCs w:val="24"/>
              </w:rPr>
              <w:t>0.47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C240D">
        <w:trPr>
          <w:jc w:val="center"/>
        </w:trPr>
        <w:tc>
          <w:tcPr>
            <w:tcW w:w="1129" w:type="dxa"/>
            <w:vAlign w:val="center"/>
          </w:tcPr>
          <w:p w:rsidR="00FC240D" w:rsidRDefault="00DD40EA">
            <w:pPr>
              <w:jc w:val="center"/>
            </w:pPr>
            <w:r>
              <w:rPr>
                <w:color w:val="000000"/>
                <w:sz w:val="24"/>
                <w:szCs w:val="24"/>
              </w:rPr>
              <w:t>1</w:t>
            </w:r>
          </w:p>
        </w:tc>
        <w:tc>
          <w:tcPr>
            <w:tcW w:w="1356" w:type="dxa"/>
            <w:vAlign w:val="center"/>
          </w:tcPr>
          <w:p w:rsidR="00FC240D" w:rsidRDefault="00DD40EA">
            <w:pPr>
              <w:jc w:val="center"/>
            </w:pPr>
            <w:r>
              <w:rPr>
                <w:color w:val="000000"/>
                <w:sz w:val="24"/>
                <w:szCs w:val="24"/>
              </w:rPr>
              <w:t>601995</w:t>
            </w:r>
          </w:p>
        </w:tc>
        <w:tc>
          <w:tcPr>
            <w:tcW w:w="1355" w:type="dxa"/>
            <w:vAlign w:val="center"/>
          </w:tcPr>
          <w:p w:rsidR="00FC240D" w:rsidRDefault="00DD40EA">
            <w:pPr>
              <w:jc w:val="center"/>
            </w:pPr>
            <w:r>
              <w:rPr>
                <w:color w:val="000000"/>
                <w:sz w:val="24"/>
                <w:szCs w:val="24"/>
              </w:rPr>
              <w:t>中金公司</w:t>
            </w:r>
          </w:p>
        </w:tc>
        <w:tc>
          <w:tcPr>
            <w:tcW w:w="1880" w:type="dxa"/>
            <w:vAlign w:val="center"/>
          </w:tcPr>
          <w:p w:rsidR="00FC240D" w:rsidRDefault="00DD40EA">
            <w:pPr>
              <w:jc w:val="right"/>
            </w:pPr>
            <w:r>
              <w:rPr>
                <w:color w:val="000000"/>
                <w:sz w:val="24"/>
                <w:szCs w:val="24"/>
              </w:rPr>
              <w:t>1,714,383.21</w:t>
            </w:r>
          </w:p>
        </w:tc>
        <w:tc>
          <w:tcPr>
            <w:tcW w:w="1724" w:type="dxa"/>
            <w:vAlign w:val="center"/>
          </w:tcPr>
          <w:p w:rsidR="00FC240D" w:rsidRDefault="00DD40EA">
            <w:pPr>
              <w:jc w:val="right"/>
            </w:pPr>
            <w:r>
              <w:rPr>
                <w:color w:val="000000"/>
                <w:sz w:val="24"/>
                <w:szCs w:val="24"/>
              </w:rPr>
              <w:t>0.39</w:t>
            </w:r>
          </w:p>
        </w:tc>
        <w:tc>
          <w:tcPr>
            <w:tcW w:w="1424" w:type="dxa"/>
            <w:vAlign w:val="center"/>
          </w:tcPr>
          <w:p w:rsidR="00FC240D" w:rsidRDefault="001A593C">
            <w:pPr>
              <w:jc w:val="right"/>
            </w:pPr>
            <w:r w:rsidRPr="001A593C">
              <w:rPr>
                <w:rFonts w:hint="eastAsia"/>
                <w:color w:val="000000"/>
                <w:sz w:val="24"/>
                <w:szCs w:val="24"/>
              </w:rPr>
              <w:t>新股锁定期内</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FC240D">
        <w:tc>
          <w:tcPr>
            <w:tcW w:w="835" w:type="dxa"/>
            <w:vAlign w:val="center"/>
          </w:tcPr>
          <w:p w:rsidR="00FC240D" w:rsidRDefault="00DD40EA">
            <w:pPr>
              <w:jc w:val="center"/>
            </w:pPr>
            <w:r>
              <w:rPr>
                <w:sz w:val="24"/>
                <w:szCs w:val="24"/>
              </w:rPr>
              <w:t>1</w:t>
            </w:r>
          </w:p>
        </w:tc>
        <w:tc>
          <w:tcPr>
            <w:tcW w:w="1159" w:type="dxa"/>
            <w:vAlign w:val="center"/>
          </w:tcPr>
          <w:p w:rsidR="00FC240D" w:rsidRDefault="00DD40EA">
            <w:pPr>
              <w:jc w:val="center"/>
            </w:pPr>
            <w:r>
              <w:rPr>
                <w:sz w:val="24"/>
                <w:szCs w:val="24"/>
              </w:rPr>
              <w:t>003376</w:t>
            </w:r>
          </w:p>
        </w:tc>
        <w:tc>
          <w:tcPr>
            <w:tcW w:w="1161" w:type="dxa"/>
            <w:vAlign w:val="center"/>
          </w:tcPr>
          <w:p w:rsidR="00FC240D" w:rsidRDefault="00DD40EA">
            <w:pPr>
              <w:jc w:val="center"/>
            </w:pPr>
            <w:r>
              <w:rPr>
                <w:sz w:val="24"/>
                <w:szCs w:val="24"/>
              </w:rPr>
              <w:t>广发中债</w:t>
            </w:r>
            <w:r>
              <w:rPr>
                <w:sz w:val="24"/>
                <w:szCs w:val="24"/>
              </w:rPr>
              <w:t>7-10</w:t>
            </w:r>
            <w:r>
              <w:rPr>
                <w:sz w:val="24"/>
                <w:szCs w:val="24"/>
              </w:rPr>
              <w:t>年国</w:t>
            </w:r>
            <w:proofErr w:type="gramStart"/>
            <w:r>
              <w:rPr>
                <w:sz w:val="24"/>
                <w:szCs w:val="24"/>
              </w:rPr>
              <w:t>开债指数</w:t>
            </w:r>
            <w:proofErr w:type="gramEnd"/>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26,217,438.68</w:t>
            </w:r>
          </w:p>
        </w:tc>
        <w:tc>
          <w:tcPr>
            <w:tcW w:w="1305" w:type="dxa"/>
            <w:vAlign w:val="center"/>
          </w:tcPr>
          <w:p w:rsidR="00FC240D" w:rsidRDefault="00DD40EA">
            <w:pPr>
              <w:jc w:val="center"/>
            </w:pPr>
            <w:r>
              <w:rPr>
                <w:sz w:val="24"/>
                <w:szCs w:val="24"/>
              </w:rPr>
              <w:t>29,484,131.54</w:t>
            </w:r>
          </w:p>
        </w:tc>
        <w:tc>
          <w:tcPr>
            <w:tcW w:w="1161" w:type="dxa"/>
            <w:vAlign w:val="center"/>
          </w:tcPr>
          <w:p w:rsidR="00FC240D" w:rsidRDefault="00DD40EA">
            <w:pPr>
              <w:jc w:val="center"/>
            </w:pPr>
            <w:r>
              <w:rPr>
                <w:sz w:val="24"/>
                <w:szCs w:val="24"/>
              </w:rPr>
              <w:t>6.72%</w:t>
            </w:r>
          </w:p>
        </w:tc>
        <w:tc>
          <w:tcPr>
            <w:tcW w:w="1301" w:type="dxa"/>
            <w:vAlign w:val="center"/>
          </w:tcPr>
          <w:p w:rsidR="00FC240D" w:rsidRDefault="00DD40EA">
            <w:pPr>
              <w:jc w:val="center"/>
            </w:pPr>
            <w:r>
              <w:rPr>
                <w:sz w:val="24"/>
                <w:szCs w:val="24"/>
              </w:rPr>
              <w:t>否</w:t>
            </w:r>
          </w:p>
        </w:tc>
      </w:tr>
      <w:tr w:rsidR="00FC240D">
        <w:tc>
          <w:tcPr>
            <w:tcW w:w="835" w:type="dxa"/>
            <w:vAlign w:val="center"/>
          </w:tcPr>
          <w:p w:rsidR="00FC240D" w:rsidRDefault="00DD40EA">
            <w:pPr>
              <w:jc w:val="center"/>
            </w:pPr>
            <w:r>
              <w:rPr>
                <w:sz w:val="24"/>
                <w:szCs w:val="24"/>
              </w:rPr>
              <w:t>2</w:t>
            </w:r>
          </w:p>
        </w:tc>
        <w:tc>
          <w:tcPr>
            <w:tcW w:w="1159" w:type="dxa"/>
            <w:vAlign w:val="center"/>
          </w:tcPr>
          <w:p w:rsidR="00FC240D" w:rsidRDefault="00DD40EA">
            <w:pPr>
              <w:jc w:val="center"/>
            </w:pPr>
            <w:r>
              <w:rPr>
                <w:sz w:val="24"/>
                <w:szCs w:val="24"/>
              </w:rPr>
              <w:t>006848</w:t>
            </w:r>
          </w:p>
        </w:tc>
        <w:tc>
          <w:tcPr>
            <w:tcW w:w="1161" w:type="dxa"/>
            <w:vAlign w:val="center"/>
          </w:tcPr>
          <w:p w:rsidR="00FC240D" w:rsidRDefault="00DD40EA">
            <w:pPr>
              <w:jc w:val="center"/>
            </w:pPr>
            <w:r>
              <w:rPr>
                <w:sz w:val="24"/>
                <w:szCs w:val="24"/>
              </w:rPr>
              <w:t>博时中债</w:t>
            </w:r>
            <w:r>
              <w:rPr>
                <w:sz w:val="24"/>
                <w:szCs w:val="24"/>
              </w:rPr>
              <w:t>5-10</w:t>
            </w:r>
            <w:r>
              <w:rPr>
                <w:sz w:val="24"/>
                <w:szCs w:val="24"/>
              </w:rPr>
              <w:t>农发行</w:t>
            </w:r>
            <w:proofErr w:type="gramStart"/>
            <w:r>
              <w:rPr>
                <w:sz w:val="24"/>
                <w:szCs w:val="24"/>
              </w:rPr>
              <w:t>债指数</w:t>
            </w:r>
            <w:proofErr w:type="gramEnd"/>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29,103,104.78</w:t>
            </w:r>
          </w:p>
        </w:tc>
        <w:tc>
          <w:tcPr>
            <w:tcW w:w="1305" w:type="dxa"/>
            <w:vAlign w:val="center"/>
          </w:tcPr>
          <w:p w:rsidR="00FC240D" w:rsidRDefault="00DD40EA">
            <w:pPr>
              <w:jc w:val="center"/>
            </w:pPr>
            <w:r>
              <w:rPr>
                <w:sz w:val="24"/>
                <w:szCs w:val="24"/>
              </w:rPr>
              <w:t>29,292,274.96</w:t>
            </w:r>
          </w:p>
        </w:tc>
        <w:tc>
          <w:tcPr>
            <w:tcW w:w="1161" w:type="dxa"/>
            <w:vAlign w:val="center"/>
          </w:tcPr>
          <w:p w:rsidR="00FC240D" w:rsidRDefault="00DD40EA">
            <w:pPr>
              <w:jc w:val="center"/>
            </w:pPr>
            <w:r>
              <w:rPr>
                <w:sz w:val="24"/>
                <w:szCs w:val="24"/>
              </w:rPr>
              <w:t>6.68%</w:t>
            </w:r>
          </w:p>
        </w:tc>
        <w:tc>
          <w:tcPr>
            <w:tcW w:w="1301" w:type="dxa"/>
            <w:vAlign w:val="center"/>
          </w:tcPr>
          <w:p w:rsidR="00FC240D" w:rsidRDefault="00DD40EA">
            <w:pPr>
              <w:jc w:val="center"/>
            </w:pPr>
            <w:r>
              <w:rPr>
                <w:sz w:val="24"/>
                <w:szCs w:val="24"/>
              </w:rPr>
              <w:t>否</w:t>
            </w:r>
          </w:p>
        </w:tc>
      </w:tr>
      <w:tr w:rsidR="00FC240D">
        <w:tc>
          <w:tcPr>
            <w:tcW w:w="835" w:type="dxa"/>
            <w:vAlign w:val="center"/>
          </w:tcPr>
          <w:p w:rsidR="00FC240D" w:rsidRDefault="00DD40EA">
            <w:pPr>
              <w:jc w:val="center"/>
            </w:pPr>
            <w:r>
              <w:rPr>
                <w:sz w:val="24"/>
                <w:szCs w:val="24"/>
              </w:rPr>
              <w:t>3</w:t>
            </w:r>
          </w:p>
        </w:tc>
        <w:tc>
          <w:tcPr>
            <w:tcW w:w="1159" w:type="dxa"/>
            <w:vAlign w:val="center"/>
          </w:tcPr>
          <w:p w:rsidR="00FC240D" w:rsidRDefault="00DD40EA">
            <w:pPr>
              <w:jc w:val="center"/>
            </w:pPr>
            <w:r>
              <w:rPr>
                <w:sz w:val="24"/>
                <w:szCs w:val="24"/>
              </w:rPr>
              <w:t>003358</w:t>
            </w:r>
          </w:p>
        </w:tc>
        <w:tc>
          <w:tcPr>
            <w:tcW w:w="1161" w:type="dxa"/>
            <w:vAlign w:val="center"/>
          </w:tcPr>
          <w:p w:rsidR="00FC240D" w:rsidRDefault="00DD40EA">
            <w:pPr>
              <w:jc w:val="center"/>
            </w:pPr>
            <w:r>
              <w:rPr>
                <w:sz w:val="24"/>
                <w:szCs w:val="24"/>
              </w:rPr>
              <w:t>易方达中债</w:t>
            </w:r>
            <w:r>
              <w:rPr>
                <w:sz w:val="24"/>
                <w:szCs w:val="24"/>
              </w:rPr>
              <w:t>7-10</w:t>
            </w:r>
            <w:r>
              <w:rPr>
                <w:sz w:val="24"/>
                <w:szCs w:val="24"/>
              </w:rPr>
              <w:t>年国</w:t>
            </w:r>
            <w:proofErr w:type="gramStart"/>
            <w:r>
              <w:rPr>
                <w:sz w:val="24"/>
                <w:szCs w:val="24"/>
              </w:rPr>
              <w:t>开债指数</w:t>
            </w:r>
            <w:proofErr w:type="gramEnd"/>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22,829,784.89</w:t>
            </w:r>
          </w:p>
        </w:tc>
        <w:tc>
          <w:tcPr>
            <w:tcW w:w="1305" w:type="dxa"/>
            <w:vAlign w:val="center"/>
          </w:tcPr>
          <w:p w:rsidR="00FC240D" w:rsidRDefault="00DD40EA">
            <w:pPr>
              <w:jc w:val="center"/>
            </w:pPr>
            <w:r>
              <w:rPr>
                <w:sz w:val="24"/>
                <w:szCs w:val="24"/>
              </w:rPr>
              <w:t>25,487,171.85</w:t>
            </w:r>
          </w:p>
        </w:tc>
        <w:tc>
          <w:tcPr>
            <w:tcW w:w="1161" w:type="dxa"/>
            <w:vAlign w:val="center"/>
          </w:tcPr>
          <w:p w:rsidR="00FC240D" w:rsidRDefault="00DD40EA">
            <w:pPr>
              <w:jc w:val="center"/>
            </w:pPr>
            <w:r>
              <w:rPr>
                <w:sz w:val="24"/>
                <w:szCs w:val="24"/>
              </w:rPr>
              <w:t>5.81%</w:t>
            </w:r>
          </w:p>
        </w:tc>
        <w:tc>
          <w:tcPr>
            <w:tcW w:w="1301" w:type="dxa"/>
            <w:vAlign w:val="center"/>
          </w:tcPr>
          <w:p w:rsidR="00FC240D" w:rsidRDefault="00DD40EA">
            <w:pPr>
              <w:jc w:val="center"/>
            </w:pPr>
            <w:r>
              <w:rPr>
                <w:sz w:val="24"/>
                <w:szCs w:val="24"/>
              </w:rPr>
              <w:t>否</w:t>
            </w:r>
          </w:p>
        </w:tc>
      </w:tr>
      <w:tr w:rsidR="00FC240D">
        <w:tc>
          <w:tcPr>
            <w:tcW w:w="835" w:type="dxa"/>
            <w:vAlign w:val="center"/>
          </w:tcPr>
          <w:p w:rsidR="00FC240D" w:rsidRDefault="00DD40EA">
            <w:pPr>
              <w:jc w:val="center"/>
            </w:pPr>
            <w:r>
              <w:rPr>
                <w:sz w:val="24"/>
                <w:szCs w:val="24"/>
              </w:rPr>
              <w:lastRenderedPageBreak/>
              <w:t>4</w:t>
            </w:r>
          </w:p>
        </w:tc>
        <w:tc>
          <w:tcPr>
            <w:tcW w:w="1159" w:type="dxa"/>
            <w:vAlign w:val="center"/>
          </w:tcPr>
          <w:p w:rsidR="00FC240D" w:rsidRDefault="00DD40EA">
            <w:pPr>
              <w:jc w:val="center"/>
            </w:pPr>
            <w:r>
              <w:rPr>
                <w:sz w:val="24"/>
                <w:szCs w:val="24"/>
              </w:rPr>
              <w:t>004738</w:t>
            </w:r>
          </w:p>
        </w:tc>
        <w:tc>
          <w:tcPr>
            <w:tcW w:w="1161" w:type="dxa"/>
            <w:vAlign w:val="center"/>
          </w:tcPr>
          <w:p w:rsidR="00FC240D" w:rsidRDefault="00DD40EA">
            <w:pPr>
              <w:jc w:val="center"/>
            </w:pPr>
            <w:r>
              <w:rPr>
                <w:sz w:val="24"/>
                <w:szCs w:val="24"/>
              </w:rPr>
              <w:t>上投摩根安隆回报混合</w:t>
            </w:r>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19,896,946.24</w:t>
            </w:r>
          </w:p>
        </w:tc>
        <w:tc>
          <w:tcPr>
            <w:tcW w:w="1305" w:type="dxa"/>
            <w:vAlign w:val="center"/>
          </w:tcPr>
          <w:p w:rsidR="00FC240D" w:rsidRDefault="00DD40EA">
            <w:pPr>
              <w:jc w:val="center"/>
            </w:pPr>
            <w:r>
              <w:rPr>
                <w:sz w:val="24"/>
                <w:szCs w:val="24"/>
              </w:rPr>
              <w:t>25,452,173.63</w:t>
            </w:r>
          </w:p>
        </w:tc>
        <w:tc>
          <w:tcPr>
            <w:tcW w:w="1161" w:type="dxa"/>
            <w:vAlign w:val="center"/>
          </w:tcPr>
          <w:p w:rsidR="00FC240D" w:rsidRDefault="00DD40EA">
            <w:pPr>
              <w:jc w:val="center"/>
            </w:pPr>
            <w:r>
              <w:rPr>
                <w:sz w:val="24"/>
                <w:szCs w:val="24"/>
              </w:rPr>
              <w:t>5.80%</w:t>
            </w:r>
          </w:p>
        </w:tc>
        <w:tc>
          <w:tcPr>
            <w:tcW w:w="1301" w:type="dxa"/>
            <w:vAlign w:val="center"/>
          </w:tcPr>
          <w:p w:rsidR="00FC240D" w:rsidRDefault="00DD40EA">
            <w:pPr>
              <w:jc w:val="center"/>
            </w:pPr>
            <w:r>
              <w:rPr>
                <w:sz w:val="24"/>
                <w:szCs w:val="24"/>
              </w:rPr>
              <w:t>是</w:t>
            </w:r>
          </w:p>
        </w:tc>
      </w:tr>
      <w:tr w:rsidR="00FC240D">
        <w:tc>
          <w:tcPr>
            <w:tcW w:w="835" w:type="dxa"/>
            <w:vAlign w:val="center"/>
          </w:tcPr>
          <w:p w:rsidR="00FC240D" w:rsidRDefault="00DD40EA">
            <w:pPr>
              <w:jc w:val="center"/>
            </w:pPr>
            <w:r>
              <w:rPr>
                <w:sz w:val="24"/>
                <w:szCs w:val="24"/>
              </w:rPr>
              <w:t>5</w:t>
            </w:r>
          </w:p>
        </w:tc>
        <w:tc>
          <w:tcPr>
            <w:tcW w:w="1159" w:type="dxa"/>
            <w:vAlign w:val="center"/>
          </w:tcPr>
          <w:p w:rsidR="00FC240D" w:rsidRDefault="00DD40EA">
            <w:pPr>
              <w:jc w:val="center"/>
            </w:pPr>
            <w:r>
              <w:rPr>
                <w:sz w:val="24"/>
                <w:szCs w:val="24"/>
              </w:rPr>
              <w:t>000839</w:t>
            </w:r>
          </w:p>
        </w:tc>
        <w:tc>
          <w:tcPr>
            <w:tcW w:w="1161" w:type="dxa"/>
            <w:vAlign w:val="center"/>
          </w:tcPr>
          <w:p w:rsidR="00FC240D" w:rsidRDefault="00DD40EA">
            <w:pPr>
              <w:jc w:val="center"/>
            </w:pPr>
            <w:r>
              <w:rPr>
                <w:sz w:val="24"/>
                <w:szCs w:val="24"/>
              </w:rPr>
              <w:t>上投</w:t>
            </w:r>
            <w:proofErr w:type="gramStart"/>
            <w:r>
              <w:rPr>
                <w:sz w:val="24"/>
                <w:szCs w:val="24"/>
              </w:rPr>
              <w:t>摩根纯债丰利</w:t>
            </w:r>
            <w:proofErr w:type="gramEnd"/>
            <w:r>
              <w:rPr>
                <w:sz w:val="24"/>
                <w:szCs w:val="24"/>
              </w:rPr>
              <w:t>债券</w:t>
            </w:r>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21,452,032.95</w:t>
            </w:r>
          </w:p>
        </w:tc>
        <w:tc>
          <w:tcPr>
            <w:tcW w:w="1305" w:type="dxa"/>
            <w:vAlign w:val="center"/>
          </w:tcPr>
          <w:p w:rsidR="00FC240D" w:rsidRDefault="00DD40EA">
            <w:pPr>
              <w:jc w:val="center"/>
            </w:pPr>
            <w:r>
              <w:rPr>
                <w:sz w:val="24"/>
                <w:szCs w:val="24"/>
              </w:rPr>
              <w:t>21,685,860.11</w:t>
            </w:r>
          </w:p>
        </w:tc>
        <w:tc>
          <w:tcPr>
            <w:tcW w:w="1161" w:type="dxa"/>
            <w:vAlign w:val="center"/>
          </w:tcPr>
          <w:p w:rsidR="00FC240D" w:rsidRDefault="00DD40EA">
            <w:pPr>
              <w:jc w:val="center"/>
            </w:pPr>
            <w:r>
              <w:rPr>
                <w:sz w:val="24"/>
                <w:szCs w:val="24"/>
              </w:rPr>
              <w:t>4.94%</w:t>
            </w:r>
          </w:p>
        </w:tc>
        <w:tc>
          <w:tcPr>
            <w:tcW w:w="1301" w:type="dxa"/>
            <w:vAlign w:val="center"/>
          </w:tcPr>
          <w:p w:rsidR="00FC240D" w:rsidRDefault="00DD40EA">
            <w:pPr>
              <w:jc w:val="center"/>
            </w:pPr>
            <w:r>
              <w:rPr>
                <w:sz w:val="24"/>
                <w:szCs w:val="24"/>
              </w:rPr>
              <w:t>是</w:t>
            </w:r>
          </w:p>
        </w:tc>
      </w:tr>
      <w:tr w:rsidR="00FC240D">
        <w:tc>
          <w:tcPr>
            <w:tcW w:w="835" w:type="dxa"/>
            <w:vAlign w:val="center"/>
          </w:tcPr>
          <w:p w:rsidR="00FC240D" w:rsidRDefault="00DD40EA">
            <w:pPr>
              <w:jc w:val="center"/>
            </w:pPr>
            <w:r>
              <w:rPr>
                <w:sz w:val="24"/>
                <w:szCs w:val="24"/>
              </w:rPr>
              <w:t>6</w:t>
            </w:r>
          </w:p>
        </w:tc>
        <w:tc>
          <w:tcPr>
            <w:tcW w:w="1159" w:type="dxa"/>
            <w:vAlign w:val="center"/>
          </w:tcPr>
          <w:p w:rsidR="00FC240D" w:rsidRDefault="00DD40EA">
            <w:pPr>
              <w:jc w:val="center"/>
            </w:pPr>
            <w:r>
              <w:rPr>
                <w:sz w:val="24"/>
                <w:szCs w:val="24"/>
              </w:rPr>
              <w:t>006451</w:t>
            </w:r>
          </w:p>
        </w:tc>
        <w:tc>
          <w:tcPr>
            <w:tcW w:w="1161" w:type="dxa"/>
            <w:vAlign w:val="center"/>
          </w:tcPr>
          <w:p w:rsidR="00FC240D" w:rsidRDefault="00DD40EA">
            <w:pPr>
              <w:jc w:val="center"/>
            </w:pPr>
            <w:r>
              <w:rPr>
                <w:sz w:val="24"/>
                <w:szCs w:val="24"/>
              </w:rPr>
              <w:t>华富中证</w:t>
            </w:r>
            <w:r>
              <w:rPr>
                <w:sz w:val="24"/>
                <w:szCs w:val="24"/>
              </w:rPr>
              <w:t>5</w:t>
            </w:r>
            <w:r>
              <w:rPr>
                <w:sz w:val="24"/>
                <w:szCs w:val="24"/>
              </w:rPr>
              <w:t>年恒定</w:t>
            </w:r>
            <w:proofErr w:type="gramStart"/>
            <w:r>
              <w:rPr>
                <w:sz w:val="24"/>
                <w:szCs w:val="24"/>
              </w:rPr>
              <w:t>久期国开债指数</w:t>
            </w:r>
            <w:proofErr w:type="gramEnd"/>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20,740,077.31</w:t>
            </w:r>
          </w:p>
        </w:tc>
        <w:tc>
          <w:tcPr>
            <w:tcW w:w="1305" w:type="dxa"/>
            <w:vAlign w:val="center"/>
          </w:tcPr>
          <w:p w:rsidR="00FC240D" w:rsidRDefault="00DD40EA">
            <w:pPr>
              <w:jc w:val="center"/>
            </w:pPr>
            <w:r>
              <w:rPr>
                <w:sz w:val="24"/>
                <w:szCs w:val="24"/>
              </w:rPr>
              <w:t>21,515,756.20</w:t>
            </w:r>
          </w:p>
        </w:tc>
        <w:tc>
          <w:tcPr>
            <w:tcW w:w="1161" w:type="dxa"/>
            <w:vAlign w:val="center"/>
          </w:tcPr>
          <w:p w:rsidR="00FC240D" w:rsidRDefault="00DD40EA">
            <w:pPr>
              <w:jc w:val="center"/>
            </w:pPr>
            <w:r>
              <w:rPr>
                <w:sz w:val="24"/>
                <w:szCs w:val="24"/>
              </w:rPr>
              <w:t>4.90%</w:t>
            </w:r>
          </w:p>
        </w:tc>
        <w:tc>
          <w:tcPr>
            <w:tcW w:w="1301" w:type="dxa"/>
            <w:vAlign w:val="center"/>
          </w:tcPr>
          <w:p w:rsidR="00FC240D" w:rsidRDefault="00DD40EA">
            <w:pPr>
              <w:jc w:val="center"/>
            </w:pPr>
            <w:r>
              <w:rPr>
                <w:sz w:val="24"/>
                <w:szCs w:val="24"/>
              </w:rPr>
              <w:t>否</w:t>
            </w:r>
          </w:p>
        </w:tc>
      </w:tr>
      <w:tr w:rsidR="00FC240D">
        <w:tc>
          <w:tcPr>
            <w:tcW w:w="835" w:type="dxa"/>
            <w:vAlign w:val="center"/>
          </w:tcPr>
          <w:p w:rsidR="00FC240D" w:rsidRDefault="00DD40EA">
            <w:pPr>
              <w:jc w:val="center"/>
            </w:pPr>
            <w:r>
              <w:rPr>
                <w:sz w:val="24"/>
                <w:szCs w:val="24"/>
              </w:rPr>
              <w:t>7</w:t>
            </w:r>
          </w:p>
        </w:tc>
        <w:tc>
          <w:tcPr>
            <w:tcW w:w="1159" w:type="dxa"/>
            <w:vAlign w:val="center"/>
          </w:tcPr>
          <w:p w:rsidR="00FC240D" w:rsidRDefault="00DD40EA">
            <w:pPr>
              <w:jc w:val="center"/>
            </w:pPr>
            <w:r>
              <w:rPr>
                <w:sz w:val="24"/>
                <w:szCs w:val="24"/>
              </w:rPr>
              <w:t>005366</w:t>
            </w:r>
          </w:p>
        </w:tc>
        <w:tc>
          <w:tcPr>
            <w:tcW w:w="1161" w:type="dxa"/>
            <w:vAlign w:val="center"/>
          </w:tcPr>
          <w:p w:rsidR="00FC240D" w:rsidRDefault="00DD40EA">
            <w:pPr>
              <w:jc w:val="center"/>
            </w:pPr>
            <w:r>
              <w:rPr>
                <w:sz w:val="24"/>
                <w:szCs w:val="24"/>
              </w:rPr>
              <w:t>上投摩根丰瑞债券</w:t>
            </w:r>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20,450,344.10</w:t>
            </w:r>
          </w:p>
        </w:tc>
        <w:tc>
          <w:tcPr>
            <w:tcW w:w="1305" w:type="dxa"/>
            <w:vAlign w:val="center"/>
          </w:tcPr>
          <w:p w:rsidR="00FC240D" w:rsidRDefault="00DD40EA">
            <w:pPr>
              <w:jc w:val="center"/>
            </w:pPr>
            <w:r>
              <w:rPr>
                <w:sz w:val="24"/>
                <w:szCs w:val="24"/>
              </w:rPr>
              <w:t>20,538,280.58</w:t>
            </w:r>
          </w:p>
        </w:tc>
        <w:tc>
          <w:tcPr>
            <w:tcW w:w="1161" w:type="dxa"/>
            <w:vAlign w:val="center"/>
          </w:tcPr>
          <w:p w:rsidR="00FC240D" w:rsidRDefault="00DD40EA">
            <w:pPr>
              <w:jc w:val="center"/>
            </w:pPr>
            <w:r>
              <w:rPr>
                <w:sz w:val="24"/>
                <w:szCs w:val="24"/>
              </w:rPr>
              <w:t>4.68%</w:t>
            </w:r>
          </w:p>
        </w:tc>
        <w:tc>
          <w:tcPr>
            <w:tcW w:w="1301" w:type="dxa"/>
            <w:vAlign w:val="center"/>
          </w:tcPr>
          <w:p w:rsidR="00FC240D" w:rsidRDefault="00DD40EA">
            <w:pPr>
              <w:jc w:val="center"/>
            </w:pPr>
            <w:r>
              <w:rPr>
                <w:sz w:val="24"/>
                <w:szCs w:val="24"/>
              </w:rPr>
              <w:t>是</w:t>
            </w:r>
          </w:p>
        </w:tc>
      </w:tr>
      <w:tr w:rsidR="00FC240D">
        <w:tc>
          <w:tcPr>
            <w:tcW w:w="835" w:type="dxa"/>
            <w:vAlign w:val="center"/>
          </w:tcPr>
          <w:p w:rsidR="00FC240D" w:rsidRDefault="00DD40EA">
            <w:pPr>
              <w:jc w:val="center"/>
            </w:pPr>
            <w:r>
              <w:rPr>
                <w:sz w:val="24"/>
                <w:szCs w:val="24"/>
              </w:rPr>
              <w:t>8</w:t>
            </w:r>
          </w:p>
        </w:tc>
        <w:tc>
          <w:tcPr>
            <w:tcW w:w="1159" w:type="dxa"/>
            <w:vAlign w:val="center"/>
          </w:tcPr>
          <w:p w:rsidR="00FC240D" w:rsidRDefault="00DD40EA">
            <w:pPr>
              <w:jc w:val="center"/>
            </w:pPr>
            <w:r>
              <w:rPr>
                <w:sz w:val="24"/>
                <w:szCs w:val="24"/>
              </w:rPr>
              <w:t>001538</w:t>
            </w:r>
          </w:p>
        </w:tc>
        <w:tc>
          <w:tcPr>
            <w:tcW w:w="1161" w:type="dxa"/>
            <w:vAlign w:val="center"/>
          </w:tcPr>
          <w:p w:rsidR="00FC240D" w:rsidRDefault="00DD40EA">
            <w:pPr>
              <w:jc w:val="center"/>
            </w:pPr>
            <w:r>
              <w:rPr>
                <w:sz w:val="24"/>
                <w:szCs w:val="24"/>
              </w:rPr>
              <w:t>上投摩根科技前沿混合</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6,857,702.31</w:t>
            </w:r>
          </w:p>
        </w:tc>
        <w:tc>
          <w:tcPr>
            <w:tcW w:w="1305" w:type="dxa"/>
            <w:vAlign w:val="center"/>
          </w:tcPr>
          <w:p w:rsidR="00FC240D" w:rsidRDefault="00DD40EA">
            <w:pPr>
              <w:jc w:val="center"/>
            </w:pPr>
            <w:r>
              <w:rPr>
                <w:sz w:val="24"/>
                <w:szCs w:val="24"/>
              </w:rPr>
              <w:t>20,409,893.62</w:t>
            </w:r>
          </w:p>
        </w:tc>
        <w:tc>
          <w:tcPr>
            <w:tcW w:w="1161" w:type="dxa"/>
            <w:vAlign w:val="center"/>
          </w:tcPr>
          <w:p w:rsidR="00FC240D" w:rsidRDefault="00DD40EA">
            <w:pPr>
              <w:jc w:val="center"/>
            </w:pPr>
            <w:r>
              <w:rPr>
                <w:sz w:val="24"/>
                <w:szCs w:val="24"/>
              </w:rPr>
              <w:t>4.65%</w:t>
            </w:r>
          </w:p>
        </w:tc>
        <w:tc>
          <w:tcPr>
            <w:tcW w:w="1301" w:type="dxa"/>
            <w:vAlign w:val="center"/>
          </w:tcPr>
          <w:p w:rsidR="00FC240D" w:rsidRDefault="00DD40EA">
            <w:pPr>
              <w:jc w:val="center"/>
            </w:pPr>
            <w:r>
              <w:rPr>
                <w:sz w:val="24"/>
                <w:szCs w:val="24"/>
              </w:rPr>
              <w:t>是</w:t>
            </w:r>
          </w:p>
        </w:tc>
      </w:tr>
      <w:tr w:rsidR="00FC240D">
        <w:tc>
          <w:tcPr>
            <w:tcW w:w="835" w:type="dxa"/>
            <w:vAlign w:val="center"/>
          </w:tcPr>
          <w:p w:rsidR="00FC240D" w:rsidRDefault="00DD40EA">
            <w:pPr>
              <w:jc w:val="center"/>
            </w:pPr>
            <w:r>
              <w:rPr>
                <w:sz w:val="24"/>
                <w:szCs w:val="24"/>
              </w:rPr>
              <w:t>9</w:t>
            </w:r>
          </w:p>
        </w:tc>
        <w:tc>
          <w:tcPr>
            <w:tcW w:w="1159" w:type="dxa"/>
            <w:vAlign w:val="center"/>
          </w:tcPr>
          <w:p w:rsidR="00FC240D" w:rsidRDefault="00DD40EA">
            <w:pPr>
              <w:jc w:val="center"/>
            </w:pPr>
            <w:r>
              <w:rPr>
                <w:sz w:val="24"/>
                <w:szCs w:val="24"/>
              </w:rPr>
              <w:t>003081</w:t>
            </w:r>
          </w:p>
        </w:tc>
        <w:tc>
          <w:tcPr>
            <w:tcW w:w="1161" w:type="dxa"/>
            <w:vAlign w:val="center"/>
          </w:tcPr>
          <w:p w:rsidR="00FC240D" w:rsidRDefault="00DD40EA">
            <w:pPr>
              <w:jc w:val="center"/>
            </w:pPr>
            <w:proofErr w:type="gramStart"/>
            <w:r>
              <w:rPr>
                <w:sz w:val="24"/>
                <w:szCs w:val="24"/>
              </w:rPr>
              <w:t>中融</w:t>
            </w:r>
            <w:proofErr w:type="gramEnd"/>
            <w:r>
              <w:rPr>
                <w:sz w:val="24"/>
                <w:szCs w:val="24"/>
              </w:rPr>
              <w:t>1-3</w:t>
            </w:r>
            <w:r>
              <w:rPr>
                <w:sz w:val="24"/>
                <w:szCs w:val="24"/>
              </w:rPr>
              <w:t>年中高等级信用债</w:t>
            </w:r>
            <w:r>
              <w:rPr>
                <w:sz w:val="24"/>
                <w:szCs w:val="24"/>
              </w:rPr>
              <w:t>A</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18,560,890.38</w:t>
            </w:r>
          </w:p>
        </w:tc>
        <w:tc>
          <w:tcPr>
            <w:tcW w:w="1305" w:type="dxa"/>
            <w:vAlign w:val="center"/>
          </w:tcPr>
          <w:p w:rsidR="00FC240D" w:rsidRDefault="00DD40EA">
            <w:pPr>
              <w:jc w:val="center"/>
            </w:pPr>
            <w:r>
              <w:rPr>
                <w:sz w:val="24"/>
                <w:szCs w:val="24"/>
              </w:rPr>
              <w:t>19,867,577.06</w:t>
            </w:r>
          </w:p>
        </w:tc>
        <w:tc>
          <w:tcPr>
            <w:tcW w:w="1161" w:type="dxa"/>
            <w:vAlign w:val="center"/>
          </w:tcPr>
          <w:p w:rsidR="00FC240D" w:rsidRDefault="00DD40EA">
            <w:pPr>
              <w:jc w:val="center"/>
            </w:pPr>
            <w:r>
              <w:rPr>
                <w:sz w:val="24"/>
                <w:szCs w:val="24"/>
              </w:rPr>
              <w:t>4.53%</w:t>
            </w:r>
          </w:p>
        </w:tc>
        <w:tc>
          <w:tcPr>
            <w:tcW w:w="1301" w:type="dxa"/>
            <w:vAlign w:val="center"/>
          </w:tcPr>
          <w:p w:rsidR="00FC240D" w:rsidRDefault="00DD40EA">
            <w:pPr>
              <w:jc w:val="center"/>
            </w:pPr>
            <w:r>
              <w:rPr>
                <w:sz w:val="24"/>
                <w:szCs w:val="24"/>
              </w:rPr>
              <w:t>否</w:t>
            </w:r>
          </w:p>
        </w:tc>
      </w:tr>
      <w:tr w:rsidR="00FC240D">
        <w:tc>
          <w:tcPr>
            <w:tcW w:w="835" w:type="dxa"/>
            <w:vAlign w:val="center"/>
          </w:tcPr>
          <w:p w:rsidR="00FC240D" w:rsidRDefault="00DD40EA">
            <w:pPr>
              <w:jc w:val="center"/>
            </w:pPr>
            <w:r>
              <w:rPr>
                <w:sz w:val="24"/>
                <w:szCs w:val="24"/>
              </w:rPr>
              <w:t>10</w:t>
            </w:r>
          </w:p>
        </w:tc>
        <w:tc>
          <w:tcPr>
            <w:tcW w:w="1159" w:type="dxa"/>
            <w:vAlign w:val="center"/>
          </w:tcPr>
          <w:p w:rsidR="00FC240D" w:rsidRDefault="00DD40EA">
            <w:pPr>
              <w:jc w:val="center"/>
            </w:pPr>
            <w:r>
              <w:rPr>
                <w:sz w:val="24"/>
                <w:szCs w:val="24"/>
              </w:rPr>
              <w:t>511260</w:t>
            </w:r>
          </w:p>
        </w:tc>
        <w:tc>
          <w:tcPr>
            <w:tcW w:w="1161" w:type="dxa"/>
            <w:vAlign w:val="center"/>
          </w:tcPr>
          <w:p w:rsidR="00FC240D" w:rsidRDefault="00DD40EA">
            <w:pPr>
              <w:jc w:val="center"/>
            </w:pPr>
            <w:r>
              <w:rPr>
                <w:sz w:val="24"/>
                <w:szCs w:val="24"/>
              </w:rPr>
              <w:t>上证</w:t>
            </w:r>
            <w:r>
              <w:rPr>
                <w:sz w:val="24"/>
                <w:szCs w:val="24"/>
              </w:rPr>
              <w:t>10</w:t>
            </w:r>
            <w:r>
              <w:rPr>
                <w:sz w:val="24"/>
                <w:szCs w:val="24"/>
              </w:rPr>
              <w:t>年期国债</w:t>
            </w:r>
            <w:r>
              <w:rPr>
                <w:sz w:val="24"/>
                <w:szCs w:val="24"/>
              </w:rPr>
              <w:t>ETF</w:t>
            </w:r>
          </w:p>
        </w:tc>
        <w:tc>
          <w:tcPr>
            <w:tcW w:w="1161" w:type="dxa"/>
            <w:vAlign w:val="center"/>
          </w:tcPr>
          <w:p w:rsidR="00FC240D" w:rsidRDefault="00DD40EA">
            <w:pPr>
              <w:jc w:val="center"/>
            </w:pPr>
            <w:r>
              <w:rPr>
                <w:sz w:val="24"/>
                <w:szCs w:val="24"/>
              </w:rPr>
              <w:t>契约型开放式</w:t>
            </w:r>
          </w:p>
        </w:tc>
        <w:tc>
          <w:tcPr>
            <w:tcW w:w="1159" w:type="dxa"/>
            <w:vAlign w:val="center"/>
          </w:tcPr>
          <w:p w:rsidR="00FC240D" w:rsidRDefault="00DD40EA">
            <w:pPr>
              <w:jc w:val="center"/>
            </w:pPr>
            <w:r>
              <w:rPr>
                <w:sz w:val="24"/>
                <w:szCs w:val="24"/>
              </w:rPr>
              <w:t>162,900.00</w:t>
            </w:r>
          </w:p>
        </w:tc>
        <w:tc>
          <w:tcPr>
            <w:tcW w:w="1305" w:type="dxa"/>
            <w:vAlign w:val="center"/>
          </w:tcPr>
          <w:p w:rsidR="00FC240D" w:rsidRDefault="00DD40EA">
            <w:pPr>
              <w:jc w:val="center"/>
            </w:pPr>
            <w:r>
              <w:rPr>
                <w:sz w:val="24"/>
                <w:szCs w:val="24"/>
              </w:rPr>
              <w:t>17,936,104.50</w:t>
            </w:r>
          </w:p>
        </w:tc>
        <w:tc>
          <w:tcPr>
            <w:tcW w:w="1161" w:type="dxa"/>
            <w:vAlign w:val="center"/>
          </w:tcPr>
          <w:p w:rsidR="00FC240D" w:rsidRDefault="00DD40EA">
            <w:pPr>
              <w:jc w:val="center"/>
            </w:pPr>
            <w:r>
              <w:rPr>
                <w:sz w:val="24"/>
                <w:szCs w:val="24"/>
              </w:rPr>
              <w:t>4.09%</w:t>
            </w:r>
          </w:p>
        </w:tc>
        <w:tc>
          <w:tcPr>
            <w:tcW w:w="1301" w:type="dxa"/>
            <w:vAlign w:val="center"/>
          </w:tcPr>
          <w:p w:rsidR="00FC240D" w:rsidRDefault="00DD40EA">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5,000.00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1,000.00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13,930.20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13,930.20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361.30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361.30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443,508.40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311,055.79</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lastRenderedPageBreak/>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91,695.17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54,927.59</w:t>
            </w:r>
          </w:p>
        </w:tc>
      </w:tr>
      <w:tr w:rsidR="00FC240D">
        <w:tc>
          <w:tcPr>
            <w:tcW w:w="3012" w:type="dxa"/>
            <w:vAlign w:val="center"/>
          </w:tcPr>
          <w:p w:rsidR="00FC240D" w:rsidRDefault="00DD40EA">
            <w:pPr>
              <w:jc w:val="left"/>
            </w:pPr>
            <w:r>
              <w:rPr>
                <w:rFonts w:eastAsiaTheme="minorEastAsia"/>
                <w:color w:val="000000" w:themeColor="text1"/>
                <w:sz w:val="24"/>
                <w:szCs w:val="24"/>
              </w:rPr>
              <w:t>当期交易基金产生的交易费（元）</w:t>
            </w:r>
          </w:p>
        </w:tc>
        <w:tc>
          <w:tcPr>
            <w:tcW w:w="3012" w:type="dxa"/>
            <w:vAlign w:val="center"/>
          </w:tcPr>
          <w:p w:rsidR="00FC240D" w:rsidRDefault="00DD40EA">
            <w:pPr>
              <w:jc w:val="right"/>
            </w:pPr>
            <w:r>
              <w:rPr>
                <w:rFonts w:eastAsiaTheme="minorEastAsia"/>
                <w:color w:val="000000" w:themeColor="text1"/>
                <w:sz w:val="24"/>
                <w:szCs w:val="24"/>
              </w:rPr>
              <w:t>10,630.56</w:t>
            </w:r>
          </w:p>
        </w:tc>
        <w:tc>
          <w:tcPr>
            <w:tcW w:w="3012" w:type="dxa"/>
            <w:vAlign w:val="center"/>
          </w:tcPr>
          <w:p w:rsidR="00FC240D" w:rsidRDefault="00DD40EA">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407,701,333.75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857,466.46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408,558,800.21</w:t>
            </w:r>
          </w:p>
        </w:tc>
      </w:tr>
    </w:tbl>
    <w:p w:rsidR="00320E90" w:rsidRDefault="00320E90" w:rsidP="00C15CAC">
      <w:pPr>
        <w:autoSpaceDE w:val="0"/>
        <w:autoSpaceDN w:val="0"/>
        <w:adjustRightInd w:val="0"/>
        <w:spacing w:before="29" w:line="288" w:lineRule="auto"/>
        <w:jc w:val="left"/>
        <w:rPr>
          <w:color w:val="000000"/>
          <w:sz w:val="24"/>
          <w:szCs w:val="24"/>
        </w:rPr>
      </w:pPr>
    </w:p>
    <w:p w:rsidR="00841D9C" w:rsidRDefault="00841D9C" w:rsidP="00841D9C">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§8  </w:t>
      </w:r>
      <w:r>
        <w:rPr>
          <w:rFonts w:ascii="方正仿宋简体" w:hint="eastAsia"/>
          <w:color w:val="000000" w:themeColor="text1"/>
          <w:sz w:val="24"/>
          <w:szCs w:val="24"/>
        </w:rPr>
        <w:t>基金管理人运用</w:t>
      </w:r>
      <w:proofErr w:type="gramStart"/>
      <w:r>
        <w:rPr>
          <w:rFonts w:ascii="方正仿宋简体" w:hint="eastAsia"/>
          <w:color w:val="000000" w:themeColor="text1"/>
          <w:sz w:val="24"/>
          <w:szCs w:val="24"/>
        </w:rPr>
        <w:t>固有资金</w:t>
      </w:r>
      <w:proofErr w:type="gramEnd"/>
      <w:r>
        <w:rPr>
          <w:rFonts w:ascii="方正仿宋简体" w:hint="eastAsia"/>
          <w:color w:val="000000" w:themeColor="text1"/>
          <w:sz w:val="24"/>
          <w:szCs w:val="24"/>
        </w:rPr>
        <w:t>投资本基金情况</w:t>
      </w:r>
    </w:p>
    <w:p w:rsidR="00841D9C" w:rsidRDefault="00841D9C" w:rsidP="00841D9C">
      <w:pPr>
        <w:spacing w:line="360" w:lineRule="auto"/>
        <w:jc w:val="left"/>
        <w:rPr>
          <w:color w:val="000000" w:themeColor="text1"/>
          <w:sz w:val="24"/>
          <w:szCs w:val="24"/>
        </w:rPr>
      </w:pPr>
      <w:r>
        <w:rPr>
          <w:b/>
          <w:color w:val="000000" w:themeColor="text1"/>
          <w:sz w:val="24"/>
        </w:rPr>
        <w:t xml:space="preserve">8.1 </w:t>
      </w:r>
      <w:r>
        <w:rPr>
          <w:rFonts w:hint="eastAsia"/>
          <w:b/>
          <w:color w:val="000000" w:themeColor="text1"/>
          <w:sz w:val="24"/>
        </w:rPr>
        <w:t>基金管理人持有本基金份额变动情况</w:t>
      </w:r>
    </w:p>
    <w:p w:rsidR="00841D9C" w:rsidRDefault="00841D9C" w:rsidP="00841D9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841D9C" w:rsidRPr="00414345" w:rsidRDefault="00841D9C"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841D9C">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841D9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C240D" w:rsidRDefault="00DD40E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、中国证监会准予上投摩根锦程稳健养老目标一年持有期混合型基金中基金</w:t>
      </w:r>
      <w:r>
        <w:rPr>
          <w:color w:val="000000"/>
          <w:sz w:val="24"/>
          <w:szCs w:val="24"/>
        </w:rPr>
        <w:t>(FOF)</w:t>
      </w:r>
      <w:r>
        <w:rPr>
          <w:color w:val="000000"/>
          <w:sz w:val="24"/>
          <w:szCs w:val="24"/>
        </w:rPr>
        <w:t>募集注册的文件</w:t>
      </w:r>
    </w:p>
    <w:p w:rsidR="00FC240D" w:rsidRDefault="00DD40EA">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、上投摩根锦程稳健养老目标一年持有期混合型基金中基金</w:t>
      </w:r>
      <w:r>
        <w:rPr>
          <w:color w:val="000000"/>
          <w:sz w:val="24"/>
          <w:szCs w:val="24"/>
        </w:rPr>
        <w:t>(FOF)</w:t>
      </w:r>
      <w:r>
        <w:rPr>
          <w:color w:val="000000"/>
          <w:sz w:val="24"/>
          <w:szCs w:val="24"/>
        </w:rPr>
        <w:t>基金合同</w:t>
      </w:r>
    </w:p>
    <w:p w:rsidR="00FC240D" w:rsidRDefault="00DD40EA">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、上投摩根锦程稳健养老目标一年持有期混合型基金中基金</w:t>
      </w:r>
      <w:r>
        <w:rPr>
          <w:color w:val="000000"/>
          <w:sz w:val="24"/>
          <w:szCs w:val="24"/>
        </w:rPr>
        <w:t>(FOF)</w:t>
      </w:r>
      <w:r>
        <w:rPr>
          <w:color w:val="000000"/>
          <w:sz w:val="24"/>
          <w:szCs w:val="24"/>
        </w:rPr>
        <w:t>托管协议</w:t>
      </w:r>
    </w:p>
    <w:p w:rsidR="00FC240D" w:rsidRDefault="00DD40EA">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FC240D" w:rsidRDefault="00DD40EA">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841D9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841D9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7B" w:rsidRDefault="0006777B" w:rsidP="00876D65">
      <w:r>
        <w:separator/>
      </w:r>
    </w:p>
  </w:endnote>
  <w:endnote w:type="continuationSeparator" w:id="0">
    <w:p w:rsidR="0006777B" w:rsidRDefault="0006777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F3EE3">
      <w:rPr>
        <w:noProof/>
        <w:kern w:val="0"/>
        <w:szCs w:val="21"/>
      </w:rPr>
      <w:t>15</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DF3EE3">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7B" w:rsidRDefault="0006777B" w:rsidP="00876D65">
      <w:r>
        <w:separator/>
      </w:r>
    </w:p>
  </w:footnote>
  <w:footnote w:type="continuationSeparator" w:id="0">
    <w:p w:rsidR="0006777B" w:rsidRDefault="0006777B"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上投摩根锦程稳健养老目标一年持有期混合型基金中基金</w:t>
    </w:r>
    <w:r w:rsidRPr="003E676C">
      <w:rPr>
        <w:sz w:val="24"/>
        <w:szCs w:val="24"/>
      </w:rPr>
      <w:t>(FOF)2020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593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1D9C"/>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40EA"/>
    <w:rsid w:val="00DE27F7"/>
    <w:rsid w:val="00DE4B43"/>
    <w:rsid w:val="00DF25D5"/>
    <w:rsid w:val="00DF3EE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40D"/>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5B63-7C28-4143-A923-D0E0FF29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15</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585</cp:revision>
  <dcterms:created xsi:type="dcterms:W3CDTF">2012-10-16T06:07:00Z</dcterms:created>
  <dcterms:modified xsi:type="dcterms:W3CDTF">2021-01-21T07:59:00Z</dcterms:modified>
</cp:coreProperties>
</file>