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摩根锦程稳健养老目标一年持有期混合型基金中基金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摩根锦程稳健养老一年持有混合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009143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57,796,505.94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B40CD" w:rsidRDefault="002B7C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3B40CD" w:rsidRDefault="002B7C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3B40CD" w:rsidRDefault="002B7C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20%:80%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3B40CD" w:rsidRDefault="002B7C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3B40CD" w:rsidRDefault="002B7C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3B40CD" w:rsidRDefault="002B7C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、其他投资策略：包括股票投资策略、债券投资策略、证券公司短期公司债投资策略、资产支持证券投资策略、存托凭证投资策略。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B40CD" w:rsidRDefault="002B7C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20%</w:t>
            </w:r>
            <w:r>
              <w:rPr>
                <w:rFonts w:eastAsiaTheme="minorEastAsia"/>
                <w:color w:val="000000" w:themeColor="text1"/>
                <w:kern w:val="0"/>
                <w:szCs w:val="21"/>
              </w:rPr>
              <w:t>：</w:t>
            </w:r>
            <w:r>
              <w:rPr>
                <w:rFonts w:eastAsiaTheme="minorEastAsia"/>
                <w:color w:val="000000" w:themeColor="text1"/>
                <w:kern w:val="0"/>
                <w:szCs w:val="21"/>
              </w:rPr>
              <w:t>80%</w:t>
            </w:r>
            <w:r>
              <w:rPr>
                <w:rFonts w:eastAsiaTheme="minorEastAsia"/>
                <w:color w:val="000000" w:themeColor="text1"/>
                <w:kern w:val="0"/>
                <w:szCs w:val="21"/>
              </w:rPr>
              <w:t>，在基金管理人管理的养老目标风险基金中，属于高风险类资产的配置比例较低的产品。</w:t>
            </w:r>
          </w:p>
          <w:p w:rsidR="003B40CD" w:rsidRDefault="002B7C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009143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52,810,441.73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4,986,064.21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103,936.41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14,043.73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960,466.85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59,018.16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55,858,326.01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5,280,177.83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1.0590</w:t>
            </w:r>
          </w:p>
        </w:tc>
      </w:tr>
    </w:tbl>
    <w:p w:rsidR="003B40CD" w:rsidRDefault="002B7C4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B40CD">
        <w:tc>
          <w:tcPr>
            <w:tcW w:w="1290" w:type="dxa"/>
            <w:vAlign w:val="center"/>
          </w:tcPr>
          <w:p w:rsidR="003B40CD" w:rsidRDefault="002B7C42">
            <w:pPr>
              <w:jc w:val="left"/>
            </w:pPr>
            <w:r>
              <w:rPr>
                <w:rFonts w:eastAsiaTheme="minorEastAsia"/>
                <w:color w:val="000000" w:themeColor="text1"/>
                <w:szCs w:val="21"/>
              </w:rPr>
              <w:t>过去三个月</w:t>
            </w:r>
          </w:p>
        </w:tc>
        <w:tc>
          <w:tcPr>
            <w:tcW w:w="1291" w:type="dxa"/>
            <w:vAlign w:val="center"/>
          </w:tcPr>
          <w:p w:rsidR="003B40CD" w:rsidRDefault="002B7C42">
            <w:pPr>
              <w:jc w:val="right"/>
            </w:pPr>
            <w:r>
              <w:rPr>
                <w:rFonts w:eastAsiaTheme="minorEastAsia"/>
                <w:color w:val="000000" w:themeColor="text1"/>
                <w:szCs w:val="21"/>
              </w:rPr>
              <w:t>1.59%</w:t>
            </w:r>
          </w:p>
        </w:tc>
        <w:tc>
          <w:tcPr>
            <w:tcW w:w="1291" w:type="dxa"/>
            <w:vAlign w:val="center"/>
          </w:tcPr>
          <w:p w:rsidR="003B40CD" w:rsidRDefault="002B7C42">
            <w:pPr>
              <w:jc w:val="right"/>
            </w:pPr>
            <w:r>
              <w:rPr>
                <w:rFonts w:eastAsiaTheme="minorEastAsia"/>
                <w:color w:val="000000" w:themeColor="text1"/>
                <w:szCs w:val="21"/>
              </w:rPr>
              <w:t>0.19%</w:t>
            </w:r>
          </w:p>
        </w:tc>
        <w:tc>
          <w:tcPr>
            <w:tcW w:w="1291" w:type="dxa"/>
            <w:vAlign w:val="center"/>
          </w:tcPr>
          <w:p w:rsidR="003B40CD" w:rsidRDefault="002B7C42">
            <w:pPr>
              <w:jc w:val="right"/>
            </w:pPr>
            <w:r>
              <w:rPr>
                <w:rFonts w:eastAsiaTheme="minorEastAsia"/>
                <w:color w:val="000000" w:themeColor="text1"/>
                <w:szCs w:val="21"/>
              </w:rPr>
              <w:t>1.79%</w:t>
            </w:r>
          </w:p>
        </w:tc>
        <w:tc>
          <w:tcPr>
            <w:tcW w:w="1291" w:type="dxa"/>
            <w:vAlign w:val="center"/>
          </w:tcPr>
          <w:p w:rsidR="003B40CD" w:rsidRDefault="002B7C42">
            <w:pPr>
              <w:jc w:val="right"/>
            </w:pPr>
            <w:r>
              <w:rPr>
                <w:rFonts w:eastAsiaTheme="minorEastAsia"/>
                <w:color w:val="000000" w:themeColor="text1"/>
                <w:szCs w:val="21"/>
              </w:rPr>
              <w:t>0.16%</w:t>
            </w:r>
          </w:p>
        </w:tc>
        <w:tc>
          <w:tcPr>
            <w:tcW w:w="1291" w:type="dxa"/>
            <w:vAlign w:val="center"/>
          </w:tcPr>
          <w:p w:rsidR="003B40CD" w:rsidRDefault="002B7C42">
            <w:pPr>
              <w:jc w:val="right"/>
            </w:pPr>
            <w:r>
              <w:rPr>
                <w:rFonts w:eastAsiaTheme="minorEastAsia"/>
                <w:color w:val="000000" w:themeColor="text1"/>
                <w:szCs w:val="21"/>
              </w:rPr>
              <w:t>-0.20%</w:t>
            </w:r>
          </w:p>
        </w:tc>
        <w:tc>
          <w:tcPr>
            <w:tcW w:w="1291" w:type="dxa"/>
            <w:vAlign w:val="center"/>
          </w:tcPr>
          <w:p w:rsidR="003B40CD" w:rsidRDefault="002B7C42">
            <w:pPr>
              <w:jc w:val="right"/>
            </w:pPr>
            <w:r>
              <w:rPr>
                <w:rFonts w:eastAsiaTheme="minorEastAsia"/>
                <w:color w:val="000000" w:themeColor="text1"/>
                <w:szCs w:val="21"/>
              </w:rPr>
              <w:t>0.03%</w:t>
            </w:r>
          </w:p>
        </w:tc>
      </w:tr>
      <w:tr w:rsidR="003B40CD">
        <w:tc>
          <w:tcPr>
            <w:tcW w:w="1290" w:type="dxa"/>
            <w:vAlign w:val="center"/>
          </w:tcPr>
          <w:p w:rsidR="003B40CD" w:rsidRDefault="002B7C42">
            <w:pPr>
              <w:jc w:val="left"/>
            </w:pPr>
            <w:r>
              <w:rPr>
                <w:rFonts w:eastAsiaTheme="minorEastAsia"/>
                <w:color w:val="000000" w:themeColor="text1"/>
                <w:szCs w:val="21"/>
              </w:rPr>
              <w:t>过去六个月</w:t>
            </w:r>
          </w:p>
        </w:tc>
        <w:tc>
          <w:tcPr>
            <w:tcW w:w="1291" w:type="dxa"/>
            <w:vAlign w:val="center"/>
          </w:tcPr>
          <w:p w:rsidR="003B40CD" w:rsidRDefault="002B7C42">
            <w:pPr>
              <w:jc w:val="right"/>
            </w:pPr>
            <w:r>
              <w:rPr>
                <w:rFonts w:eastAsiaTheme="minorEastAsia"/>
                <w:color w:val="000000" w:themeColor="text1"/>
                <w:szCs w:val="21"/>
              </w:rPr>
              <w:t>0.82%</w:t>
            </w:r>
          </w:p>
        </w:tc>
        <w:tc>
          <w:tcPr>
            <w:tcW w:w="1291" w:type="dxa"/>
            <w:vAlign w:val="center"/>
          </w:tcPr>
          <w:p w:rsidR="003B40CD" w:rsidRDefault="002B7C42">
            <w:pPr>
              <w:jc w:val="right"/>
            </w:pPr>
            <w:r>
              <w:rPr>
                <w:rFonts w:eastAsiaTheme="minorEastAsia"/>
                <w:color w:val="000000" w:themeColor="text1"/>
                <w:szCs w:val="21"/>
              </w:rPr>
              <w:t>0.21%</w:t>
            </w:r>
          </w:p>
        </w:tc>
        <w:tc>
          <w:tcPr>
            <w:tcW w:w="1291" w:type="dxa"/>
            <w:vAlign w:val="center"/>
          </w:tcPr>
          <w:p w:rsidR="003B40CD" w:rsidRDefault="002B7C42">
            <w:pPr>
              <w:jc w:val="right"/>
            </w:pPr>
            <w:r>
              <w:rPr>
                <w:rFonts w:eastAsiaTheme="minorEastAsia"/>
                <w:color w:val="000000" w:themeColor="text1"/>
                <w:szCs w:val="21"/>
              </w:rPr>
              <w:t>2.26%</w:t>
            </w:r>
          </w:p>
        </w:tc>
        <w:tc>
          <w:tcPr>
            <w:tcW w:w="1291" w:type="dxa"/>
            <w:vAlign w:val="center"/>
          </w:tcPr>
          <w:p w:rsidR="003B40CD" w:rsidRDefault="002B7C42">
            <w:pPr>
              <w:jc w:val="right"/>
            </w:pPr>
            <w:r>
              <w:rPr>
                <w:rFonts w:eastAsiaTheme="minorEastAsia"/>
                <w:color w:val="000000" w:themeColor="text1"/>
                <w:szCs w:val="21"/>
              </w:rPr>
              <w:t>0.20%</w:t>
            </w:r>
          </w:p>
        </w:tc>
        <w:tc>
          <w:tcPr>
            <w:tcW w:w="1291" w:type="dxa"/>
            <w:vAlign w:val="center"/>
          </w:tcPr>
          <w:p w:rsidR="003B40CD" w:rsidRDefault="002B7C42">
            <w:pPr>
              <w:jc w:val="right"/>
            </w:pPr>
            <w:r>
              <w:rPr>
                <w:rFonts w:eastAsiaTheme="minorEastAsia"/>
                <w:color w:val="000000" w:themeColor="text1"/>
                <w:szCs w:val="21"/>
              </w:rPr>
              <w:t>-1.44%</w:t>
            </w:r>
          </w:p>
        </w:tc>
        <w:tc>
          <w:tcPr>
            <w:tcW w:w="1291" w:type="dxa"/>
            <w:vAlign w:val="center"/>
          </w:tcPr>
          <w:p w:rsidR="003B40CD" w:rsidRDefault="002B7C42">
            <w:pPr>
              <w:jc w:val="right"/>
            </w:pPr>
            <w:r>
              <w:rPr>
                <w:rFonts w:eastAsiaTheme="minorEastAsia"/>
                <w:color w:val="000000" w:themeColor="text1"/>
                <w:szCs w:val="21"/>
              </w:rPr>
              <w:t>0.01%</w:t>
            </w:r>
          </w:p>
        </w:tc>
      </w:tr>
      <w:tr w:rsidR="003B40CD">
        <w:tc>
          <w:tcPr>
            <w:tcW w:w="1290" w:type="dxa"/>
            <w:vAlign w:val="center"/>
          </w:tcPr>
          <w:p w:rsidR="003B40CD" w:rsidRDefault="002B7C42">
            <w:pPr>
              <w:jc w:val="left"/>
            </w:pPr>
            <w:r>
              <w:rPr>
                <w:rFonts w:eastAsiaTheme="minorEastAsia"/>
                <w:color w:val="000000" w:themeColor="text1"/>
                <w:szCs w:val="21"/>
              </w:rPr>
              <w:t>过去一年</w:t>
            </w:r>
          </w:p>
        </w:tc>
        <w:tc>
          <w:tcPr>
            <w:tcW w:w="1291" w:type="dxa"/>
            <w:vAlign w:val="center"/>
          </w:tcPr>
          <w:p w:rsidR="003B40CD" w:rsidRDefault="002B7C42">
            <w:pPr>
              <w:jc w:val="right"/>
            </w:pPr>
            <w:r>
              <w:rPr>
                <w:rFonts w:eastAsiaTheme="minorEastAsia"/>
                <w:color w:val="000000" w:themeColor="text1"/>
                <w:szCs w:val="21"/>
              </w:rPr>
              <w:t>-1.13%</w:t>
            </w:r>
          </w:p>
        </w:tc>
        <w:tc>
          <w:tcPr>
            <w:tcW w:w="1291" w:type="dxa"/>
            <w:vAlign w:val="center"/>
          </w:tcPr>
          <w:p w:rsidR="003B40CD" w:rsidRDefault="002B7C42">
            <w:pPr>
              <w:jc w:val="right"/>
            </w:pPr>
            <w:r>
              <w:rPr>
                <w:rFonts w:eastAsiaTheme="minorEastAsia"/>
                <w:color w:val="000000" w:themeColor="text1"/>
                <w:szCs w:val="21"/>
              </w:rPr>
              <w:t>0.20%</w:t>
            </w:r>
          </w:p>
        </w:tc>
        <w:tc>
          <w:tcPr>
            <w:tcW w:w="1291" w:type="dxa"/>
            <w:vAlign w:val="center"/>
          </w:tcPr>
          <w:p w:rsidR="003B40CD" w:rsidRDefault="002B7C42">
            <w:pPr>
              <w:jc w:val="right"/>
            </w:pPr>
            <w:r>
              <w:rPr>
                <w:rFonts w:eastAsiaTheme="minorEastAsia"/>
                <w:color w:val="000000" w:themeColor="text1"/>
                <w:szCs w:val="21"/>
              </w:rPr>
              <w:t>2.18%</w:t>
            </w:r>
          </w:p>
        </w:tc>
        <w:tc>
          <w:tcPr>
            <w:tcW w:w="1291" w:type="dxa"/>
            <w:vAlign w:val="center"/>
          </w:tcPr>
          <w:p w:rsidR="003B40CD" w:rsidRDefault="002B7C42">
            <w:pPr>
              <w:jc w:val="right"/>
            </w:pPr>
            <w:r>
              <w:rPr>
                <w:rFonts w:eastAsiaTheme="minorEastAsia"/>
                <w:color w:val="000000" w:themeColor="text1"/>
                <w:szCs w:val="21"/>
              </w:rPr>
              <w:t>0.22%</w:t>
            </w:r>
          </w:p>
        </w:tc>
        <w:tc>
          <w:tcPr>
            <w:tcW w:w="1291" w:type="dxa"/>
            <w:vAlign w:val="center"/>
          </w:tcPr>
          <w:p w:rsidR="003B40CD" w:rsidRDefault="002B7C42">
            <w:pPr>
              <w:jc w:val="right"/>
            </w:pPr>
            <w:r>
              <w:rPr>
                <w:rFonts w:eastAsiaTheme="minorEastAsia"/>
                <w:color w:val="000000" w:themeColor="text1"/>
                <w:szCs w:val="21"/>
              </w:rPr>
              <w:t>-3.31%</w:t>
            </w:r>
          </w:p>
        </w:tc>
        <w:tc>
          <w:tcPr>
            <w:tcW w:w="1291" w:type="dxa"/>
            <w:vAlign w:val="center"/>
          </w:tcPr>
          <w:p w:rsidR="003B40CD" w:rsidRDefault="002B7C42">
            <w:pPr>
              <w:jc w:val="right"/>
            </w:pPr>
            <w:r>
              <w:rPr>
                <w:rFonts w:eastAsiaTheme="minorEastAsia"/>
                <w:color w:val="000000" w:themeColor="text1"/>
                <w:szCs w:val="21"/>
              </w:rPr>
              <w:t>-0.02%</w:t>
            </w:r>
          </w:p>
        </w:tc>
      </w:tr>
      <w:tr w:rsidR="003B40CD">
        <w:tc>
          <w:tcPr>
            <w:tcW w:w="1290" w:type="dxa"/>
            <w:vAlign w:val="center"/>
          </w:tcPr>
          <w:p w:rsidR="003B40CD" w:rsidRDefault="002B7C42">
            <w:pPr>
              <w:jc w:val="left"/>
            </w:pPr>
            <w:r>
              <w:rPr>
                <w:rFonts w:eastAsiaTheme="minorEastAsia"/>
                <w:color w:val="000000" w:themeColor="text1"/>
                <w:szCs w:val="21"/>
              </w:rPr>
              <w:t>过去三年</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r>
      <w:tr w:rsidR="003B40CD">
        <w:tc>
          <w:tcPr>
            <w:tcW w:w="1290" w:type="dxa"/>
            <w:vAlign w:val="center"/>
          </w:tcPr>
          <w:p w:rsidR="003B40CD" w:rsidRDefault="002B7C42">
            <w:pPr>
              <w:jc w:val="left"/>
            </w:pPr>
            <w:r>
              <w:rPr>
                <w:rFonts w:eastAsiaTheme="minorEastAsia"/>
                <w:color w:val="000000" w:themeColor="text1"/>
                <w:szCs w:val="21"/>
              </w:rPr>
              <w:t>过去五年</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r>
      <w:tr w:rsidR="003B40CD">
        <w:tc>
          <w:tcPr>
            <w:tcW w:w="1290" w:type="dxa"/>
            <w:vAlign w:val="center"/>
          </w:tcPr>
          <w:p w:rsidR="003B40CD" w:rsidRDefault="002B7C42">
            <w:pPr>
              <w:jc w:val="left"/>
            </w:pPr>
            <w:r>
              <w:rPr>
                <w:rFonts w:eastAsiaTheme="minorEastAsia"/>
                <w:color w:val="000000" w:themeColor="text1"/>
                <w:szCs w:val="21"/>
              </w:rPr>
              <w:t>自基金合同生效起至今</w:t>
            </w:r>
          </w:p>
        </w:tc>
        <w:tc>
          <w:tcPr>
            <w:tcW w:w="1291" w:type="dxa"/>
            <w:vAlign w:val="center"/>
          </w:tcPr>
          <w:p w:rsidR="003B40CD" w:rsidRDefault="002B7C42">
            <w:pPr>
              <w:jc w:val="right"/>
            </w:pPr>
            <w:r>
              <w:rPr>
                <w:rFonts w:eastAsiaTheme="minorEastAsia"/>
                <w:color w:val="000000" w:themeColor="text1"/>
                <w:szCs w:val="21"/>
              </w:rPr>
              <w:t>5.77%</w:t>
            </w:r>
          </w:p>
        </w:tc>
        <w:tc>
          <w:tcPr>
            <w:tcW w:w="1291" w:type="dxa"/>
            <w:vAlign w:val="center"/>
          </w:tcPr>
          <w:p w:rsidR="003B40CD" w:rsidRDefault="002B7C42">
            <w:pPr>
              <w:jc w:val="right"/>
            </w:pPr>
            <w:r>
              <w:rPr>
                <w:rFonts w:eastAsiaTheme="minorEastAsia"/>
                <w:color w:val="000000" w:themeColor="text1"/>
                <w:szCs w:val="21"/>
              </w:rPr>
              <w:t>0.24%</w:t>
            </w:r>
          </w:p>
        </w:tc>
        <w:tc>
          <w:tcPr>
            <w:tcW w:w="1291" w:type="dxa"/>
            <w:vAlign w:val="center"/>
          </w:tcPr>
          <w:p w:rsidR="003B40CD" w:rsidRDefault="002B7C42">
            <w:pPr>
              <w:jc w:val="right"/>
            </w:pPr>
            <w:r>
              <w:rPr>
                <w:rFonts w:eastAsiaTheme="minorEastAsia"/>
                <w:color w:val="000000" w:themeColor="text1"/>
                <w:szCs w:val="21"/>
              </w:rPr>
              <w:t>8.80%</w:t>
            </w:r>
          </w:p>
        </w:tc>
        <w:tc>
          <w:tcPr>
            <w:tcW w:w="1291" w:type="dxa"/>
            <w:vAlign w:val="center"/>
          </w:tcPr>
          <w:p w:rsidR="003B40CD" w:rsidRDefault="002B7C42">
            <w:pPr>
              <w:jc w:val="right"/>
            </w:pPr>
            <w:r>
              <w:rPr>
                <w:rFonts w:eastAsiaTheme="minorEastAsia"/>
                <w:color w:val="000000" w:themeColor="text1"/>
                <w:szCs w:val="21"/>
              </w:rPr>
              <w:t>0.23%</w:t>
            </w:r>
          </w:p>
        </w:tc>
        <w:tc>
          <w:tcPr>
            <w:tcW w:w="1291" w:type="dxa"/>
            <w:vAlign w:val="center"/>
          </w:tcPr>
          <w:p w:rsidR="003B40CD" w:rsidRDefault="002B7C42">
            <w:pPr>
              <w:jc w:val="right"/>
            </w:pPr>
            <w:r>
              <w:rPr>
                <w:rFonts w:eastAsiaTheme="minorEastAsia"/>
                <w:color w:val="000000" w:themeColor="text1"/>
                <w:szCs w:val="21"/>
              </w:rPr>
              <w:t>-3.03%</w:t>
            </w:r>
          </w:p>
        </w:tc>
        <w:tc>
          <w:tcPr>
            <w:tcW w:w="1291" w:type="dxa"/>
            <w:vAlign w:val="center"/>
          </w:tcPr>
          <w:p w:rsidR="003B40CD" w:rsidRDefault="002B7C42">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B7C42">
        <w:tc>
          <w:tcPr>
            <w:tcW w:w="1290" w:type="dxa"/>
            <w:vAlign w:val="center"/>
          </w:tcPr>
          <w:p w:rsidR="002B7C42" w:rsidRDefault="002B7C42" w:rsidP="002B7C42">
            <w:pPr>
              <w:jc w:val="left"/>
            </w:pPr>
            <w:r>
              <w:rPr>
                <w:rFonts w:eastAsiaTheme="minorEastAsia"/>
                <w:color w:val="000000" w:themeColor="text1"/>
                <w:szCs w:val="21"/>
              </w:rPr>
              <w:t>过去三个月</w:t>
            </w:r>
          </w:p>
        </w:tc>
        <w:tc>
          <w:tcPr>
            <w:tcW w:w="1291" w:type="dxa"/>
            <w:vAlign w:val="center"/>
          </w:tcPr>
          <w:p w:rsidR="002B7C42" w:rsidRDefault="002B7C42" w:rsidP="002B7C42">
            <w:pPr>
              <w:jc w:val="right"/>
            </w:pPr>
            <w:r>
              <w:rPr>
                <w:rFonts w:eastAsiaTheme="minorEastAsia"/>
                <w:color w:val="000000" w:themeColor="text1"/>
                <w:szCs w:val="21"/>
              </w:rPr>
              <w:t>1.69%</w:t>
            </w:r>
          </w:p>
        </w:tc>
        <w:tc>
          <w:tcPr>
            <w:tcW w:w="1291" w:type="dxa"/>
            <w:vAlign w:val="center"/>
          </w:tcPr>
          <w:p w:rsidR="002B7C42" w:rsidRDefault="002B7C42" w:rsidP="002B7C42">
            <w:pPr>
              <w:jc w:val="right"/>
            </w:pPr>
            <w:r>
              <w:rPr>
                <w:rFonts w:eastAsiaTheme="minorEastAsia"/>
                <w:color w:val="000000" w:themeColor="text1"/>
                <w:szCs w:val="21"/>
              </w:rPr>
              <w:t>0.19%</w:t>
            </w:r>
          </w:p>
        </w:tc>
        <w:tc>
          <w:tcPr>
            <w:tcW w:w="1291" w:type="dxa"/>
            <w:vAlign w:val="center"/>
          </w:tcPr>
          <w:p w:rsidR="002B7C42" w:rsidRDefault="002B7C42" w:rsidP="002B7C42">
            <w:pPr>
              <w:jc w:val="right"/>
            </w:pPr>
            <w:r>
              <w:rPr>
                <w:rFonts w:eastAsiaTheme="minorEastAsia"/>
                <w:color w:val="000000" w:themeColor="text1"/>
                <w:szCs w:val="21"/>
              </w:rPr>
              <w:t>1.79%</w:t>
            </w:r>
          </w:p>
        </w:tc>
        <w:tc>
          <w:tcPr>
            <w:tcW w:w="1291" w:type="dxa"/>
            <w:vAlign w:val="center"/>
          </w:tcPr>
          <w:p w:rsidR="002B7C42" w:rsidRDefault="002B7C42" w:rsidP="002B7C42">
            <w:pPr>
              <w:jc w:val="right"/>
            </w:pPr>
            <w:r>
              <w:rPr>
                <w:rFonts w:eastAsiaTheme="minorEastAsia"/>
                <w:color w:val="000000" w:themeColor="text1"/>
                <w:szCs w:val="21"/>
              </w:rPr>
              <w:t>0.16%</w:t>
            </w:r>
          </w:p>
        </w:tc>
        <w:tc>
          <w:tcPr>
            <w:tcW w:w="1291" w:type="dxa"/>
            <w:vAlign w:val="center"/>
          </w:tcPr>
          <w:p w:rsidR="002B7C42" w:rsidRDefault="002B7C42" w:rsidP="002B7C42">
            <w:pPr>
              <w:jc w:val="right"/>
            </w:pPr>
            <w:r>
              <w:rPr>
                <w:rFonts w:eastAsiaTheme="minorEastAsia"/>
                <w:color w:val="000000" w:themeColor="text1"/>
                <w:szCs w:val="21"/>
              </w:rPr>
              <w:t>-0.10%</w:t>
            </w:r>
          </w:p>
        </w:tc>
        <w:tc>
          <w:tcPr>
            <w:tcW w:w="1291" w:type="dxa"/>
            <w:vAlign w:val="center"/>
          </w:tcPr>
          <w:p w:rsidR="002B7C42" w:rsidRDefault="002B7C42" w:rsidP="002B7C42">
            <w:pPr>
              <w:jc w:val="right"/>
            </w:pPr>
            <w:r>
              <w:rPr>
                <w:rFonts w:eastAsiaTheme="minorEastAsia"/>
                <w:color w:val="000000" w:themeColor="text1"/>
                <w:szCs w:val="21"/>
              </w:rPr>
              <w:t>0.03%</w:t>
            </w:r>
          </w:p>
        </w:tc>
      </w:tr>
      <w:tr w:rsidR="003B40CD">
        <w:tc>
          <w:tcPr>
            <w:tcW w:w="1290" w:type="dxa"/>
            <w:vAlign w:val="center"/>
          </w:tcPr>
          <w:p w:rsidR="003B40CD" w:rsidRDefault="002B7C42">
            <w:pPr>
              <w:jc w:val="left"/>
            </w:pPr>
            <w:r>
              <w:rPr>
                <w:rFonts w:eastAsiaTheme="minorEastAsia"/>
                <w:color w:val="000000" w:themeColor="text1"/>
                <w:szCs w:val="21"/>
              </w:rPr>
              <w:t>过去六个月</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r>
      <w:tr w:rsidR="003B40CD">
        <w:tc>
          <w:tcPr>
            <w:tcW w:w="1290" w:type="dxa"/>
            <w:vAlign w:val="center"/>
          </w:tcPr>
          <w:p w:rsidR="003B40CD" w:rsidRDefault="002B7C42">
            <w:pPr>
              <w:jc w:val="left"/>
            </w:pPr>
            <w:r>
              <w:rPr>
                <w:rFonts w:eastAsiaTheme="minorEastAsia"/>
                <w:color w:val="000000" w:themeColor="text1"/>
                <w:szCs w:val="21"/>
              </w:rPr>
              <w:t>过去一年</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r>
      <w:tr w:rsidR="003B40CD">
        <w:tc>
          <w:tcPr>
            <w:tcW w:w="1290" w:type="dxa"/>
            <w:vAlign w:val="center"/>
          </w:tcPr>
          <w:p w:rsidR="003B40CD" w:rsidRDefault="002B7C42">
            <w:pPr>
              <w:jc w:val="left"/>
            </w:pPr>
            <w:r>
              <w:rPr>
                <w:rFonts w:eastAsiaTheme="minorEastAsia"/>
                <w:color w:val="000000" w:themeColor="text1"/>
                <w:szCs w:val="21"/>
              </w:rPr>
              <w:t>过去三年</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r>
      <w:tr w:rsidR="003B40CD">
        <w:tc>
          <w:tcPr>
            <w:tcW w:w="1290" w:type="dxa"/>
            <w:vAlign w:val="center"/>
          </w:tcPr>
          <w:p w:rsidR="003B40CD" w:rsidRDefault="002B7C42">
            <w:pPr>
              <w:jc w:val="left"/>
            </w:pPr>
            <w:r>
              <w:rPr>
                <w:rFonts w:eastAsiaTheme="minorEastAsia"/>
                <w:color w:val="000000" w:themeColor="text1"/>
                <w:szCs w:val="21"/>
              </w:rPr>
              <w:t>过去五年</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c>
          <w:tcPr>
            <w:tcW w:w="1291" w:type="dxa"/>
            <w:vAlign w:val="center"/>
          </w:tcPr>
          <w:p w:rsidR="003B40CD" w:rsidRDefault="002B7C42">
            <w:pPr>
              <w:jc w:val="right"/>
            </w:pPr>
            <w:r>
              <w:rPr>
                <w:rFonts w:eastAsiaTheme="minorEastAsia"/>
                <w:color w:val="000000" w:themeColor="text1"/>
                <w:szCs w:val="21"/>
              </w:rPr>
              <w:t>-</w:t>
            </w:r>
          </w:p>
        </w:tc>
      </w:tr>
      <w:tr w:rsidR="003B40CD">
        <w:tc>
          <w:tcPr>
            <w:tcW w:w="1290" w:type="dxa"/>
            <w:vAlign w:val="center"/>
          </w:tcPr>
          <w:p w:rsidR="003B40CD" w:rsidRDefault="002B7C42">
            <w:pPr>
              <w:jc w:val="left"/>
            </w:pPr>
            <w:r>
              <w:rPr>
                <w:rFonts w:eastAsiaTheme="minorEastAsia"/>
                <w:color w:val="000000" w:themeColor="text1"/>
                <w:szCs w:val="21"/>
              </w:rPr>
              <w:t>自基金合同生效起至今</w:t>
            </w:r>
          </w:p>
        </w:tc>
        <w:tc>
          <w:tcPr>
            <w:tcW w:w="1291" w:type="dxa"/>
            <w:vAlign w:val="center"/>
          </w:tcPr>
          <w:p w:rsidR="003B40CD" w:rsidRDefault="002B7C42">
            <w:pPr>
              <w:jc w:val="right"/>
            </w:pPr>
            <w:r>
              <w:rPr>
                <w:rFonts w:eastAsiaTheme="minorEastAsia"/>
                <w:color w:val="000000" w:themeColor="text1"/>
                <w:szCs w:val="21"/>
              </w:rPr>
              <w:t>1.15%</w:t>
            </w:r>
          </w:p>
        </w:tc>
        <w:tc>
          <w:tcPr>
            <w:tcW w:w="1291" w:type="dxa"/>
            <w:vAlign w:val="center"/>
          </w:tcPr>
          <w:p w:rsidR="003B40CD" w:rsidRDefault="002B7C42">
            <w:pPr>
              <w:jc w:val="right"/>
            </w:pPr>
            <w:r>
              <w:rPr>
                <w:rFonts w:eastAsiaTheme="minorEastAsia"/>
                <w:color w:val="000000" w:themeColor="text1"/>
                <w:szCs w:val="21"/>
              </w:rPr>
              <w:t>0.19%</w:t>
            </w:r>
          </w:p>
        </w:tc>
        <w:tc>
          <w:tcPr>
            <w:tcW w:w="1291" w:type="dxa"/>
            <w:vAlign w:val="center"/>
          </w:tcPr>
          <w:p w:rsidR="003B40CD" w:rsidRDefault="002B7C42">
            <w:pPr>
              <w:jc w:val="right"/>
            </w:pPr>
            <w:r>
              <w:rPr>
                <w:rFonts w:eastAsiaTheme="minorEastAsia"/>
                <w:color w:val="000000" w:themeColor="text1"/>
                <w:szCs w:val="21"/>
              </w:rPr>
              <w:t>1.73%</w:t>
            </w:r>
          </w:p>
        </w:tc>
        <w:tc>
          <w:tcPr>
            <w:tcW w:w="1291" w:type="dxa"/>
            <w:vAlign w:val="center"/>
          </w:tcPr>
          <w:p w:rsidR="003B40CD" w:rsidRDefault="002B7C42">
            <w:pPr>
              <w:jc w:val="right"/>
            </w:pPr>
            <w:r>
              <w:rPr>
                <w:rFonts w:eastAsiaTheme="minorEastAsia"/>
                <w:color w:val="000000" w:themeColor="text1"/>
                <w:szCs w:val="21"/>
              </w:rPr>
              <w:t>0.15%</w:t>
            </w:r>
          </w:p>
        </w:tc>
        <w:tc>
          <w:tcPr>
            <w:tcW w:w="1291" w:type="dxa"/>
            <w:vAlign w:val="center"/>
          </w:tcPr>
          <w:p w:rsidR="003B40CD" w:rsidRDefault="002B7C42">
            <w:pPr>
              <w:jc w:val="right"/>
            </w:pPr>
            <w:r>
              <w:rPr>
                <w:rFonts w:eastAsiaTheme="minorEastAsia"/>
                <w:color w:val="000000" w:themeColor="text1"/>
                <w:szCs w:val="21"/>
              </w:rPr>
              <w:t>-0.58%</w:t>
            </w:r>
          </w:p>
        </w:tc>
        <w:tc>
          <w:tcPr>
            <w:tcW w:w="1291" w:type="dxa"/>
            <w:vAlign w:val="center"/>
          </w:tcPr>
          <w:p w:rsidR="003B40CD" w:rsidRDefault="002B7C42">
            <w:pPr>
              <w:jc w:val="right"/>
            </w:pPr>
            <w:r>
              <w:rPr>
                <w:rFonts w:eastAsiaTheme="minorEastAsia"/>
                <w:color w:val="000000" w:themeColor="text1"/>
                <w:szCs w:val="21"/>
              </w:rPr>
              <w:t>0.04%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摩根锦程稳健养老目标一年持有期混合型基金中基金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F57ED">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762FA0D" wp14:editId="3B1F949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B40CD">
        <w:tc>
          <w:tcPr>
            <w:tcW w:w="952" w:type="dxa"/>
            <w:vAlign w:val="center"/>
          </w:tcPr>
          <w:p w:rsidR="003B40CD" w:rsidRDefault="002B7C42">
            <w:pPr>
              <w:jc w:val="center"/>
            </w:pPr>
            <w:r>
              <w:rPr>
                <w:rFonts w:eastAsiaTheme="minorEastAsia"/>
                <w:color w:val="000000" w:themeColor="text1"/>
                <w:szCs w:val="21"/>
              </w:rPr>
              <w:t>杜习杰</w:t>
            </w:r>
          </w:p>
        </w:tc>
        <w:tc>
          <w:tcPr>
            <w:tcW w:w="930" w:type="dxa"/>
            <w:vAlign w:val="center"/>
          </w:tcPr>
          <w:p w:rsidR="003B40CD" w:rsidRDefault="002B7C42">
            <w:pPr>
              <w:jc w:val="center"/>
            </w:pPr>
            <w:r>
              <w:rPr>
                <w:rFonts w:eastAsiaTheme="minorEastAsia"/>
                <w:color w:val="000000" w:themeColor="text1"/>
                <w:szCs w:val="21"/>
              </w:rPr>
              <w:t>本基金基金经理</w:t>
            </w:r>
          </w:p>
        </w:tc>
        <w:tc>
          <w:tcPr>
            <w:tcW w:w="1210" w:type="dxa"/>
            <w:vAlign w:val="center"/>
          </w:tcPr>
          <w:p w:rsidR="003B40CD" w:rsidRDefault="002B7C42">
            <w:pPr>
              <w:jc w:val="center"/>
            </w:pPr>
            <w:r>
              <w:rPr>
                <w:rFonts w:eastAsiaTheme="minorEastAsia"/>
                <w:color w:val="000000" w:themeColor="text1"/>
                <w:szCs w:val="21"/>
              </w:rPr>
              <w:t>2020-04-23</w:t>
            </w:r>
          </w:p>
        </w:tc>
        <w:tc>
          <w:tcPr>
            <w:tcW w:w="1309" w:type="dxa"/>
            <w:vAlign w:val="center"/>
          </w:tcPr>
          <w:p w:rsidR="003B40CD" w:rsidRDefault="002B7C42">
            <w:pPr>
              <w:jc w:val="center"/>
            </w:pPr>
            <w:r>
              <w:rPr>
                <w:rFonts w:eastAsiaTheme="minorEastAsia"/>
                <w:color w:val="000000" w:themeColor="text1"/>
                <w:szCs w:val="21"/>
              </w:rPr>
              <w:t>-</w:t>
            </w:r>
          </w:p>
        </w:tc>
        <w:tc>
          <w:tcPr>
            <w:tcW w:w="1254" w:type="dxa"/>
            <w:vAlign w:val="center"/>
          </w:tcPr>
          <w:p w:rsidR="003B40CD" w:rsidRDefault="002B7C42">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3B40CD" w:rsidRDefault="002B7C42">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3B40CD">
        <w:tc>
          <w:tcPr>
            <w:tcW w:w="952" w:type="dxa"/>
            <w:vAlign w:val="center"/>
          </w:tcPr>
          <w:p w:rsidR="003B40CD" w:rsidRDefault="002B7C42">
            <w:pPr>
              <w:jc w:val="center"/>
            </w:pPr>
            <w:r>
              <w:rPr>
                <w:rFonts w:eastAsiaTheme="minorEastAsia"/>
                <w:color w:val="000000" w:themeColor="text1"/>
                <w:szCs w:val="21"/>
              </w:rPr>
              <w:t>吴春杰</w:t>
            </w:r>
          </w:p>
        </w:tc>
        <w:tc>
          <w:tcPr>
            <w:tcW w:w="930" w:type="dxa"/>
            <w:vAlign w:val="center"/>
          </w:tcPr>
          <w:p w:rsidR="003B40CD" w:rsidRDefault="002B7C42">
            <w:pPr>
              <w:jc w:val="center"/>
            </w:pPr>
            <w:r>
              <w:rPr>
                <w:rFonts w:eastAsiaTheme="minorEastAsia"/>
                <w:color w:val="000000" w:themeColor="text1"/>
                <w:szCs w:val="21"/>
              </w:rPr>
              <w:t>本基金基金经理</w:t>
            </w:r>
          </w:p>
        </w:tc>
        <w:tc>
          <w:tcPr>
            <w:tcW w:w="1210" w:type="dxa"/>
            <w:vAlign w:val="center"/>
          </w:tcPr>
          <w:p w:rsidR="003B40CD" w:rsidRDefault="002B7C42">
            <w:pPr>
              <w:jc w:val="center"/>
            </w:pPr>
            <w:r>
              <w:rPr>
                <w:rFonts w:eastAsiaTheme="minorEastAsia"/>
                <w:color w:val="000000" w:themeColor="text1"/>
                <w:szCs w:val="21"/>
              </w:rPr>
              <w:t>2022-11-18</w:t>
            </w:r>
          </w:p>
        </w:tc>
        <w:tc>
          <w:tcPr>
            <w:tcW w:w="1309" w:type="dxa"/>
            <w:vAlign w:val="center"/>
          </w:tcPr>
          <w:p w:rsidR="003B40CD" w:rsidRDefault="002B7C42">
            <w:pPr>
              <w:jc w:val="center"/>
            </w:pPr>
            <w:r>
              <w:rPr>
                <w:rFonts w:eastAsiaTheme="minorEastAsia"/>
                <w:color w:val="000000" w:themeColor="text1"/>
                <w:szCs w:val="21"/>
              </w:rPr>
              <w:t>-</w:t>
            </w:r>
          </w:p>
        </w:tc>
        <w:tc>
          <w:tcPr>
            <w:tcW w:w="1254" w:type="dxa"/>
            <w:vAlign w:val="center"/>
          </w:tcPr>
          <w:p w:rsidR="003B40CD" w:rsidRDefault="002B7C42">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3B40CD" w:rsidRDefault="002B7C42">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月加入摩根基金管理（中国）有限公司（原上投摩根基金管理有限公司），历任宏观研究员，现任基金经理。</w:t>
            </w:r>
          </w:p>
        </w:tc>
      </w:tr>
    </w:tbl>
    <w:p w:rsidR="003B40CD" w:rsidRDefault="002B7C4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3B40CD" w:rsidRDefault="002B7C4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杜习杰先生为本基金首任基金经理，其任职日期为本基金基金合同生效之日；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回顾一季度，国内宏观经济基本面逐步恢复，</w:t>
      </w: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月官方制造业</w:t>
      </w:r>
      <w:r>
        <w:rPr>
          <w:rFonts w:eastAsiaTheme="minorEastAsia"/>
          <w:color w:val="000000" w:themeColor="text1"/>
          <w:szCs w:val="21"/>
        </w:rPr>
        <w:t>PMI</w:t>
      </w:r>
      <w:r>
        <w:rPr>
          <w:rFonts w:eastAsiaTheme="minorEastAsia"/>
          <w:color w:val="000000" w:themeColor="text1"/>
          <w:szCs w:val="21"/>
        </w:rPr>
        <w:t>连续好于预期，消费出行向疫情前水平修复，</w:t>
      </w:r>
      <w:r>
        <w:rPr>
          <w:rFonts w:eastAsiaTheme="minorEastAsia"/>
          <w:color w:val="000000" w:themeColor="text1"/>
          <w:szCs w:val="21"/>
        </w:rPr>
        <w:t>1-2</w:t>
      </w:r>
      <w:r>
        <w:rPr>
          <w:rFonts w:eastAsiaTheme="minorEastAsia"/>
          <w:color w:val="000000" w:themeColor="text1"/>
          <w:szCs w:val="21"/>
        </w:rPr>
        <w:t>月出口增速负值收敛。尽管经济数据在改善，但市场预期却有所趋弱，从国内资产表现上来看，股票市场冲高后回调、</w:t>
      </w:r>
      <w:r>
        <w:rPr>
          <w:rFonts w:eastAsiaTheme="minorEastAsia"/>
          <w:color w:val="000000" w:themeColor="text1"/>
          <w:szCs w:val="21"/>
        </w:rPr>
        <w:t>10</w:t>
      </w:r>
      <w:r>
        <w:rPr>
          <w:rFonts w:eastAsiaTheme="minorEastAsia"/>
          <w:color w:val="000000" w:themeColor="text1"/>
          <w:szCs w:val="21"/>
        </w:rPr>
        <w:t>年期国债收益率进入</w:t>
      </w:r>
      <w:r>
        <w:rPr>
          <w:rFonts w:eastAsiaTheme="minorEastAsia"/>
          <w:color w:val="000000" w:themeColor="text1"/>
          <w:szCs w:val="21"/>
        </w:rPr>
        <w:t>3</w:t>
      </w:r>
      <w:r>
        <w:rPr>
          <w:rFonts w:eastAsiaTheme="minorEastAsia"/>
          <w:color w:val="000000" w:themeColor="text1"/>
          <w:szCs w:val="21"/>
        </w:rPr>
        <w:t>月后转而震荡下行。资本市场预期的谨慎，一方面与本轮国内稳内需政策的缓步发力有关，另一方面，海外银行风险事件频发、美联储加息节奏预期大幅波动也对国内情绪有一定的传导。海外债券市场方面，年初美国劳动力市场强劲的数据一度让市场推迟、甚至打消经济可能步入衰退的预期，</w:t>
      </w:r>
      <w:r>
        <w:rPr>
          <w:rFonts w:eastAsiaTheme="minorEastAsia"/>
          <w:color w:val="000000" w:themeColor="text1"/>
          <w:szCs w:val="21"/>
        </w:rPr>
        <w:t>10</w:t>
      </w:r>
      <w:r>
        <w:rPr>
          <w:rFonts w:eastAsiaTheme="minorEastAsia"/>
          <w:color w:val="000000" w:themeColor="text1"/>
          <w:szCs w:val="21"/>
        </w:rPr>
        <w:t>年期美债到期收益率</w:t>
      </w:r>
      <w:r>
        <w:rPr>
          <w:rFonts w:eastAsiaTheme="minorEastAsia"/>
          <w:color w:val="000000" w:themeColor="text1"/>
          <w:szCs w:val="21"/>
        </w:rPr>
        <w:t>3</w:t>
      </w:r>
      <w:r>
        <w:rPr>
          <w:rFonts w:eastAsiaTheme="minorEastAsia"/>
          <w:color w:val="000000" w:themeColor="text1"/>
          <w:szCs w:val="21"/>
        </w:rPr>
        <w:t>月初一度上行再次突破</w:t>
      </w:r>
      <w:r>
        <w:rPr>
          <w:rFonts w:eastAsiaTheme="minorEastAsia"/>
          <w:color w:val="000000" w:themeColor="text1"/>
          <w:szCs w:val="21"/>
        </w:rPr>
        <w:t>4.0%</w:t>
      </w:r>
      <w:r>
        <w:rPr>
          <w:rFonts w:eastAsiaTheme="minorEastAsia"/>
          <w:color w:val="000000" w:themeColor="text1"/>
          <w:szCs w:val="21"/>
        </w:rPr>
        <w:t>，但随海外银行风险事件发生，市场美联储年内降息预期升温，</w:t>
      </w:r>
      <w:r>
        <w:rPr>
          <w:rFonts w:eastAsiaTheme="minorEastAsia"/>
          <w:color w:val="000000" w:themeColor="text1"/>
          <w:szCs w:val="21"/>
        </w:rPr>
        <w:t>10</w:t>
      </w:r>
      <w:r>
        <w:rPr>
          <w:rFonts w:eastAsiaTheme="minorEastAsia"/>
          <w:color w:val="000000" w:themeColor="text1"/>
          <w:szCs w:val="21"/>
        </w:rPr>
        <w:t>年期美债收益率降至</w:t>
      </w:r>
      <w:r>
        <w:rPr>
          <w:rFonts w:eastAsiaTheme="minorEastAsia"/>
          <w:color w:val="000000" w:themeColor="text1"/>
          <w:szCs w:val="21"/>
        </w:rPr>
        <w:t>3.5%</w:t>
      </w:r>
      <w:r>
        <w:rPr>
          <w:rFonts w:eastAsiaTheme="minorEastAsia"/>
          <w:color w:val="000000" w:themeColor="text1"/>
          <w:szCs w:val="21"/>
        </w:rPr>
        <w:t>附近。黄金在过去一段波动的市场环境中表现较好，受益于海外衰退预期升温与风险事件发生。</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国内权益来讲，当前历史估值分位、相对债券资产的估值处均在具备吸引力的水平，为长期投资提供一定安全边际。年内经济修复是确定性的，节奏与幅度上虽有分歧，但政策仍有相机抉择加码托底的空间。结构上，维持此前判断，关注受益于稳内需政策加码的领域，包括地产链、政府支出或补贴可能增加的基建、信创、自主可控等领域，</w:t>
      </w:r>
      <w:r>
        <w:rPr>
          <w:rFonts w:eastAsiaTheme="minorEastAsia"/>
          <w:color w:val="000000" w:themeColor="text1"/>
          <w:szCs w:val="21"/>
        </w:rPr>
        <w:t>TMT</w:t>
      </w:r>
      <w:r>
        <w:rPr>
          <w:rFonts w:eastAsiaTheme="minorEastAsia"/>
          <w:color w:val="000000" w:themeColor="text1"/>
          <w:szCs w:val="21"/>
        </w:rPr>
        <w:t>相关板块涨幅超预期，有</w:t>
      </w:r>
      <w:r>
        <w:rPr>
          <w:rFonts w:eastAsiaTheme="minorEastAsia"/>
          <w:color w:val="000000" w:themeColor="text1"/>
          <w:szCs w:val="21"/>
        </w:rPr>
        <w:t>ChatGPT</w:t>
      </w:r>
      <w:r>
        <w:rPr>
          <w:rFonts w:eastAsiaTheme="minorEastAsia"/>
          <w:color w:val="000000" w:themeColor="text1"/>
          <w:szCs w:val="21"/>
        </w:rPr>
        <w:t>主题催化的成份，对交易情绪的过热持谨慎的态度，后续会持续关注新技术对经济各个领域的影响；对消费服务业来讲，去年博弈情绪已较浓，二季度市场对其关注度有望随着节日出行、消费数据改善而增加。</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对于国内债券来讲，国内经济增长预期改善不利于长久期债券，内外利差仍为负值，总体维持相对谨慎的看法。海外金融市场对于美联储放缓加息在一季度经历了反转，目前已有对年内降息的预期，美债中期机会逐步显现。海外权益面临的盈利下调风险在增大，银行风险事件可能会导致一定程度的信用收缩，并向需求传导。我们倾向于认为可以等待更好的时机配置发达国家资产。对于港股，估值仍在历史较低位置，平台经济监管政策趋于呵护，叠加国内经济基本面修复，具有较好的配置价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:1.59%</w:t>
      </w:r>
      <w:r>
        <w:rPr>
          <w:rFonts w:eastAsiaTheme="minorEastAsia"/>
          <w:color w:val="000000" w:themeColor="text1"/>
          <w:szCs w:val="21"/>
        </w:rPr>
        <w:t>，同期业绩比较基准收益率为</w:t>
      </w:r>
      <w:r>
        <w:rPr>
          <w:rFonts w:eastAsiaTheme="minorEastAsia"/>
          <w:color w:val="000000" w:themeColor="text1"/>
          <w:szCs w:val="21"/>
        </w:rPr>
        <w:t>:1.79%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:1.69%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:1.79%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57,923,521.93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94.07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3,239,973.70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5.26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3,239,973.70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5.26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369,058.37</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0.60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41,359.90</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61,573,913.90</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3,239,973.70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3,239,973.70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B40CD">
        <w:tc>
          <w:tcPr>
            <w:tcW w:w="1504" w:type="dxa"/>
            <w:vAlign w:val="center"/>
          </w:tcPr>
          <w:p w:rsidR="003B40CD" w:rsidRDefault="002B7C42">
            <w:pPr>
              <w:jc w:val="center"/>
            </w:pPr>
            <w:r>
              <w:rPr>
                <w:rFonts w:eastAsiaTheme="minorEastAsia"/>
                <w:color w:val="000000" w:themeColor="text1"/>
                <w:szCs w:val="21"/>
              </w:rPr>
              <w:t>1</w:t>
            </w:r>
          </w:p>
        </w:tc>
        <w:tc>
          <w:tcPr>
            <w:tcW w:w="1504" w:type="dxa"/>
            <w:vAlign w:val="center"/>
          </w:tcPr>
          <w:p w:rsidR="003B40CD" w:rsidRDefault="002B7C42">
            <w:pPr>
              <w:jc w:val="center"/>
            </w:pPr>
            <w:r>
              <w:rPr>
                <w:rFonts w:eastAsiaTheme="minorEastAsia"/>
                <w:color w:val="000000" w:themeColor="text1"/>
                <w:szCs w:val="21"/>
              </w:rPr>
              <w:t>019679</w:t>
            </w:r>
          </w:p>
        </w:tc>
        <w:tc>
          <w:tcPr>
            <w:tcW w:w="1504" w:type="dxa"/>
            <w:vAlign w:val="center"/>
          </w:tcPr>
          <w:p w:rsidR="003B40CD" w:rsidRDefault="002B7C42">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503" w:type="dxa"/>
            <w:vAlign w:val="center"/>
          </w:tcPr>
          <w:p w:rsidR="003B40CD" w:rsidRDefault="002B7C42">
            <w:pPr>
              <w:jc w:val="right"/>
            </w:pPr>
            <w:r>
              <w:rPr>
                <w:rFonts w:eastAsiaTheme="minorEastAsia"/>
                <w:color w:val="000000" w:themeColor="text1"/>
                <w:szCs w:val="21"/>
              </w:rPr>
              <w:t>32,000</w:t>
            </w:r>
          </w:p>
        </w:tc>
        <w:tc>
          <w:tcPr>
            <w:tcW w:w="1503" w:type="dxa"/>
            <w:vAlign w:val="center"/>
          </w:tcPr>
          <w:p w:rsidR="003B40CD" w:rsidRDefault="002B7C42">
            <w:pPr>
              <w:jc w:val="right"/>
            </w:pPr>
            <w:r>
              <w:rPr>
                <w:rFonts w:eastAsiaTheme="minorEastAsia"/>
                <w:color w:val="000000" w:themeColor="text1"/>
                <w:szCs w:val="21"/>
              </w:rPr>
              <w:t>3,239,973.70</w:t>
            </w:r>
          </w:p>
        </w:tc>
        <w:tc>
          <w:tcPr>
            <w:tcW w:w="1503" w:type="dxa"/>
            <w:vAlign w:val="center"/>
          </w:tcPr>
          <w:p w:rsidR="003B40CD" w:rsidRDefault="002B7C42">
            <w:pPr>
              <w:jc w:val="right"/>
            </w:pPr>
            <w:r>
              <w:rPr>
                <w:rFonts w:eastAsiaTheme="minorEastAsia"/>
                <w:color w:val="000000" w:themeColor="text1"/>
                <w:szCs w:val="21"/>
              </w:rPr>
              <w:t>5.30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3,783.16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0.31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37,576.43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41,359.90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3B40CD">
        <w:tc>
          <w:tcPr>
            <w:tcW w:w="817" w:type="dxa"/>
            <w:vAlign w:val="center"/>
          </w:tcPr>
          <w:p w:rsidR="003B40CD" w:rsidRDefault="002B7C42">
            <w:pPr>
              <w:jc w:val="center"/>
            </w:pPr>
            <w:r>
              <w:rPr>
                <w:sz w:val="24"/>
              </w:rPr>
              <w:t>1</w:t>
            </w:r>
          </w:p>
        </w:tc>
        <w:tc>
          <w:tcPr>
            <w:tcW w:w="1133" w:type="dxa"/>
            <w:vAlign w:val="center"/>
          </w:tcPr>
          <w:p w:rsidR="003B40CD" w:rsidRDefault="002B7C42">
            <w:pPr>
              <w:jc w:val="center"/>
            </w:pPr>
            <w:r>
              <w:rPr>
                <w:sz w:val="24"/>
              </w:rPr>
              <w:t>372010</w:t>
            </w:r>
          </w:p>
        </w:tc>
        <w:tc>
          <w:tcPr>
            <w:tcW w:w="1135" w:type="dxa"/>
            <w:vAlign w:val="center"/>
          </w:tcPr>
          <w:p w:rsidR="003B40CD" w:rsidRDefault="002B7C42">
            <w:pPr>
              <w:jc w:val="center"/>
            </w:pPr>
            <w:r>
              <w:rPr>
                <w:sz w:val="24"/>
              </w:rPr>
              <w:t>摩根强化回报债券</w:t>
            </w:r>
            <w:r>
              <w:rPr>
                <w:sz w:val="24"/>
              </w:rPr>
              <w:t>A</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3,067,247.86</w:t>
            </w:r>
          </w:p>
        </w:tc>
        <w:tc>
          <w:tcPr>
            <w:tcW w:w="1276" w:type="dxa"/>
            <w:vAlign w:val="center"/>
          </w:tcPr>
          <w:p w:rsidR="003B40CD" w:rsidRDefault="002B7C42">
            <w:pPr>
              <w:jc w:val="center"/>
            </w:pPr>
            <w:r>
              <w:rPr>
                <w:sz w:val="24"/>
              </w:rPr>
              <w:t>4,811,898.44</w:t>
            </w:r>
          </w:p>
        </w:tc>
        <w:tc>
          <w:tcPr>
            <w:tcW w:w="1135" w:type="dxa"/>
            <w:vAlign w:val="center"/>
          </w:tcPr>
          <w:p w:rsidR="003B40CD" w:rsidRDefault="002B7C42">
            <w:pPr>
              <w:jc w:val="center"/>
            </w:pPr>
            <w:r>
              <w:rPr>
                <w:sz w:val="24"/>
              </w:rPr>
              <w:t>7.87%</w:t>
            </w:r>
          </w:p>
        </w:tc>
        <w:tc>
          <w:tcPr>
            <w:tcW w:w="1272" w:type="dxa"/>
            <w:vAlign w:val="center"/>
          </w:tcPr>
          <w:p w:rsidR="003B40CD" w:rsidRDefault="002B7C42">
            <w:pPr>
              <w:jc w:val="center"/>
            </w:pPr>
            <w:r>
              <w:rPr>
                <w:sz w:val="24"/>
              </w:rPr>
              <w:t>是</w:t>
            </w:r>
          </w:p>
        </w:tc>
      </w:tr>
      <w:tr w:rsidR="003B40CD">
        <w:tc>
          <w:tcPr>
            <w:tcW w:w="817" w:type="dxa"/>
            <w:vAlign w:val="center"/>
          </w:tcPr>
          <w:p w:rsidR="003B40CD" w:rsidRDefault="002B7C42">
            <w:pPr>
              <w:jc w:val="center"/>
            </w:pPr>
            <w:r>
              <w:rPr>
                <w:sz w:val="24"/>
              </w:rPr>
              <w:lastRenderedPageBreak/>
              <w:t>2</w:t>
            </w:r>
          </w:p>
        </w:tc>
        <w:tc>
          <w:tcPr>
            <w:tcW w:w="1133" w:type="dxa"/>
            <w:vAlign w:val="center"/>
          </w:tcPr>
          <w:p w:rsidR="003B40CD" w:rsidRDefault="002B7C42">
            <w:pPr>
              <w:jc w:val="center"/>
            </w:pPr>
            <w:r>
              <w:rPr>
                <w:sz w:val="24"/>
              </w:rPr>
              <w:t>519782</w:t>
            </w:r>
          </w:p>
        </w:tc>
        <w:tc>
          <w:tcPr>
            <w:tcW w:w="1135" w:type="dxa"/>
            <w:vAlign w:val="center"/>
          </w:tcPr>
          <w:p w:rsidR="003B40CD" w:rsidRDefault="002B7C42">
            <w:pPr>
              <w:jc w:val="center"/>
            </w:pPr>
            <w:r>
              <w:rPr>
                <w:sz w:val="24"/>
              </w:rPr>
              <w:t>交银裕隆纯债债券</w:t>
            </w:r>
            <w:r>
              <w:rPr>
                <w:sz w:val="24"/>
              </w:rPr>
              <w:t>A</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2,749,583.97</w:t>
            </w:r>
          </w:p>
        </w:tc>
        <w:tc>
          <w:tcPr>
            <w:tcW w:w="1276" w:type="dxa"/>
            <w:vAlign w:val="center"/>
          </w:tcPr>
          <w:p w:rsidR="003B40CD" w:rsidRDefault="002B7C42">
            <w:pPr>
              <w:jc w:val="center"/>
            </w:pPr>
            <w:r>
              <w:rPr>
                <w:sz w:val="24"/>
              </w:rPr>
              <w:t>3,560,986.20</w:t>
            </w:r>
          </w:p>
        </w:tc>
        <w:tc>
          <w:tcPr>
            <w:tcW w:w="1135" w:type="dxa"/>
            <w:vAlign w:val="center"/>
          </w:tcPr>
          <w:p w:rsidR="003B40CD" w:rsidRDefault="002B7C42">
            <w:pPr>
              <w:jc w:val="center"/>
            </w:pPr>
            <w:r>
              <w:rPr>
                <w:sz w:val="24"/>
              </w:rPr>
              <w:t>5.82%</w:t>
            </w:r>
          </w:p>
        </w:tc>
        <w:tc>
          <w:tcPr>
            <w:tcW w:w="1272" w:type="dxa"/>
            <w:vAlign w:val="center"/>
          </w:tcPr>
          <w:p w:rsidR="003B40CD" w:rsidRDefault="002B7C42">
            <w:pPr>
              <w:jc w:val="center"/>
            </w:pPr>
            <w:r>
              <w:rPr>
                <w:sz w:val="24"/>
              </w:rPr>
              <w:t>否</w:t>
            </w:r>
          </w:p>
        </w:tc>
      </w:tr>
      <w:tr w:rsidR="003B40CD">
        <w:tc>
          <w:tcPr>
            <w:tcW w:w="817" w:type="dxa"/>
            <w:vAlign w:val="center"/>
          </w:tcPr>
          <w:p w:rsidR="003B40CD" w:rsidRDefault="002B7C42">
            <w:pPr>
              <w:jc w:val="center"/>
            </w:pPr>
            <w:r>
              <w:rPr>
                <w:sz w:val="24"/>
              </w:rPr>
              <w:t>3</w:t>
            </w:r>
          </w:p>
        </w:tc>
        <w:tc>
          <w:tcPr>
            <w:tcW w:w="1133" w:type="dxa"/>
            <w:vAlign w:val="center"/>
          </w:tcPr>
          <w:p w:rsidR="003B40CD" w:rsidRDefault="002B7C42">
            <w:pPr>
              <w:jc w:val="center"/>
            </w:pPr>
            <w:r>
              <w:rPr>
                <w:sz w:val="24"/>
              </w:rPr>
              <w:t>968050</w:t>
            </w:r>
          </w:p>
        </w:tc>
        <w:tc>
          <w:tcPr>
            <w:tcW w:w="1135" w:type="dxa"/>
            <w:vAlign w:val="center"/>
          </w:tcPr>
          <w:p w:rsidR="003B40CD" w:rsidRDefault="002B7C42">
            <w:pPr>
              <w:jc w:val="center"/>
            </w:pPr>
            <w:r>
              <w:rPr>
                <w:sz w:val="24"/>
              </w:rPr>
              <w:t>摩根国际债券人民币对冲累计</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308,935.36</w:t>
            </w:r>
          </w:p>
        </w:tc>
        <w:tc>
          <w:tcPr>
            <w:tcW w:w="1276" w:type="dxa"/>
            <w:vAlign w:val="center"/>
          </w:tcPr>
          <w:p w:rsidR="003B40CD" w:rsidRDefault="002B7C42">
            <w:pPr>
              <w:jc w:val="center"/>
            </w:pPr>
            <w:r>
              <w:rPr>
                <w:sz w:val="24"/>
              </w:rPr>
              <w:t>3,253,089.34</w:t>
            </w:r>
          </w:p>
        </w:tc>
        <w:tc>
          <w:tcPr>
            <w:tcW w:w="1135" w:type="dxa"/>
            <w:vAlign w:val="center"/>
          </w:tcPr>
          <w:p w:rsidR="003B40CD" w:rsidRDefault="002B7C42">
            <w:pPr>
              <w:jc w:val="center"/>
            </w:pPr>
            <w:r>
              <w:rPr>
                <w:sz w:val="24"/>
              </w:rPr>
              <w:t>5.32%</w:t>
            </w:r>
          </w:p>
        </w:tc>
        <w:tc>
          <w:tcPr>
            <w:tcW w:w="1272" w:type="dxa"/>
            <w:vAlign w:val="center"/>
          </w:tcPr>
          <w:p w:rsidR="003B40CD" w:rsidRDefault="002B7C42">
            <w:pPr>
              <w:jc w:val="center"/>
            </w:pPr>
            <w:r>
              <w:rPr>
                <w:sz w:val="24"/>
              </w:rPr>
              <w:t>否</w:t>
            </w:r>
          </w:p>
        </w:tc>
      </w:tr>
      <w:tr w:rsidR="003B40CD">
        <w:tc>
          <w:tcPr>
            <w:tcW w:w="817" w:type="dxa"/>
            <w:vAlign w:val="center"/>
          </w:tcPr>
          <w:p w:rsidR="003B40CD" w:rsidRDefault="002B7C42">
            <w:pPr>
              <w:jc w:val="center"/>
            </w:pPr>
            <w:r>
              <w:rPr>
                <w:sz w:val="24"/>
              </w:rPr>
              <w:t>4</w:t>
            </w:r>
          </w:p>
        </w:tc>
        <w:tc>
          <w:tcPr>
            <w:tcW w:w="1133" w:type="dxa"/>
            <w:vAlign w:val="center"/>
          </w:tcPr>
          <w:p w:rsidR="003B40CD" w:rsidRDefault="002B7C42">
            <w:pPr>
              <w:jc w:val="center"/>
            </w:pPr>
            <w:r>
              <w:rPr>
                <w:sz w:val="24"/>
              </w:rPr>
              <w:t>000186</w:t>
            </w:r>
          </w:p>
        </w:tc>
        <w:tc>
          <w:tcPr>
            <w:tcW w:w="1135" w:type="dxa"/>
            <w:vAlign w:val="center"/>
          </w:tcPr>
          <w:p w:rsidR="003B40CD" w:rsidRDefault="002B7C42">
            <w:pPr>
              <w:jc w:val="center"/>
            </w:pPr>
            <w:r>
              <w:rPr>
                <w:sz w:val="24"/>
              </w:rPr>
              <w:t>华泰柏瑞季季红债券</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3,007,426.81</w:t>
            </w:r>
          </w:p>
        </w:tc>
        <w:tc>
          <w:tcPr>
            <w:tcW w:w="1276" w:type="dxa"/>
            <w:vAlign w:val="center"/>
          </w:tcPr>
          <w:p w:rsidR="003B40CD" w:rsidRDefault="002B7C42">
            <w:pPr>
              <w:jc w:val="center"/>
            </w:pPr>
            <w:r>
              <w:rPr>
                <w:sz w:val="24"/>
              </w:rPr>
              <w:t>3,203,511.04</w:t>
            </w:r>
          </w:p>
        </w:tc>
        <w:tc>
          <w:tcPr>
            <w:tcW w:w="1135" w:type="dxa"/>
            <w:vAlign w:val="center"/>
          </w:tcPr>
          <w:p w:rsidR="003B40CD" w:rsidRDefault="002B7C42">
            <w:pPr>
              <w:jc w:val="center"/>
            </w:pPr>
            <w:r>
              <w:rPr>
                <w:sz w:val="24"/>
              </w:rPr>
              <w:t>5.24%</w:t>
            </w:r>
          </w:p>
        </w:tc>
        <w:tc>
          <w:tcPr>
            <w:tcW w:w="1272" w:type="dxa"/>
            <w:vAlign w:val="center"/>
          </w:tcPr>
          <w:p w:rsidR="003B40CD" w:rsidRDefault="002B7C42">
            <w:pPr>
              <w:jc w:val="center"/>
            </w:pPr>
            <w:r>
              <w:rPr>
                <w:sz w:val="24"/>
              </w:rPr>
              <w:t>否</w:t>
            </w:r>
          </w:p>
        </w:tc>
      </w:tr>
      <w:tr w:rsidR="003B40CD">
        <w:tc>
          <w:tcPr>
            <w:tcW w:w="817" w:type="dxa"/>
            <w:vAlign w:val="center"/>
          </w:tcPr>
          <w:p w:rsidR="003B40CD" w:rsidRDefault="002B7C42">
            <w:pPr>
              <w:jc w:val="center"/>
            </w:pPr>
            <w:r>
              <w:rPr>
                <w:sz w:val="24"/>
              </w:rPr>
              <w:t>5</w:t>
            </w:r>
          </w:p>
        </w:tc>
        <w:tc>
          <w:tcPr>
            <w:tcW w:w="1133" w:type="dxa"/>
            <w:vAlign w:val="center"/>
          </w:tcPr>
          <w:p w:rsidR="003B40CD" w:rsidRDefault="002B7C42">
            <w:pPr>
              <w:jc w:val="center"/>
            </w:pPr>
            <w:r>
              <w:rPr>
                <w:sz w:val="24"/>
              </w:rPr>
              <w:t>100018</w:t>
            </w:r>
          </w:p>
        </w:tc>
        <w:tc>
          <w:tcPr>
            <w:tcW w:w="1135" w:type="dxa"/>
            <w:vAlign w:val="center"/>
          </w:tcPr>
          <w:p w:rsidR="003B40CD" w:rsidRDefault="002B7C42">
            <w:pPr>
              <w:jc w:val="center"/>
            </w:pPr>
            <w:r>
              <w:rPr>
                <w:sz w:val="24"/>
              </w:rPr>
              <w:t>富国天利增长债券</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2,282,589.63</w:t>
            </w:r>
          </w:p>
        </w:tc>
        <w:tc>
          <w:tcPr>
            <w:tcW w:w="1276" w:type="dxa"/>
            <w:vAlign w:val="center"/>
          </w:tcPr>
          <w:p w:rsidR="003B40CD" w:rsidRDefault="002B7C42">
            <w:pPr>
              <w:jc w:val="center"/>
            </w:pPr>
            <w:r>
              <w:rPr>
                <w:sz w:val="24"/>
              </w:rPr>
              <w:t>3,023,518.22</w:t>
            </w:r>
          </w:p>
        </w:tc>
        <w:tc>
          <w:tcPr>
            <w:tcW w:w="1135" w:type="dxa"/>
            <w:vAlign w:val="center"/>
          </w:tcPr>
          <w:p w:rsidR="003B40CD" w:rsidRDefault="002B7C42">
            <w:pPr>
              <w:jc w:val="center"/>
            </w:pPr>
            <w:r>
              <w:rPr>
                <w:sz w:val="24"/>
              </w:rPr>
              <w:t>4.95%</w:t>
            </w:r>
          </w:p>
        </w:tc>
        <w:tc>
          <w:tcPr>
            <w:tcW w:w="1272" w:type="dxa"/>
            <w:vAlign w:val="center"/>
          </w:tcPr>
          <w:p w:rsidR="003B40CD" w:rsidRDefault="002B7C42">
            <w:pPr>
              <w:jc w:val="center"/>
            </w:pPr>
            <w:r>
              <w:rPr>
                <w:sz w:val="24"/>
              </w:rPr>
              <w:t>否</w:t>
            </w:r>
          </w:p>
        </w:tc>
      </w:tr>
      <w:tr w:rsidR="003B40CD">
        <w:tc>
          <w:tcPr>
            <w:tcW w:w="817" w:type="dxa"/>
            <w:vAlign w:val="center"/>
          </w:tcPr>
          <w:p w:rsidR="003B40CD" w:rsidRDefault="002B7C42">
            <w:pPr>
              <w:jc w:val="center"/>
            </w:pPr>
            <w:r>
              <w:rPr>
                <w:sz w:val="24"/>
              </w:rPr>
              <w:t>6</w:t>
            </w:r>
          </w:p>
        </w:tc>
        <w:tc>
          <w:tcPr>
            <w:tcW w:w="1133" w:type="dxa"/>
            <w:vAlign w:val="center"/>
          </w:tcPr>
          <w:p w:rsidR="003B40CD" w:rsidRDefault="002B7C42">
            <w:pPr>
              <w:jc w:val="center"/>
            </w:pPr>
            <w:r>
              <w:rPr>
                <w:sz w:val="24"/>
              </w:rPr>
              <w:t>000015</w:t>
            </w:r>
          </w:p>
        </w:tc>
        <w:tc>
          <w:tcPr>
            <w:tcW w:w="1135" w:type="dxa"/>
            <w:vAlign w:val="center"/>
          </w:tcPr>
          <w:p w:rsidR="003B40CD" w:rsidRDefault="002B7C42">
            <w:pPr>
              <w:jc w:val="center"/>
            </w:pPr>
            <w:r>
              <w:rPr>
                <w:sz w:val="24"/>
              </w:rPr>
              <w:t>华夏纯债债券</w:t>
            </w:r>
            <w:r>
              <w:rPr>
                <w:sz w:val="24"/>
              </w:rPr>
              <w:t>A</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2,181,343.16</w:t>
            </w:r>
          </w:p>
        </w:tc>
        <w:tc>
          <w:tcPr>
            <w:tcW w:w="1276" w:type="dxa"/>
            <w:vAlign w:val="center"/>
          </w:tcPr>
          <w:p w:rsidR="003B40CD" w:rsidRDefault="002B7C42">
            <w:pPr>
              <w:jc w:val="center"/>
            </w:pPr>
            <w:r>
              <w:rPr>
                <w:sz w:val="24"/>
              </w:rPr>
              <w:t>2,831,383.42</w:t>
            </w:r>
          </w:p>
        </w:tc>
        <w:tc>
          <w:tcPr>
            <w:tcW w:w="1135" w:type="dxa"/>
            <w:vAlign w:val="center"/>
          </w:tcPr>
          <w:p w:rsidR="003B40CD" w:rsidRDefault="002B7C42">
            <w:pPr>
              <w:jc w:val="center"/>
            </w:pPr>
            <w:r>
              <w:rPr>
                <w:sz w:val="24"/>
              </w:rPr>
              <w:t>4.63%</w:t>
            </w:r>
          </w:p>
        </w:tc>
        <w:tc>
          <w:tcPr>
            <w:tcW w:w="1272" w:type="dxa"/>
            <w:vAlign w:val="center"/>
          </w:tcPr>
          <w:p w:rsidR="003B40CD" w:rsidRDefault="002B7C42">
            <w:pPr>
              <w:jc w:val="center"/>
            </w:pPr>
            <w:r>
              <w:rPr>
                <w:sz w:val="24"/>
              </w:rPr>
              <w:t>否</w:t>
            </w:r>
          </w:p>
        </w:tc>
      </w:tr>
      <w:tr w:rsidR="003B40CD">
        <w:tc>
          <w:tcPr>
            <w:tcW w:w="817" w:type="dxa"/>
            <w:vAlign w:val="center"/>
          </w:tcPr>
          <w:p w:rsidR="003B40CD" w:rsidRDefault="002B7C42">
            <w:pPr>
              <w:jc w:val="center"/>
            </w:pPr>
            <w:r>
              <w:rPr>
                <w:sz w:val="24"/>
              </w:rPr>
              <w:t>7</w:t>
            </w:r>
          </w:p>
        </w:tc>
        <w:tc>
          <w:tcPr>
            <w:tcW w:w="1133" w:type="dxa"/>
            <w:vAlign w:val="center"/>
          </w:tcPr>
          <w:p w:rsidR="003B40CD" w:rsidRDefault="002B7C42">
            <w:pPr>
              <w:jc w:val="center"/>
            </w:pPr>
            <w:r>
              <w:rPr>
                <w:sz w:val="24"/>
              </w:rPr>
              <w:t>004200</w:t>
            </w:r>
          </w:p>
        </w:tc>
        <w:tc>
          <w:tcPr>
            <w:tcW w:w="1135" w:type="dxa"/>
            <w:vAlign w:val="center"/>
          </w:tcPr>
          <w:p w:rsidR="003B40CD" w:rsidRDefault="002B7C42">
            <w:pPr>
              <w:jc w:val="center"/>
            </w:pPr>
            <w:r>
              <w:rPr>
                <w:sz w:val="24"/>
              </w:rPr>
              <w:t>博时富瑞纯债债券</w:t>
            </w:r>
            <w:r>
              <w:rPr>
                <w:sz w:val="24"/>
              </w:rPr>
              <w:t>A</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2,522,833.04</w:t>
            </w:r>
          </w:p>
        </w:tc>
        <w:tc>
          <w:tcPr>
            <w:tcW w:w="1276" w:type="dxa"/>
            <w:vAlign w:val="center"/>
          </w:tcPr>
          <w:p w:rsidR="003B40CD" w:rsidRDefault="002B7C42">
            <w:pPr>
              <w:jc w:val="center"/>
            </w:pPr>
            <w:r>
              <w:rPr>
                <w:sz w:val="24"/>
              </w:rPr>
              <w:t>2,653,768.07</w:t>
            </w:r>
          </w:p>
        </w:tc>
        <w:tc>
          <w:tcPr>
            <w:tcW w:w="1135" w:type="dxa"/>
            <w:vAlign w:val="center"/>
          </w:tcPr>
          <w:p w:rsidR="003B40CD" w:rsidRDefault="002B7C42">
            <w:pPr>
              <w:jc w:val="center"/>
            </w:pPr>
            <w:r>
              <w:rPr>
                <w:sz w:val="24"/>
              </w:rPr>
              <w:t>4.34%</w:t>
            </w:r>
          </w:p>
        </w:tc>
        <w:tc>
          <w:tcPr>
            <w:tcW w:w="1272" w:type="dxa"/>
            <w:vAlign w:val="center"/>
          </w:tcPr>
          <w:p w:rsidR="003B40CD" w:rsidRDefault="002B7C42">
            <w:pPr>
              <w:jc w:val="center"/>
            </w:pPr>
            <w:r>
              <w:rPr>
                <w:sz w:val="24"/>
              </w:rPr>
              <w:t>否</w:t>
            </w:r>
          </w:p>
        </w:tc>
      </w:tr>
      <w:tr w:rsidR="003B40CD">
        <w:tc>
          <w:tcPr>
            <w:tcW w:w="817" w:type="dxa"/>
            <w:vAlign w:val="center"/>
          </w:tcPr>
          <w:p w:rsidR="003B40CD" w:rsidRDefault="002B7C42">
            <w:pPr>
              <w:jc w:val="center"/>
            </w:pPr>
            <w:r>
              <w:rPr>
                <w:sz w:val="24"/>
              </w:rPr>
              <w:t>8</w:t>
            </w:r>
          </w:p>
        </w:tc>
        <w:tc>
          <w:tcPr>
            <w:tcW w:w="1133" w:type="dxa"/>
            <w:vAlign w:val="center"/>
          </w:tcPr>
          <w:p w:rsidR="003B40CD" w:rsidRDefault="002B7C42">
            <w:pPr>
              <w:jc w:val="center"/>
            </w:pPr>
            <w:r>
              <w:rPr>
                <w:sz w:val="24"/>
              </w:rPr>
              <w:t>003949</w:t>
            </w:r>
          </w:p>
        </w:tc>
        <w:tc>
          <w:tcPr>
            <w:tcW w:w="1135" w:type="dxa"/>
            <w:vAlign w:val="center"/>
          </w:tcPr>
          <w:p w:rsidR="003B40CD" w:rsidRDefault="002B7C42">
            <w:pPr>
              <w:jc w:val="center"/>
            </w:pPr>
            <w:r>
              <w:rPr>
                <w:sz w:val="24"/>
              </w:rPr>
              <w:t>兴全稳泰债券</w:t>
            </w:r>
            <w:r>
              <w:rPr>
                <w:sz w:val="24"/>
              </w:rPr>
              <w:t>A</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2,157,154.82</w:t>
            </w:r>
          </w:p>
        </w:tc>
        <w:tc>
          <w:tcPr>
            <w:tcW w:w="1276" w:type="dxa"/>
            <w:vAlign w:val="center"/>
          </w:tcPr>
          <w:p w:rsidR="003B40CD" w:rsidRDefault="002B7C42">
            <w:pPr>
              <w:jc w:val="center"/>
            </w:pPr>
            <w:r>
              <w:rPr>
                <w:sz w:val="24"/>
              </w:rPr>
              <w:t>2,401,344.75</w:t>
            </w:r>
          </w:p>
        </w:tc>
        <w:tc>
          <w:tcPr>
            <w:tcW w:w="1135" w:type="dxa"/>
            <w:vAlign w:val="center"/>
          </w:tcPr>
          <w:p w:rsidR="003B40CD" w:rsidRDefault="002B7C42">
            <w:pPr>
              <w:jc w:val="center"/>
            </w:pPr>
            <w:r>
              <w:rPr>
                <w:sz w:val="24"/>
              </w:rPr>
              <w:t>3.93%</w:t>
            </w:r>
          </w:p>
        </w:tc>
        <w:tc>
          <w:tcPr>
            <w:tcW w:w="1272" w:type="dxa"/>
            <w:vAlign w:val="center"/>
          </w:tcPr>
          <w:p w:rsidR="003B40CD" w:rsidRDefault="002B7C42">
            <w:pPr>
              <w:jc w:val="center"/>
            </w:pPr>
            <w:r>
              <w:rPr>
                <w:sz w:val="24"/>
              </w:rPr>
              <w:t>否</w:t>
            </w:r>
          </w:p>
        </w:tc>
      </w:tr>
      <w:tr w:rsidR="003B40CD">
        <w:tc>
          <w:tcPr>
            <w:tcW w:w="817" w:type="dxa"/>
            <w:vAlign w:val="center"/>
          </w:tcPr>
          <w:p w:rsidR="003B40CD" w:rsidRDefault="002B7C42">
            <w:pPr>
              <w:jc w:val="center"/>
            </w:pPr>
            <w:r>
              <w:rPr>
                <w:sz w:val="24"/>
              </w:rPr>
              <w:t>9</w:t>
            </w:r>
          </w:p>
        </w:tc>
        <w:tc>
          <w:tcPr>
            <w:tcW w:w="1133" w:type="dxa"/>
            <w:vAlign w:val="center"/>
          </w:tcPr>
          <w:p w:rsidR="003B40CD" w:rsidRDefault="002B7C42">
            <w:pPr>
              <w:jc w:val="center"/>
            </w:pPr>
            <w:r>
              <w:rPr>
                <w:sz w:val="24"/>
              </w:rPr>
              <w:t>003327</w:t>
            </w:r>
          </w:p>
        </w:tc>
        <w:tc>
          <w:tcPr>
            <w:tcW w:w="1135" w:type="dxa"/>
            <w:vAlign w:val="center"/>
          </w:tcPr>
          <w:p w:rsidR="003B40CD" w:rsidRDefault="002B7C42">
            <w:pPr>
              <w:jc w:val="center"/>
            </w:pPr>
            <w:r>
              <w:rPr>
                <w:sz w:val="24"/>
              </w:rPr>
              <w:t>万家鑫璟纯债债券</w:t>
            </w:r>
            <w:r>
              <w:rPr>
                <w:sz w:val="24"/>
              </w:rPr>
              <w:t>A</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1,842,178.76</w:t>
            </w:r>
          </w:p>
        </w:tc>
        <w:tc>
          <w:tcPr>
            <w:tcW w:w="1276" w:type="dxa"/>
            <w:vAlign w:val="center"/>
          </w:tcPr>
          <w:p w:rsidR="003B40CD" w:rsidRDefault="002B7C42">
            <w:pPr>
              <w:jc w:val="center"/>
            </w:pPr>
            <w:r>
              <w:rPr>
                <w:sz w:val="24"/>
              </w:rPr>
              <w:t>2,212,640.91</w:t>
            </w:r>
          </w:p>
        </w:tc>
        <w:tc>
          <w:tcPr>
            <w:tcW w:w="1135" w:type="dxa"/>
            <w:vAlign w:val="center"/>
          </w:tcPr>
          <w:p w:rsidR="003B40CD" w:rsidRDefault="002B7C42">
            <w:pPr>
              <w:jc w:val="center"/>
            </w:pPr>
            <w:r>
              <w:rPr>
                <w:sz w:val="24"/>
              </w:rPr>
              <w:t>3.62%</w:t>
            </w:r>
          </w:p>
        </w:tc>
        <w:tc>
          <w:tcPr>
            <w:tcW w:w="1272" w:type="dxa"/>
            <w:vAlign w:val="center"/>
          </w:tcPr>
          <w:p w:rsidR="003B40CD" w:rsidRDefault="002B7C42">
            <w:pPr>
              <w:jc w:val="center"/>
            </w:pPr>
            <w:r>
              <w:rPr>
                <w:sz w:val="24"/>
              </w:rPr>
              <w:t>否</w:t>
            </w:r>
          </w:p>
        </w:tc>
      </w:tr>
      <w:tr w:rsidR="003B40CD">
        <w:tc>
          <w:tcPr>
            <w:tcW w:w="817" w:type="dxa"/>
            <w:vAlign w:val="center"/>
          </w:tcPr>
          <w:p w:rsidR="003B40CD" w:rsidRDefault="002B7C42">
            <w:pPr>
              <w:jc w:val="center"/>
            </w:pPr>
            <w:r>
              <w:rPr>
                <w:sz w:val="24"/>
              </w:rPr>
              <w:t>10</w:t>
            </w:r>
          </w:p>
        </w:tc>
        <w:tc>
          <w:tcPr>
            <w:tcW w:w="1133" w:type="dxa"/>
            <w:vAlign w:val="center"/>
          </w:tcPr>
          <w:p w:rsidR="003B40CD" w:rsidRDefault="002B7C42">
            <w:pPr>
              <w:jc w:val="center"/>
            </w:pPr>
            <w:r>
              <w:rPr>
                <w:sz w:val="24"/>
              </w:rPr>
              <w:t>002702</w:t>
            </w:r>
          </w:p>
        </w:tc>
        <w:tc>
          <w:tcPr>
            <w:tcW w:w="1135" w:type="dxa"/>
            <w:vAlign w:val="center"/>
          </w:tcPr>
          <w:p w:rsidR="003B40CD" w:rsidRDefault="002B7C42">
            <w:pPr>
              <w:jc w:val="center"/>
            </w:pPr>
            <w:r>
              <w:rPr>
                <w:sz w:val="24"/>
              </w:rPr>
              <w:t>东方红汇阳债券</w:t>
            </w:r>
            <w:r>
              <w:rPr>
                <w:sz w:val="24"/>
              </w:rPr>
              <w:t>C</w:t>
            </w:r>
          </w:p>
        </w:tc>
        <w:tc>
          <w:tcPr>
            <w:tcW w:w="1135" w:type="dxa"/>
            <w:vAlign w:val="center"/>
          </w:tcPr>
          <w:p w:rsidR="003B40CD" w:rsidRDefault="002B7C42">
            <w:pPr>
              <w:jc w:val="center"/>
            </w:pPr>
            <w:r>
              <w:rPr>
                <w:sz w:val="24"/>
              </w:rPr>
              <w:t>契约型开放式</w:t>
            </w:r>
          </w:p>
        </w:tc>
        <w:tc>
          <w:tcPr>
            <w:tcW w:w="1133" w:type="dxa"/>
            <w:vAlign w:val="center"/>
          </w:tcPr>
          <w:p w:rsidR="003B40CD" w:rsidRDefault="002B7C42">
            <w:pPr>
              <w:jc w:val="center"/>
            </w:pPr>
            <w:r>
              <w:rPr>
                <w:sz w:val="24"/>
              </w:rPr>
              <w:t>2,044,079.95</w:t>
            </w:r>
          </w:p>
        </w:tc>
        <w:tc>
          <w:tcPr>
            <w:tcW w:w="1276" w:type="dxa"/>
            <w:vAlign w:val="center"/>
          </w:tcPr>
          <w:p w:rsidR="003B40CD" w:rsidRDefault="002B7C42">
            <w:pPr>
              <w:jc w:val="center"/>
            </w:pPr>
            <w:r>
              <w:rPr>
                <w:sz w:val="24"/>
              </w:rPr>
              <w:t>2,198,816.80</w:t>
            </w:r>
          </w:p>
        </w:tc>
        <w:tc>
          <w:tcPr>
            <w:tcW w:w="1135" w:type="dxa"/>
            <w:vAlign w:val="center"/>
          </w:tcPr>
          <w:p w:rsidR="003B40CD" w:rsidRDefault="002B7C42">
            <w:pPr>
              <w:jc w:val="center"/>
            </w:pPr>
            <w:r>
              <w:rPr>
                <w:sz w:val="24"/>
              </w:rPr>
              <w:t>3.60%</w:t>
            </w:r>
          </w:p>
        </w:tc>
        <w:tc>
          <w:tcPr>
            <w:tcW w:w="1272" w:type="dxa"/>
            <w:vAlign w:val="center"/>
          </w:tcPr>
          <w:p w:rsidR="003B40CD" w:rsidRDefault="002B7C42">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973.54</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0.00</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5,610.02</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0.00</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482.46</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0.00</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lastRenderedPageBreak/>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95,769.32</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8,926.90</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20,306.10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1,773.80</w:t>
            </w:r>
          </w:p>
        </w:tc>
      </w:tr>
      <w:tr w:rsidR="003B40CD">
        <w:tc>
          <w:tcPr>
            <w:tcW w:w="3012" w:type="dxa"/>
            <w:vAlign w:val="center"/>
          </w:tcPr>
          <w:p w:rsidR="003B40CD" w:rsidRDefault="002B7C42">
            <w:pPr>
              <w:jc w:val="left"/>
            </w:pPr>
            <w:r>
              <w:rPr>
                <w:rFonts w:eastAsiaTheme="minorEastAsia"/>
                <w:color w:val="000000" w:themeColor="text1"/>
                <w:sz w:val="24"/>
              </w:rPr>
              <w:t>当期交易基金产生的交易费（元）</w:t>
            </w:r>
          </w:p>
        </w:tc>
        <w:tc>
          <w:tcPr>
            <w:tcW w:w="3012" w:type="dxa"/>
            <w:vAlign w:val="center"/>
          </w:tcPr>
          <w:p w:rsidR="003B40CD" w:rsidRDefault="002B7C42">
            <w:pPr>
              <w:jc w:val="right"/>
            </w:pPr>
            <w:r>
              <w:rPr>
                <w:rFonts w:eastAsiaTheme="minorEastAsia"/>
                <w:color w:val="000000" w:themeColor="text1"/>
                <w:sz w:val="24"/>
              </w:rPr>
              <w:t>54.76</w:t>
            </w:r>
          </w:p>
        </w:tc>
        <w:tc>
          <w:tcPr>
            <w:tcW w:w="3012" w:type="dxa"/>
            <w:vAlign w:val="center"/>
          </w:tcPr>
          <w:p w:rsidR="003B40CD" w:rsidRDefault="002B7C42">
            <w:pPr>
              <w:jc w:val="right"/>
            </w:pPr>
            <w:r>
              <w:rPr>
                <w:rFonts w:eastAsiaTheme="minorEastAsia"/>
                <w:color w:val="000000" w:themeColor="text1"/>
                <w:sz w:val="24"/>
              </w:rPr>
              <w:t>0.00</w:t>
            </w:r>
          </w:p>
        </w:tc>
      </w:tr>
      <w:tr w:rsidR="003B40CD">
        <w:tc>
          <w:tcPr>
            <w:tcW w:w="3012" w:type="dxa"/>
            <w:vAlign w:val="center"/>
          </w:tcPr>
          <w:p w:rsidR="003B40CD" w:rsidRDefault="002B7C42">
            <w:pPr>
              <w:jc w:val="left"/>
            </w:pPr>
            <w:r>
              <w:rPr>
                <w:rFonts w:eastAsiaTheme="minorEastAsia"/>
                <w:color w:val="000000" w:themeColor="text1"/>
                <w:sz w:val="24"/>
              </w:rPr>
              <w:t>当期交易基金产生的转换费（元）</w:t>
            </w:r>
          </w:p>
        </w:tc>
        <w:tc>
          <w:tcPr>
            <w:tcW w:w="3012" w:type="dxa"/>
            <w:vAlign w:val="center"/>
          </w:tcPr>
          <w:p w:rsidR="003B40CD" w:rsidRDefault="002B7C42">
            <w:pPr>
              <w:jc w:val="right"/>
            </w:pPr>
            <w:r>
              <w:rPr>
                <w:rFonts w:eastAsiaTheme="minorEastAsia"/>
                <w:color w:val="000000" w:themeColor="text1"/>
                <w:sz w:val="24"/>
              </w:rPr>
              <w:t>0.00</w:t>
            </w:r>
          </w:p>
        </w:tc>
        <w:tc>
          <w:tcPr>
            <w:tcW w:w="3012" w:type="dxa"/>
            <w:vAlign w:val="center"/>
          </w:tcPr>
          <w:p w:rsidR="003B40CD" w:rsidRDefault="002B7C42">
            <w:pPr>
              <w:jc w:val="right"/>
            </w:pPr>
            <w:r>
              <w:rPr>
                <w:rFonts w:eastAsiaTheme="minorEastAsia"/>
                <w:color w:val="000000" w:themeColor="text1"/>
                <w:sz w:val="24"/>
              </w:rPr>
              <w:t>0.00</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58,695,522.83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2,845,369.38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155,161.84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2,140,694.83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6,040,242.94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52,810,441.73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4,986,064.21</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（二）摩根锦程稳健养老目标一年持有期混合型基金中基金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3B40CD" w:rsidRDefault="002B7C42">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3C" w:rsidRDefault="00BA623C">
      <w:r>
        <w:separator/>
      </w:r>
    </w:p>
  </w:endnote>
  <w:endnote w:type="continuationSeparator" w:id="0">
    <w:p w:rsidR="00BA623C" w:rsidRDefault="00BA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A22E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A22EB">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A22E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3C" w:rsidRDefault="00BA623C">
      <w:r>
        <w:separator/>
      </w:r>
    </w:p>
  </w:footnote>
  <w:footnote w:type="continuationSeparator" w:id="0">
    <w:p w:rsidR="00BA623C" w:rsidRDefault="00BA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摩根锦程稳健养老目标一年持有期混合型基金中基金</w:t>
    </w:r>
    <w:r>
      <w:t>(FOF)2023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B7C42"/>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0CD"/>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5F57ED"/>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22EB"/>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52A88-8471-42A4-B2ED-7B99F1C8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32</TotalTime>
  <Pages>15</Pages>
  <Words>1272</Words>
  <Characters>7254</Characters>
  <Application>Microsoft Office Word</Application>
  <DocSecurity>0</DocSecurity>
  <Lines>60</Lines>
  <Paragraphs>17</Paragraphs>
  <ScaleCrop>false</ScaleCrop>
  <Company>TRT. Ltd. Co.</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225</cp:revision>
  <cp:lastPrinted>2007-07-19T00:46:00Z</cp:lastPrinted>
  <dcterms:created xsi:type="dcterms:W3CDTF">2013-06-21T06:56:00Z</dcterms:created>
  <dcterms:modified xsi:type="dcterms:W3CDTF">2023-04-20T05:32:00Z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