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摩根锦程稳健养老目标一年持有期混合型基金中基金</w:t>
      </w:r>
      <w:r w:rsidRPr="00B27A29">
        <w:rPr>
          <w:rFonts w:eastAsiaTheme="minorEastAsia"/>
          <w:b/>
          <w:color w:val="000000" w:themeColor="text1"/>
          <w:sz w:val="36"/>
          <w:szCs w:val="36"/>
        </w:rPr>
        <w:t>(FOF)</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E73D82" w:rsidRDefault="008F76C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E73D82" w:rsidRDefault="008F76C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E73D82" w:rsidRDefault="008F76C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E73D82" w:rsidRDefault="008F76C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E73D82" w:rsidRDefault="008F76C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摩根锦程稳健养老一年持有混合</w:t>
            </w:r>
            <w:r w:rsidRPr="00B27A29">
              <w:rPr>
                <w:rFonts w:eastAsiaTheme="minorEastAsia"/>
                <w:color w:val="000000" w:themeColor="text1"/>
                <w:kern w:val="0"/>
                <w:szCs w:val="21"/>
              </w:rPr>
              <w:t>(FOF)</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009143</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2020</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23</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35,993,455.41</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E73D82" w:rsidRDefault="008F76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、目标风险投资策略：</w:t>
            </w:r>
          </w:p>
          <w:p w:rsidR="00E73D82" w:rsidRDefault="008F76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）大类资产配置策略：本基金的目标风险指通过将基金所投资的高风险类资产和其他资产长期保持在相对恒定的比例，以达到目标的风险水平。</w:t>
            </w:r>
          </w:p>
          <w:p w:rsidR="00E73D82" w:rsidRDefault="008F76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管理人根据对各类资产的中长期预期假设和策略观点以</w:t>
            </w:r>
            <w:r>
              <w:rPr>
                <w:rFonts w:eastAsiaTheme="minorEastAsia"/>
                <w:color w:val="000000" w:themeColor="text1"/>
                <w:kern w:val="0"/>
                <w:szCs w:val="21"/>
              </w:rPr>
              <w:lastRenderedPageBreak/>
              <w:t>及目标客户的风险收益偏好进行自上而下的资产配置，设定本基金在高风险类资产和其他资产之间的基准配置比例为</w:t>
            </w:r>
            <w:r>
              <w:rPr>
                <w:rFonts w:eastAsiaTheme="minorEastAsia"/>
                <w:color w:val="000000" w:themeColor="text1"/>
                <w:kern w:val="0"/>
                <w:szCs w:val="21"/>
              </w:rPr>
              <w:t>20%:80%</w:t>
            </w:r>
            <w:r>
              <w:rPr>
                <w:rFonts w:eastAsiaTheme="minorEastAsia"/>
                <w:color w:val="000000" w:themeColor="text1"/>
                <w:kern w:val="0"/>
                <w:szCs w:val="21"/>
              </w:rPr>
              <w:t>；高风险类资产指股票型基金、应计入高风险类资产的混合型基金、商品基金（含商品期货基金和黄金</w:t>
            </w:r>
            <w:r>
              <w:rPr>
                <w:rFonts w:eastAsiaTheme="minorEastAsia"/>
                <w:color w:val="000000" w:themeColor="text1"/>
                <w:kern w:val="0"/>
                <w:szCs w:val="21"/>
              </w:rPr>
              <w:t>ETF</w:t>
            </w:r>
            <w:r>
              <w:rPr>
                <w:rFonts w:eastAsiaTheme="minorEastAsia"/>
                <w:color w:val="000000" w:themeColor="text1"/>
                <w:kern w:val="0"/>
                <w:szCs w:val="21"/>
              </w:rPr>
              <w:t>）等品种（均包含</w:t>
            </w:r>
            <w:r>
              <w:rPr>
                <w:rFonts w:eastAsiaTheme="minorEastAsia"/>
                <w:color w:val="000000" w:themeColor="text1"/>
                <w:kern w:val="0"/>
                <w:szCs w:val="21"/>
              </w:rPr>
              <w:t>QDII</w:t>
            </w:r>
            <w:r>
              <w:rPr>
                <w:rFonts w:eastAsiaTheme="minorEastAsia"/>
                <w:color w:val="000000" w:themeColor="text1"/>
                <w:kern w:val="0"/>
                <w:szCs w:val="21"/>
              </w:rPr>
              <w:t>）及股票；其他资产指债券型基金、货币市场基金和不计入高风险类资产的混合型基金（均包含</w:t>
            </w:r>
            <w:r>
              <w:rPr>
                <w:rFonts w:eastAsiaTheme="minorEastAsia"/>
                <w:color w:val="000000" w:themeColor="text1"/>
                <w:kern w:val="0"/>
                <w:szCs w:val="21"/>
              </w:rPr>
              <w:t>QDII</w:t>
            </w:r>
            <w:r>
              <w:rPr>
                <w:rFonts w:eastAsiaTheme="minorEastAsia"/>
                <w:color w:val="000000" w:themeColor="text1"/>
                <w:kern w:val="0"/>
                <w:szCs w:val="21"/>
              </w:rPr>
              <w:t>）、债券、资产支持证券、债券回购、银行存款及同业存单等；本基金高风险类资产的向上、向下调整幅度分别不超过</w:t>
            </w:r>
            <w:r>
              <w:rPr>
                <w:rFonts w:eastAsiaTheme="minorEastAsia"/>
                <w:color w:val="000000" w:themeColor="text1"/>
                <w:kern w:val="0"/>
                <w:szCs w:val="21"/>
              </w:rPr>
              <w:t>5%</w:t>
            </w:r>
            <w:r>
              <w:rPr>
                <w:rFonts w:eastAsiaTheme="minorEastAsia"/>
                <w:color w:val="000000" w:themeColor="text1"/>
                <w:kern w:val="0"/>
                <w:szCs w:val="21"/>
              </w:rPr>
              <w:t>、</w:t>
            </w:r>
            <w:r>
              <w:rPr>
                <w:rFonts w:eastAsiaTheme="minorEastAsia"/>
                <w:color w:val="000000" w:themeColor="text1"/>
                <w:kern w:val="0"/>
                <w:szCs w:val="21"/>
              </w:rPr>
              <w:t>10%</w:t>
            </w:r>
            <w:r>
              <w:rPr>
                <w:rFonts w:eastAsiaTheme="minorEastAsia"/>
                <w:color w:val="000000" w:themeColor="text1"/>
                <w:kern w:val="0"/>
                <w:szCs w:val="21"/>
              </w:rPr>
              <w:t>。</w:t>
            </w:r>
          </w:p>
          <w:p w:rsidR="00E73D82" w:rsidRDefault="008F76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）细分资产类</w:t>
            </w:r>
            <w:r>
              <w:rPr>
                <w:rFonts w:eastAsiaTheme="minorEastAsia"/>
                <w:color w:val="000000" w:themeColor="text1"/>
                <w:kern w:val="0"/>
                <w:szCs w:val="21"/>
              </w:rPr>
              <w:t>别配置策略：管理人根据长期资本市场观点评估各细分资产类别的风险收益特征，形成对不同资产类别的预期。在此基础上，确定基金资产在各细分资产类别间的配置比例。本基金定期结合策略观点，修正资产配置。</w:t>
            </w:r>
          </w:p>
          <w:p w:rsidR="00E73D82" w:rsidRDefault="008F76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、主动管理型基金投资策略：通过自下而上的方式优选基金，研究过程中综合运用定量分析和定性分析，优选符合要求且能在中长期创造超额收益的基金。</w:t>
            </w:r>
          </w:p>
          <w:p w:rsidR="00E73D82" w:rsidRDefault="008F76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、指数基金投资策略：优选中长期景气向好的指数基金进行配置，增厚组合收益，并把握阶段性投资机会，获取超额收益。</w:t>
            </w:r>
          </w:p>
          <w:p w:rsidR="00E73D82" w:rsidRDefault="008F76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、公募</w:t>
            </w:r>
            <w:r>
              <w:rPr>
                <w:rFonts w:eastAsiaTheme="minorEastAsia"/>
                <w:color w:val="000000" w:themeColor="text1"/>
                <w:kern w:val="0"/>
                <w:szCs w:val="21"/>
              </w:rPr>
              <w:t>REITs</w:t>
            </w:r>
            <w:r>
              <w:rPr>
                <w:rFonts w:eastAsiaTheme="minorEastAsia"/>
                <w:color w:val="000000" w:themeColor="text1"/>
                <w:kern w:val="0"/>
                <w:szCs w:val="21"/>
              </w:rPr>
              <w:t>投资策略</w:t>
            </w:r>
          </w:p>
          <w:p w:rsidR="00E73D82" w:rsidRDefault="008F76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本基金将综合考量宏观经济运行情况、基金资</w:t>
            </w:r>
            <w:r>
              <w:rPr>
                <w:rFonts w:eastAsiaTheme="minorEastAsia"/>
                <w:color w:val="000000" w:themeColor="text1"/>
                <w:kern w:val="0"/>
                <w:szCs w:val="21"/>
              </w:rPr>
              <w:t>产配置策略、底层资产运营情况、流动性及估值水平等因素，精选公募</w:t>
            </w:r>
            <w:r>
              <w:rPr>
                <w:rFonts w:eastAsiaTheme="minorEastAsia"/>
                <w:color w:val="000000" w:themeColor="text1"/>
                <w:kern w:val="0"/>
                <w:szCs w:val="21"/>
              </w:rPr>
              <w:t>REITs</w:t>
            </w:r>
            <w:r>
              <w:rPr>
                <w:rFonts w:eastAsiaTheme="minorEastAsia"/>
                <w:color w:val="000000" w:themeColor="text1"/>
                <w:kern w:val="0"/>
                <w:szCs w:val="21"/>
              </w:rPr>
              <w:t>进行投资。</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、其他投资策略：包括股票投资策略、债券投资策略、证券公司短期公司债投资策略、资产支持证券投资策略、存托凭证投资策略。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中证综合债指数收益率</w:t>
            </w:r>
            <w:r w:rsidRPr="00B27A29">
              <w:rPr>
                <w:rFonts w:eastAsiaTheme="minorEastAsia"/>
                <w:color w:val="000000" w:themeColor="text1"/>
                <w:kern w:val="0"/>
                <w:szCs w:val="21"/>
              </w:rPr>
              <w:t>*70%+</w:t>
            </w:r>
            <w:r w:rsidRPr="00B27A29">
              <w:rPr>
                <w:rFonts w:eastAsiaTheme="minorEastAsia"/>
                <w:color w:val="000000" w:themeColor="text1"/>
                <w:kern w:val="0"/>
                <w:szCs w:val="21"/>
              </w:rPr>
              <w:t>活期存款利率（税后）</w:t>
            </w:r>
            <w:r w:rsidRPr="00B27A29">
              <w:rPr>
                <w:rFonts w:eastAsiaTheme="minorEastAsia"/>
                <w:color w:val="000000" w:themeColor="text1"/>
                <w:kern w:val="0"/>
                <w:szCs w:val="21"/>
              </w:rPr>
              <w:t>*10%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风险收益特征</w:t>
            </w:r>
          </w:p>
        </w:tc>
        <w:tc>
          <w:tcPr>
            <w:tcW w:w="5479" w:type="dxa"/>
            <w:gridSpan w:val="2"/>
            <w:vAlign w:val="center"/>
          </w:tcPr>
          <w:p w:rsidR="00E73D82" w:rsidRDefault="008F76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基金管理人将养老目标风险基金根据不同风险程度进行划分。本基金的高风险类资产和其他资产的基准配置比例为</w:t>
            </w:r>
            <w:r>
              <w:rPr>
                <w:rFonts w:eastAsiaTheme="minorEastAsia"/>
                <w:color w:val="000000" w:themeColor="text1"/>
                <w:kern w:val="0"/>
                <w:szCs w:val="21"/>
              </w:rPr>
              <w:t>20%</w:t>
            </w:r>
            <w:r>
              <w:rPr>
                <w:rFonts w:eastAsiaTheme="minorEastAsia"/>
                <w:color w:val="000000" w:themeColor="text1"/>
                <w:kern w:val="0"/>
                <w:szCs w:val="21"/>
              </w:rPr>
              <w:t>：</w:t>
            </w:r>
            <w:r>
              <w:rPr>
                <w:rFonts w:eastAsiaTheme="minorEastAsia"/>
                <w:color w:val="000000" w:themeColor="text1"/>
                <w:kern w:val="0"/>
                <w:szCs w:val="21"/>
              </w:rPr>
              <w:t>80%</w:t>
            </w:r>
            <w:r>
              <w:rPr>
                <w:rFonts w:eastAsiaTheme="minorEastAsia"/>
                <w:color w:val="000000" w:themeColor="text1"/>
                <w:kern w:val="0"/>
                <w:szCs w:val="21"/>
              </w:rPr>
              <w:t>，在基金管理人管理的养老目标风险基金中，属于高风险类资产的配置比例较低的</w:t>
            </w:r>
            <w:r>
              <w:rPr>
                <w:rFonts w:eastAsiaTheme="minorEastAsia"/>
                <w:color w:val="000000" w:themeColor="text1"/>
                <w:kern w:val="0"/>
                <w:szCs w:val="21"/>
              </w:rPr>
              <w:t>产品。</w:t>
            </w:r>
          </w:p>
          <w:p w:rsidR="00E73D82" w:rsidRDefault="008F76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本基金属于混合型基金中基金，预期风险和收益水平低于股票型基金中基金，高于债券型基金中基金和货币型基金中基金。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(FOF)Y</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009143</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017341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29,355,010.06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6,638,445.35</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(FOF)Y</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-635,105.93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-134,117.36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-49,092.14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-3,571.18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-0.0016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-0.0005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29,746,572.73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6,765,972.14</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1.0133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1.0192</w:t>
            </w:r>
          </w:p>
        </w:tc>
      </w:tr>
    </w:tbl>
    <w:p w:rsidR="00E73D82" w:rsidRDefault="008F76C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摩根锦程稳健养老一年持有混合</w:t>
      </w:r>
      <w:r w:rsidRPr="00B27A29">
        <w:rPr>
          <w:rFonts w:eastAsiaTheme="minorEastAsia"/>
          <w:b/>
          <w:color w:val="000000" w:themeColor="text1"/>
          <w:kern w:val="0"/>
          <w:szCs w:val="21"/>
        </w:rPr>
        <w:t>(FOF)A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73D82">
        <w:tc>
          <w:tcPr>
            <w:tcW w:w="1290" w:type="dxa"/>
            <w:vAlign w:val="center"/>
          </w:tcPr>
          <w:p w:rsidR="00E73D82" w:rsidRDefault="008F76C8">
            <w:pPr>
              <w:jc w:val="left"/>
            </w:pPr>
            <w:r>
              <w:rPr>
                <w:rFonts w:eastAsiaTheme="minorEastAsia"/>
                <w:color w:val="000000" w:themeColor="text1"/>
                <w:szCs w:val="21"/>
              </w:rPr>
              <w:t>过去三个月</w:t>
            </w:r>
          </w:p>
        </w:tc>
        <w:tc>
          <w:tcPr>
            <w:tcW w:w="1291" w:type="dxa"/>
            <w:vAlign w:val="center"/>
          </w:tcPr>
          <w:p w:rsidR="00E73D82" w:rsidRDefault="008F76C8">
            <w:pPr>
              <w:jc w:val="right"/>
            </w:pPr>
            <w:r>
              <w:rPr>
                <w:rFonts w:eastAsiaTheme="minorEastAsia"/>
                <w:color w:val="000000" w:themeColor="text1"/>
                <w:szCs w:val="21"/>
              </w:rPr>
              <w:t>-0.16%</w:t>
            </w:r>
          </w:p>
        </w:tc>
        <w:tc>
          <w:tcPr>
            <w:tcW w:w="1291" w:type="dxa"/>
            <w:vAlign w:val="center"/>
          </w:tcPr>
          <w:p w:rsidR="00E73D82" w:rsidRDefault="008F76C8">
            <w:pPr>
              <w:jc w:val="right"/>
            </w:pPr>
            <w:r>
              <w:rPr>
                <w:rFonts w:eastAsiaTheme="minorEastAsia"/>
                <w:color w:val="000000" w:themeColor="text1"/>
                <w:szCs w:val="21"/>
              </w:rPr>
              <w:t>0.28%</w:t>
            </w:r>
          </w:p>
        </w:tc>
        <w:tc>
          <w:tcPr>
            <w:tcW w:w="1291" w:type="dxa"/>
            <w:vAlign w:val="center"/>
          </w:tcPr>
          <w:p w:rsidR="00E73D82" w:rsidRDefault="008F76C8">
            <w:pPr>
              <w:jc w:val="right"/>
            </w:pPr>
            <w:r>
              <w:rPr>
                <w:rFonts w:eastAsiaTheme="minorEastAsia"/>
                <w:color w:val="000000" w:themeColor="text1"/>
                <w:szCs w:val="21"/>
              </w:rPr>
              <w:t>0.58%</w:t>
            </w:r>
          </w:p>
        </w:tc>
        <w:tc>
          <w:tcPr>
            <w:tcW w:w="1291" w:type="dxa"/>
            <w:vAlign w:val="center"/>
          </w:tcPr>
          <w:p w:rsidR="00E73D82" w:rsidRDefault="008F76C8">
            <w:pPr>
              <w:jc w:val="right"/>
            </w:pPr>
            <w:r>
              <w:rPr>
                <w:rFonts w:eastAsiaTheme="minorEastAsia"/>
                <w:color w:val="000000" w:themeColor="text1"/>
                <w:szCs w:val="21"/>
              </w:rPr>
              <w:t>0.15%</w:t>
            </w:r>
          </w:p>
        </w:tc>
        <w:tc>
          <w:tcPr>
            <w:tcW w:w="1291" w:type="dxa"/>
            <w:vAlign w:val="center"/>
          </w:tcPr>
          <w:p w:rsidR="00E73D82" w:rsidRDefault="008F76C8">
            <w:pPr>
              <w:jc w:val="right"/>
            </w:pPr>
            <w:r>
              <w:rPr>
                <w:rFonts w:eastAsiaTheme="minorEastAsia"/>
                <w:color w:val="000000" w:themeColor="text1"/>
                <w:szCs w:val="21"/>
              </w:rPr>
              <w:t>-0.74%</w:t>
            </w:r>
          </w:p>
        </w:tc>
        <w:tc>
          <w:tcPr>
            <w:tcW w:w="1291" w:type="dxa"/>
            <w:vAlign w:val="center"/>
          </w:tcPr>
          <w:p w:rsidR="00E73D82" w:rsidRDefault="008F76C8">
            <w:pPr>
              <w:jc w:val="right"/>
            </w:pPr>
            <w:r>
              <w:rPr>
                <w:rFonts w:eastAsiaTheme="minorEastAsia"/>
                <w:color w:val="000000" w:themeColor="text1"/>
                <w:szCs w:val="21"/>
              </w:rPr>
              <w:t>0.13%</w:t>
            </w:r>
          </w:p>
        </w:tc>
      </w:tr>
      <w:tr w:rsidR="00E73D82">
        <w:tc>
          <w:tcPr>
            <w:tcW w:w="1290" w:type="dxa"/>
            <w:vAlign w:val="center"/>
          </w:tcPr>
          <w:p w:rsidR="00E73D82" w:rsidRDefault="008F76C8">
            <w:pPr>
              <w:jc w:val="left"/>
            </w:pPr>
            <w:r>
              <w:rPr>
                <w:rFonts w:eastAsiaTheme="minorEastAsia"/>
                <w:color w:val="000000" w:themeColor="text1"/>
                <w:szCs w:val="21"/>
              </w:rPr>
              <w:t>过去六个月</w:t>
            </w:r>
          </w:p>
        </w:tc>
        <w:tc>
          <w:tcPr>
            <w:tcW w:w="1291" w:type="dxa"/>
            <w:vAlign w:val="center"/>
          </w:tcPr>
          <w:p w:rsidR="00E73D82" w:rsidRDefault="008F76C8">
            <w:pPr>
              <w:jc w:val="right"/>
            </w:pPr>
            <w:r>
              <w:rPr>
                <w:rFonts w:eastAsiaTheme="minorEastAsia"/>
                <w:color w:val="000000" w:themeColor="text1"/>
                <w:szCs w:val="21"/>
              </w:rPr>
              <w:t>0.02%</w:t>
            </w:r>
          </w:p>
        </w:tc>
        <w:tc>
          <w:tcPr>
            <w:tcW w:w="1291" w:type="dxa"/>
            <w:vAlign w:val="center"/>
          </w:tcPr>
          <w:p w:rsidR="00E73D82" w:rsidRDefault="008F76C8">
            <w:pPr>
              <w:jc w:val="right"/>
            </w:pPr>
            <w:r>
              <w:rPr>
                <w:rFonts w:eastAsiaTheme="minorEastAsia"/>
                <w:color w:val="000000" w:themeColor="text1"/>
                <w:szCs w:val="21"/>
              </w:rPr>
              <w:t>0.36%</w:t>
            </w:r>
          </w:p>
        </w:tc>
        <w:tc>
          <w:tcPr>
            <w:tcW w:w="1291" w:type="dxa"/>
            <w:vAlign w:val="center"/>
          </w:tcPr>
          <w:p w:rsidR="00E73D82" w:rsidRDefault="008F76C8">
            <w:pPr>
              <w:jc w:val="right"/>
            </w:pPr>
            <w:r>
              <w:rPr>
                <w:rFonts w:eastAsiaTheme="minorEastAsia"/>
                <w:color w:val="000000" w:themeColor="text1"/>
                <w:szCs w:val="21"/>
              </w:rPr>
              <w:t>2.52%</w:t>
            </w:r>
          </w:p>
        </w:tc>
        <w:tc>
          <w:tcPr>
            <w:tcW w:w="1291" w:type="dxa"/>
            <w:vAlign w:val="center"/>
          </w:tcPr>
          <w:p w:rsidR="00E73D82" w:rsidRDefault="008F76C8">
            <w:pPr>
              <w:jc w:val="right"/>
            </w:pPr>
            <w:r>
              <w:rPr>
                <w:rFonts w:eastAsiaTheme="minorEastAsia"/>
                <w:color w:val="000000" w:themeColor="text1"/>
                <w:szCs w:val="21"/>
              </w:rPr>
              <w:t>0.20%</w:t>
            </w:r>
          </w:p>
        </w:tc>
        <w:tc>
          <w:tcPr>
            <w:tcW w:w="1291" w:type="dxa"/>
            <w:vAlign w:val="center"/>
          </w:tcPr>
          <w:p w:rsidR="00E73D82" w:rsidRDefault="008F76C8">
            <w:pPr>
              <w:jc w:val="right"/>
            </w:pPr>
            <w:r>
              <w:rPr>
                <w:rFonts w:eastAsiaTheme="minorEastAsia"/>
                <w:color w:val="000000" w:themeColor="text1"/>
                <w:szCs w:val="21"/>
              </w:rPr>
              <w:t>-2.50%</w:t>
            </w:r>
          </w:p>
        </w:tc>
        <w:tc>
          <w:tcPr>
            <w:tcW w:w="1291" w:type="dxa"/>
            <w:vAlign w:val="center"/>
          </w:tcPr>
          <w:p w:rsidR="00E73D82" w:rsidRDefault="008F76C8">
            <w:pPr>
              <w:jc w:val="right"/>
            </w:pPr>
            <w:r>
              <w:rPr>
                <w:rFonts w:eastAsiaTheme="minorEastAsia"/>
                <w:color w:val="000000" w:themeColor="text1"/>
                <w:szCs w:val="21"/>
              </w:rPr>
              <w:t>0.16%</w:t>
            </w:r>
          </w:p>
        </w:tc>
      </w:tr>
      <w:tr w:rsidR="00E73D82">
        <w:tc>
          <w:tcPr>
            <w:tcW w:w="1290" w:type="dxa"/>
            <w:vAlign w:val="center"/>
          </w:tcPr>
          <w:p w:rsidR="00E73D82" w:rsidRDefault="008F76C8">
            <w:pPr>
              <w:jc w:val="left"/>
            </w:pPr>
            <w:r>
              <w:rPr>
                <w:rFonts w:eastAsiaTheme="minorEastAsia"/>
                <w:color w:val="000000" w:themeColor="text1"/>
                <w:szCs w:val="21"/>
              </w:rPr>
              <w:t>过去一年</w:t>
            </w:r>
          </w:p>
        </w:tc>
        <w:tc>
          <w:tcPr>
            <w:tcW w:w="1291" w:type="dxa"/>
            <w:vAlign w:val="center"/>
          </w:tcPr>
          <w:p w:rsidR="00E73D82" w:rsidRDefault="008F76C8">
            <w:pPr>
              <w:jc w:val="right"/>
            </w:pPr>
            <w:r>
              <w:rPr>
                <w:rFonts w:eastAsiaTheme="minorEastAsia"/>
                <w:color w:val="000000" w:themeColor="text1"/>
                <w:szCs w:val="21"/>
              </w:rPr>
              <w:t>-3.11%</w:t>
            </w:r>
          </w:p>
        </w:tc>
        <w:tc>
          <w:tcPr>
            <w:tcW w:w="1291" w:type="dxa"/>
            <w:vAlign w:val="center"/>
          </w:tcPr>
          <w:p w:rsidR="00E73D82" w:rsidRDefault="008F76C8">
            <w:pPr>
              <w:jc w:val="right"/>
            </w:pPr>
            <w:r>
              <w:rPr>
                <w:rFonts w:eastAsiaTheme="minorEastAsia"/>
                <w:color w:val="000000" w:themeColor="text1"/>
                <w:szCs w:val="21"/>
              </w:rPr>
              <w:t>0.31%</w:t>
            </w:r>
          </w:p>
        </w:tc>
        <w:tc>
          <w:tcPr>
            <w:tcW w:w="1291" w:type="dxa"/>
            <w:vAlign w:val="center"/>
          </w:tcPr>
          <w:p w:rsidR="00E73D82" w:rsidRDefault="008F76C8">
            <w:pPr>
              <w:jc w:val="right"/>
            </w:pPr>
            <w:r>
              <w:rPr>
                <w:rFonts w:eastAsiaTheme="minorEastAsia"/>
                <w:color w:val="000000" w:themeColor="text1"/>
                <w:szCs w:val="21"/>
              </w:rPr>
              <w:t>1.80%</w:t>
            </w:r>
          </w:p>
        </w:tc>
        <w:tc>
          <w:tcPr>
            <w:tcW w:w="1291" w:type="dxa"/>
            <w:vAlign w:val="center"/>
          </w:tcPr>
          <w:p w:rsidR="00E73D82" w:rsidRDefault="008F76C8">
            <w:pPr>
              <w:jc w:val="right"/>
            </w:pPr>
            <w:r>
              <w:rPr>
                <w:rFonts w:eastAsiaTheme="minorEastAsia"/>
                <w:color w:val="000000" w:themeColor="text1"/>
                <w:szCs w:val="21"/>
              </w:rPr>
              <w:t>0.18%</w:t>
            </w:r>
          </w:p>
        </w:tc>
        <w:tc>
          <w:tcPr>
            <w:tcW w:w="1291" w:type="dxa"/>
            <w:vAlign w:val="center"/>
          </w:tcPr>
          <w:p w:rsidR="00E73D82" w:rsidRDefault="008F76C8">
            <w:pPr>
              <w:jc w:val="right"/>
            </w:pPr>
            <w:r>
              <w:rPr>
                <w:rFonts w:eastAsiaTheme="minorEastAsia"/>
                <w:color w:val="000000" w:themeColor="text1"/>
                <w:szCs w:val="21"/>
              </w:rPr>
              <w:t>-4.91%</w:t>
            </w:r>
          </w:p>
        </w:tc>
        <w:tc>
          <w:tcPr>
            <w:tcW w:w="1291" w:type="dxa"/>
            <w:vAlign w:val="center"/>
          </w:tcPr>
          <w:p w:rsidR="00E73D82" w:rsidRDefault="008F76C8">
            <w:pPr>
              <w:jc w:val="right"/>
            </w:pPr>
            <w:r>
              <w:rPr>
                <w:rFonts w:eastAsiaTheme="minorEastAsia"/>
                <w:color w:val="000000" w:themeColor="text1"/>
                <w:szCs w:val="21"/>
              </w:rPr>
              <w:t>0.13%</w:t>
            </w:r>
          </w:p>
        </w:tc>
      </w:tr>
      <w:tr w:rsidR="00E73D82">
        <w:tc>
          <w:tcPr>
            <w:tcW w:w="1290" w:type="dxa"/>
            <w:vAlign w:val="center"/>
          </w:tcPr>
          <w:p w:rsidR="00E73D82" w:rsidRDefault="008F76C8">
            <w:pPr>
              <w:jc w:val="left"/>
            </w:pPr>
            <w:r>
              <w:rPr>
                <w:rFonts w:eastAsiaTheme="minorEastAsia"/>
                <w:color w:val="000000" w:themeColor="text1"/>
                <w:szCs w:val="21"/>
              </w:rPr>
              <w:t>过去三年</w:t>
            </w:r>
          </w:p>
        </w:tc>
        <w:tc>
          <w:tcPr>
            <w:tcW w:w="1291" w:type="dxa"/>
            <w:vAlign w:val="center"/>
          </w:tcPr>
          <w:p w:rsidR="00E73D82" w:rsidRDefault="008F76C8">
            <w:pPr>
              <w:jc w:val="right"/>
            </w:pPr>
            <w:r>
              <w:rPr>
                <w:rFonts w:eastAsiaTheme="minorEastAsia"/>
                <w:color w:val="000000" w:themeColor="text1"/>
                <w:szCs w:val="21"/>
              </w:rPr>
              <w:t>-7.59%</w:t>
            </w:r>
          </w:p>
        </w:tc>
        <w:tc>
          <w:tcPr>
            <w:tcW w:w="1291" w:type="dxa"/>
            <w:vAlign w:val="center"/>
          </w:tcPr>
          <w:p w:rsidR="00E73D82" w:rsidRDefault="008F76C8">
            <w:pPr>
              <w:jc w:val="right"/>
            </w:pPr>
            <w:r>
              <w:rPr>
                <w:rFonts w:eastAsiaTheme="minorEastAsia"/>
                <w:color w:val="000000" w:themeColor="text1"/>
                <w:szCs w:val="21"/>
              </w:rPr>
              <w:t>0.26%</w:t>
            </w:r>
          </w:p>
        </w:tc>
        <w:tc>
          <w:tcPr>
            <w:tcW w:w="1291" w:type="dxa"/>
            <w:vAlign w:val="center"/>
          </w:tcPr>
          <w:p w:rsidR="00E73D82" w:rsidRDefault="008F76C8">
            <w:pPr>
              <w:jc w:val="right"/>
            </w:pPr>
            <w:r>
              <w:rPr>
                <w:rFonts w:eastAsiaTheme="minorEastAsia"/>
                <w:color w:val="000000" w:themeColor="text1"/>
                <w:szCs w:val="21"/>
              </w:rPr>
              <w:t>3.37%</w:t>
            </w:r>
          </w:p>
        </w:tc>
        <w:tc>
          <w:tcPr>
            <w:tcW w:w="1291" w:type="dxa"/>
            <w:vAlign w:val="center"/>
          </w:tcPr>
          <w:p w:rsidR="00E73D82" w:rsidRDefault="008F76C8">
            <w:pPr>
              <w:jc w:val="right"/>
            </w:pPr>
            <w:r>
              <w:rPr>
                <w:rFonts w:eastAsiaTheme="minorEastAsia"/>
                <w:color w:val="000000" w:themeColor="text1"/>
                <w:szCs w:val="21"/>
              </w:rPr>
              <w:t>0.20%</w:t>
            </w:r>
          </w:p>
        </w:tc>
        <w:tc>
          <w:tcPr>
            <w:tcW w:w="1291" w:type="dxa"/>
            <w:vAlign w:val="center"/>
          </w:tcPr>
          <w:p w:rsidR="00E73D82" w:rsidRDefault="008F76C8">
            <w:pPr>
              <w:jc w:val="right"/>
            </w:pPr>
            <w:r>
              <w:rPr>
                <w:rFonts w:eastAsiaTheme="minorEastAsia"/>
                <w:color w:val="000000" w:themeColor="text1"/>
                <w:szCs w:val="21"/>
              </w:rPr>
              <w:t>-10.96%</w:t>
            </w:r>
          </w:p>
        </w:tc>
        <w:tc>
          <w:tcPr>
            <w:tcW w:w="1291" w:type="dxa"/>
            <w:vAlign w:val="center"/>
          </w:tcPr>
          <w:p w:rsidR="00E73D82" w:rsidRDefault="008F76C8">
            <w:pPr>
              <w:jc w:val="right"/>
            </w:pPr>
            <w:r>
              <w:rPr>
                <w:rFonts w:eastAsiaTheme="minorEastAsia"/>
                <w:color w:val="000000" w:themeColor="text1"/>
                <w:szCs w:val="21"/>
              </w:rPr>
              <w:t>0.06%</w:t>
            </w:r>
          </w:p>
        </w:tc>
      </w:tr>
      <w:tr w:rsidR="00E73D82">
        <w:tc>
          <w:tcPr>
            <w:tcW w:w="1290" w:type="dxa"/>
            <w:vAlign w:val="center"/>
          </w:tcPr>
          <w:p w:rsidR="00E73D82" w:rsidRDefault="008F76C8">
            <w:pPr>
              <w:jc w:val="left"/>
            </w:pPr>
            <w:r>
              <w:rPr>
                <w:rFonts w:eastAsiaTheme="minorEastAsia"/>
                <w:color w:val="000000" w:themeColor="text1"/>
                <w:szCs w:val="21"/>
              </w:rPr>
              <w:t>过去五年</w:t>
            </w:r>
          </w:p>
        </w:tc>
        <w:tc>
          <w:tcPr>
            <w:tcW w:w="1291" w:type="dxa"/>
            <w:vAlign w:val="center"/>
          </w:tcPr>
          <w:p w:rsidR="00E73D82" w:rsidRDefault="008F76C8">
            <w:pPr>
              <w:jc w:val="right"/>
            </w:pPr>
            <w:r>
              <w:rPr>
                <w:rFonts w:eastAsiaTheme="minorEastAsia"/>
                <w:color w:val="000000" w:themeColor="text1"/>
                <w:szCs w:val="21"/>
              </w:rPr>
              <w:t>-</w:t>
            </w:r>
          </w:p>
        </w:tc>
        <w:tc>
          <w:tcPr>
            <w:tcW w:w="1291" w:type="dxa"/>
            <w:vAlign w:val="center"/>
          </w:tcPr>
          <w:p w:rsidR="00E73D82" w:rsidRDefault="008F76C8">
            <w:pPr>
              <w:jc w:val="right"/>
            </w:pPr>
            <w:r>
              <w:rPr>
                <w:rFonts w:eastAsiaTheme="minorEastAsia"/>
                <w:color w:val="000000" w:themeColor="text1"/>
                <w:szCs w:val="21"/>
              </w:rPr>
              <w:t>-</w:t>
            </w:r>
          </w:p>
        </w:tc>
        <w:tc>
          <w:tcPr>
            <w:tcW w:w="1291" w:type="dxa"/>
            <w:vAlign w:val="center"/>
          </w:tcPr>
          <w:p w:rsidR="00E73D82" w:rsidRDefault="008F76C8">
            <w:pPr>
              <w:jc w:val="right"/>
            </w:pPr>
            <w:r>
              <w:rPr>
                <w:rFonts w:eastAsiaTheme="minorEastAsia"/>
                <w:color w:val="000000" w:themeColor="text1"/>
                <w:szCs w:val="21"/>
              </w:rPr>
              <w:t>-</w:t>
            </w:r>
          </w:p>
        </w:tc>
        <w:tc>
          <w:tcPr>
            <w:tcW w:w="1291" w:type="dxa"/>
            <w:vAlign w:val="center"/>
          </w:tcPr>
          <w:p w:rsidR="00E73D82" w:rsidRDefault="008F76C8">
            <w:pPr>
              <w:jc w:val="right"/>
            </w:pPr>
            <w:r>
              <w:rPr>
                <w:rFonts w:eastAsiaTheme="minorEastAsia"/>
                <w:color w:val="000000" w:themeColor="text1"/>
                <w:szCs w:val="21"/>
              </w:rPr>
              <w:t>-</w:t>
            </w:r>
          </w:p>
        </w:tc>
        <w:tc>
          <w:tcPr>
            <w:tcW w:w="1291" w:type="dxa"/>
            <w:vAlign w:val="center"/>
          </w:tcPr>
          <w:p w:rsidR="00E73D82" w:rsidRDefault="008F76C8">
            <w:pPr>
              <w:jc w:val="right"/>
            </w:pPr>
            <w:r>
              <w:rPr>
                <w:rFonts w:eastAsiaTheme="minorEastAsia"/>
                <w:color w:val="000000" w:themeColor="text1"/>
                <w:szCs w:val="21"/>
              </w:rPr>
              <w:t>-</w:t>
            </w:r>
          </w:p>
        </w:tc>
        <w:tc>
          <w:tcPr>
            <w:tcW w:w="1291" w:type="dxa"/>
            <w:vAlign w:val="center"/>
          </w:tcPr>
          <w:p w:rsidR="00E73D82" w:rsidRDefault="008F76C8">
            <w:pPr>
              <w:jc w:val="right"/>
            </w:pPr>
            <w:r>
              <w:rPr>
                <w:rFonts w:eastAsiaTheme="minorEastAsia"/>
                <w:color w:val="000000" w:themeColor="text1"/>
                <w:szCs w:val="21"/>
              </w:rPr>
              <w:t>-</w:t>
            </w:r>
          </w:p>
        </w:tc>
      </w:tr>
      <w:tr w:rsidR="00E73D82">
        <w:tc>
          <w:tcPr>
            <w:tcW w:w="1290" w:type="dxa"/>
            <w:vAlign w:val="center"/>
          </w:tcPr>
          <w:p w:rsidR="00E73D82" w:rsidRDefault="008F76C8">
            <w:pPr>
              <w:jc w:val="left"/>
            </w:pPr>
            <w:r>
              <w:rPr>
                <w:rFonts w:eastAsiaTheme="minorEastAsia"/>
                <w:color w:val="000000" w:themeColor="text1"/>
                <w:szCs w:val="21"/>
              </w:rPr>
              <w:t>自基金合同生效起至今</w:t>
            </w:r>
          </w:p>
        </w:tc>
        <w:tc>
          <w:tcPr>
            <w:tcW w:w="1291" w:type="dxa"/>
            <w:vAlign w:val="center"/>
          </w:tcPr>
          <w:p w:rsidR="00E73D82" w:rsidRDefault="008F76C8">
            <w:pPr>
              <w:jc w:val="right"/>
            </w:pPr>
            <w:r>
              <w:rPr>
                <w:rFonts w:eastAsiaTheme="minorEastAsia"/>
                <w:color w:val="000000" w:themeColor="text1"/>
                <w:szCs w:val="21"/>
              </w:rPr>
              <w:t>1.33%</w:t>
            </w:r>
          </w:p>
        </w:tc>
        <w:tc>
          <w:tcPr>
            <w:tcW w:w="1291" w:type="dxa"/>
            <w:vAlign w:val="center"/>
          </w:tcPr>
          <w:p w:rsidR="00E73D82" w:rsidRDefault="008F76C8">
            <w:pPr>
              <w:jc w:val="right"/>
            </w:pPr>
            <w:r>
              <w:rPr>
                <w:rFonts w:eastAsiaTheme="minorEastAsia"/>
                <w:color w:val="000000" w:themeColor="text1"/>
                <w:szCs w:val="21"/>
              </w:rPr>
              <w:t>0.26%</w:t>
            </w:r>
          </w:p>
        </w:tc>
        <w:tc>
          <w:tcPr>
            <w:tcW w:w="1291" w:type="dxa"/>
            <w:vAlign w:val="center"/>
          </w:tcPr>
          <w:p w:rsidR="00E73D82" w:rsidRDefault="008F76C8">
            <w:pPr>
              <w:jc w:val="right"/>
            </w:pPr>
            <w:r>
              <w:rPr>
                <w:rFonts w:eastAsiaTheme="minorEastAsia"/>
                <w:color w:val="000000" w:themeColor="text1"/>
                <w:szCs w:val="21"/>
              </w:rPr>
              <w:t>10.99%</w:t>
            </w:r>
          </w:p>
        </w:tc>
        <w:tc>
          <w:tcPr>
            <w:tcW w:w="1291" w:type="dxa"/>
            <w:vAlign w:val="center"/>
          </w:tcPr>
          <w:p w:rsidR="00E73D82" w:rsidRDefault="008F76C8">
            <w:pPr>
              <w:jc w:val="right"/>
            </w:pPr>
            <w:r>
              <w:rPr>
                <w:rFonts w:eastAsiaTheme="minorEastAsia"/>
                <w:color w:val="000000" w:themeColor="text1"/>
                <w:szCs w:val="21"/>
              </w:rPr>
              <w:t>0.22%</w:t>
            </w:r>
          </w:p>
        </w:tc>
        <w:tc>
          <w:tcPr>
            <w:tcW w:w="1291" w:type="dxa"/>
            <w:vAlign w:val="center"/>
          </w:tcPr>
          <w:p w:rsidR="00E73D82" w:rsidRDefault="008F76C8">
            <w:pPr>
              <w:jc w:val="right"/>
            </w:pPr>
            <w:r>
              <w:rPr>
                <w:rFonts w:eastAsiaTheme="minorEastAsia"/>
                <w:color w:val="000000" w:themeColor="text1"/>
                <w:szCs w:val="21"/>
              </w:rPr>
              <w:t>-9.66%</w:t>
            </w:r>
          </w:p>
        </w:tc>
        <w:tc>
          <w:tcPr>
            <w:tcW w:w="1291" w:type="dxa"/>
            <w:vAlign w:val="center"/>
          </w:tcPr>
          <w:p w:rsidR="00E73D82" w:rsidRDefault="008F76C8">
            <w:pPr>
              <w:jc w:val="right"/>
            </w:pPr>
            <w:r>
              <w:rPr>
                <w:rFonts w:eastAsiaTheme="minorEastAsia"/>
                <w:color w:val="000000" w:themeColor="text1"/>
                <w:szCs w:val="21"/>
              </w:rPr>
              <w:t>0.04%</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摩根锦程稳健养老一年持有混合</w:t>
      </w:r>
      <w:r w:rsidRPr="00B27A29">
        <w:rPr>
          <w:rFonts w:eastAsiaTheme="minorEastAsia"/>
          <w:b/>
          <w:color w:val="000000" w:themeColor="text1"/>
          <w:kern w:val="0"/>
          <w:szCs w:val="21"/>
        </w:rPr>
        <w:t>(FOF)Y</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73D82">
        <w:tc>
          <w:tcPr>
            <w:tcW w:w="1290" w:type="dxa"/>
            <w:vAlign w:val="center"/>
          </w:tcPr>
          <w:p w:rsidR="00E73D82" w:rsidRDefault="008F76C8">
            <w:pPr>
              <w:jc w:val="left"/>
            </w:pPr>
            <w:r>
              <w:rPr>
                <w:rFonts w:eastAsiaTheme="minorEastAsia"/>
                <w:color w:val="000000" w:themeColor="text1"/>
                <w:szCs w:val="21"/>
              </w:rPr>
              <w:t>过去三个月</w:t>
            </w:r>
          </w:p>
        </w:tc>
        <w:tc>
          <w:tcPr>
            <w:tcW w:w="1291" w:type="dxa"/>
            <w:vAlign w:val="center"/>
          </w:tcPr>
          <w:p w:rsidR="00E73D82" w:rsidRDefault="008F76C8">
            <w:pPr>
              <w:jc w:val="right"/>
            </w:pPr>
            <w:r>
              <w:rPr>
                <w:rFonts w:eastAsiaTheme="minorEastAsia"/>
                <w:color w:val="000000" w:themeColor="text1"/>
                <w:szCs w:val="21"/>
              </w:rPr>
              <w:t>-0.06%</w:t>
            </w:r>
          </w:p>
        </w:tc>
        <w:tc>
          <w:tcPr>
            <w:tcW w:w="1291" w:type="dxa"/>
            <w:vAlign w:val="center"/>
          </w:tcPr>
          <w:p w:rsidR="00E73D82" w:rsidRDefault="008F76C8">
            <w:pPr>
              <w:jc w:val="right"/>
            </w:pPr>
            <w:r>
              <w:rPr>
                <w:rFonts w:eastAsiaTheme="minorEastAsia"/>
                <w:color w:val="000000" w:themeColor="text1"/>
                <w:szCs w:val="21"/>
              </w:rPr>
              <w:t>0.28%</w:t>
            </w:r>
          </w:p>
        </w:tc>
        <w:tc>
          <w:tcPr>
            <w:tcW w:w="1291" w:type="dxa"/>
            <w:vAlign w:val="center"/>
          </w:tcPr>
          <w:p w:rsidR="00E73D82" w:rsidRDefault="008F76C8">
            <w:pPr>
              <w:jc w:val="right"/>
            </w:pPr>
            <w:r>
              <w:rPr>
                <w:rFonts w:eastAsiaTheme="minorEastAsia"/>
                <w:color w:val="000000" w:themeColor="text1"/>
                <w:szCs w:val="21"/>
              </w:rPr>
              <w:t>0.58%</w:t>
            </w:r>
          </w:p>
        </w:tc>
        <w:tc>
          <w:tcPr>
            <w:tcW w:w="1291" w:type="dxa"/>
            <w:vAlign w:val="center"/>
          </w:tcPr>
          <w:p w:rsidR="00E73D82" w:rsidRDefault="008F76C8">
            <w:pPr>
              <w:jc w:val="right"/>
            </w:pPr>
            <w:r>
              <w:rPr>
                <w:rFonts w:eastAsiaTheme="minorEastAsia"/>
                <w:color w:val="000000" w:themeColor="text1"/>
                <w:szCs w:val="21"/>
              </w:rPr>
              <w:t>0.15%</w:t>
            </w:r>
          </w:p>
        </w:tc>
        <w:tc>
          <w:tcPr>
            <w:tcW w:w="1291" w:type="dxa"/>
            <w:vAlign w:val="center"/>
          </w:tcPr>
          <w:p w:rsidR="00E73D82" w:rsidRDefault="008F76C8">
            <w:pPr>
              <w:jc w:val="right"/>
            </w:pPr>
            <w:r>
              <w:rPr>
                <w:rFonts w:eastAsiaTheme="minorEastAsia"/>
                <w:color w:val="000000" w:themeColor="text1"/>
                <w:szCs w:val="21"/>
              </w:rPr>
              <w:t>-0.64%</w:t>
            </w:r>
          </w:p>
        </w:tc>
        <w:tc>
          <w:tcPr>
            <w:tcW w:w="1291" w:type="dxa"/>
            <w:vAlign w:val="center"/>
          </w:tcPr>
          <w:p w:rsidR="00E73D82" w:rsidRDefault="008F76C8">
            <w:pPr>
              <w:jc w:val="right"/>
            </w:pPr>
            <w:r>
              <w:rPr>
                <w:rFonts w:eastAsiaTheme="minorEastAsia"/>
                <w:color w:val="000000" w:themeColor="text1"/>
                <w:szCs w:val="21"/>
              </w:rPr>
              <w:t>0.13%</w:t>
            </w:r>
          </w:p>
        </w:tc>
      </w:tr>
      <w:tr w:rsidR="00E73D82">
        <w:tc>
          <w:tcPr>
            <w:tcW w:w="1290" w:type="dxa"/>
            <w:vAlign w:val="center"/>
          </w:tcPr>
          <w:p w:rsidR="00E73D82" w:rsidRDefault="008F76C8">
            <w:pPr>
              <w:jc w:val="left"/>
            </w:pPr>
            <w:r>
              <w:rPr>
                <w:rFonts w:eastAsiaTheme="minorEastAsia"/>
                <w:color w:val="000000" w:themeColor="text1"/>
                <w:szCs w:val="21"/>
              </w:rPr>
              <w:t>过去六个月</w:t>
            </w:r>
          </w:p>
        </w:tc>
        <w:tc>
          <w:tcPr>
            <w:tcW w:w="1291" w:type="dxa"/>
            <w:vAlign w:val="center"/>
          </w:tcPr>
          <w:p w:rsidR="00E73D82" w:rsidRDefault="008F76C8">
            <w:pPr>
              <w:jc w:val="right"/>
            </w:pPr>
            <w:r>
              <w:rPr>
                <w:rFonts w:eastAsiaTheme="minorEastAsia"/>
                <w:color w:val="000000" w:themeColor="text1"/>
                <w:szCs w:val="21"/>
              </w:rPr>
              <w:t>0.22%</w:t>
            </w:r>
          </w:p>
        </w:tc>
        <w:tc>
          <w:tcPr>
            <w:tcW w:w="1291" w:type="dxa"/>
            <w:vAlign w:val="center"/>
          </w:tcPr>
          <w:p w:rsidR="00E73D82" w:rsidRDefault="008F76C8">
            <w:pPr>
              <w:jc w:val="right"/>
            </w:pPr>
            <w:r>
              <w:rPr>
                <w:rFonts w:eastAsiaTheme="minorEastAsia"/>
                <w:color w:val="000000" w:themeColor="text1"/>
                <w:szCs w:val="21"/>
              </w:rPr>
              <w:t>0.36%</w:t>
            </w:r>
          </w:p>
        </w:tc>
        <w:tc>
          <w:tcPr>
            <w:tcW w:w="1291" w:type="dxa"/>
            <w:vAlign w:val="center"/>
          </w:tcPr>
          <w:p w:rsidR="00E73D82" w:rsidRDefault="008F76C8">
            <w:pPr>
              <w:jc w:val="right"/>
            </w:pPr>
            <w:r>
              <w:rPr>
                <w:rFonts w:eastAsiaTheme="minorEastAsia"/>
                <w:color w:val="000000" w:themeColor="text1"/>
                <w:szCs w:val="21"/>
              </w:rPr>
              <w:t>2.52%</w:t>
            </w:r>
          </w:p>
        </w:tc>
        <w:tc>
          <w:tcPr>
            <w:tcW w:w="1291" w:type="dxa"/>
            <w:vAlign w:val="center"/>
          </w:tcPr>
          <w:p w:rsidR="00E73D82" w:rsidRDefault="008F76C8">
            <w:pPr>
              <w:jc w:val="right"/>
            </w:pPr>
            <w:r>
              <w:rPr>
                <w:rFonts w:eastAsiaTheme="minorEastAsia"/>
                <w:color w:val="000000" w:themeColor="text1"/>
                <w:szCs w:val="21"/>
              </w:rPr>
              <w:t>0.20%</w:t>
            </w:r>
          </w:p>
        </w:tc>
        <w:tc>
          <w:tcPr>
            <w:tcW w:w="1291" w:type="dxa"/>
            <w:vAlign w:val="center"/>
          </w:tcPr>
          <w:p w:rsidR="00E73D82" w:rsidRDefault="008F76C8">
            <w:pPr>
              <w:jc w:val="right"/>
            </w:pPr>
            <w:r>
              <w:rPr>
                <w:rFonts w:eastAsiaTheme="minorEastAsia"/>
                <w:color w:val="000000" w:themeColor="text1"/>
                <w:szCs w:val="21"/>
              </w:rPr>
              <w:t>-2.30%</w:t>
            </w:r>
          </w:p>
        </w:tc>
        <w:tc>
          <w:tcPr>
            <w:tcW w:w="1291" w:type="dxa"/>
            <w:vAlign w:val="center"/>
          </w:tcPr>
          <w:p w:rsidR="00E73D82" w:rsidRDefault="008F76C8">
            <w:pPr>
              <w:jc w:val="right"/>
            </w:pPr>
            <w:r>
              <w:rPr>
                <w:rFonts w:eastAsiaTheme="minorEastAsia"/>
                <w:color w:val="000000" w:themeColor="text1"/>
                <w:szCs w:val="21"/>
              </w:rPr>
              <w:t>0.16%</w:t>
            </w:r>
          </w:p>
        </w:tc>
      </w:tr>
      <w:tr w:rsidR="00E73D82">
        <w:tc>
          <w:tcPr>
            <w:tcW w:w="1290" w:type="dxa"/>
            <w:vAlign w:val="center"/>
          </w:tcPr>
          <w:p w:rsidR="00E73D82" w:rsidRDefault="008F76C8">
            <w:pPr>
              <w:jc w:val="left"/>
            </w:pPr>
            <w:r>
              <w:rPr>
                <w:rFonts w:eastAsiaTheme="minorEastAsia"/>
                <w:color w:val="000000" w:themeColor="text1"/>
                <w:szCs w:val="21"/>
              </w:rPr>
              <w:t>过去一年</w:t>
            </w:r>
          </w:p>
        </w:tc>
        <w:tc>
          <w:tcPr>
            <w:tcW w:w="1291" w:type="dxa"/>
            <w:vAlign w:val="center"/>
          </w:tcPr>
          <w:p w:rsidR="00E73D82" w:rsidRDefault="008F76C8">
            <w:pPr>
              <w:jc w:val="right"/>
            </w:pPr>
            <w:r>
              <w:rPr>
                <w:rFonts w:eastAsiaTheme="minorEastAsia"/>
                <w:color w:val="000000" w:themeColor="text1"/>
                <w:szCs w:val="21"/>
              </w:rPr>
              <w:t>-2.75%</w:t>
            </w:r>
          </w:p>
        </w:tc>
        <w:tc>
          <w:tcPr>
            <w:tcW w:w="1291" w:type="dxa"/>
            <w:vAlign w:val="center"/>
          </w:tcPr>
          <w:p w:rsidR="00E73D82" w:rsidRDefault="008F76C8">
            <w:pPr>
              <w:jc w:val="right"/>
            </w:pPr>
            <w:r>
              <w:rPr>
                <w:rFonts w:eastAsiaTheme="minorEastAsia"/>
                <w:color w:val="000000" w:themeColor="text1"/>
                <w:szCs w:val="21"/>
              </w:rPr>
              <w:t>0.31%</w:t>
            </w:r>
          </w:p>
        </w:tc>
        <w:tc>
          <w:tcPr>
            <w:tcW w:w="1291" w:type="dxa"/>
            <w:vAlign w:val="center"/>
          </w:tcPr>
          <w:p w:rsidR="00E73D82" w:rsidRDefault="008F76C8">
            <w:pPr>
              <w:jc w:val="right"/>
            </w:pPr>
            <w:r>
              <w:rPr>
                <w:rFonts w:eastAsiaTheme="minorEastAsia"/>
                <w:color w:val="000000" w:themeColor="text1"/>
                <w:szCs w:val="21"/>
              </w:rPr>
              <w:t>1.80%</w:t>
            </w:r>
          </w:p>
        </w:tc>
        <w:tc>
          <w:tcPr>
            <w:tcW w:w="1291" w:type="dxa"/>
            <w:vAlign w:val="center"/>
          </w:tcPr>
          <w:p w:rsidR="00E73D82" w:rsidRDefault="008F76C8">
            <w:pPr>
              <w:jc w:val="right"/>
            </w:pPr>
            <w:r>
              <w:rPr>
                <w:rFonts w:eastAsiaTheme="minorEastAsia"/>
                <w:color w:val="000000" w:themeColor="text1"/>
                <w:szCs w:val="21"/>
              </w:rPr>
              <w:t>0.18%</w:t>
            </w:r>
          </w:p>
        </w:tc>
        <w:tc>
          <w:tcPr>
            <w:tcW w:w="1291" w:type="dxa"/>
            <w:vAlign w:val="center"/>
          </w:tcPr>
          <w:p w:rsidR="00E73D82" w:rsidRDefault="008F76C8">
            <w:pPr>
              <w:jc w:val="right"/>
            </w:pPr>
            <w:r>
              <w:rPr>
                <w:rFonts w:eastAsiaTheme="minorEastAsia"/>
                <w:color w:val="000000" w:themeColor="text1"/>
                <w:szCs w:val="21"/>
              </w:rPr>
              <w:t>-4.55%</w:t>
            </w:r>
          </w:p>
        </w:tc>
        <w:tc>
          <w:tcPr>
            <w:tcW w:w="1291" w:type="dxa"/>
            <w:vAlign w:val="center"/>
          </w:tcPr>
          <w:p w:rsidR="00E73D82" w:rsidRDefault="008F76C8">
            <w:pPr>
              <w:jc w:val="right"/>
            </w:pPr>
            <w:r>
              <w:rPr>
                <w:rFonts w:eastAsiaTheme="minorEastAsia"/>
                <w:color w:val="000000" w:themeColor="text1"/>
                <w:szCs w:val="21"/>
              </w:rPr>
              <w:t>0.13%</w:t>
            </w:r>
          </w:p>
        </w:tc>
      </w:tr>
      <w:tr w:rsidR="00E73D82">
        <w:tc>
          <w:tcPr>
            <w:tcW w:w="1290" w:type="dxa"/>
            <w:vAlign w:val="center"/>
          </w:tcPr>
          <w:p w:rsidR="00E73D82" w:rsidRDefault="008F76C8">
            <w:pPr>
              <w:jc w:val="left"/>
            </w:pPr>
            <w:r>
              <w:rPr>
                <w:rFonts w:eastAsiaTheme="minorEastAsia"/>
                <w:color w:val="000000" w:themeColor="text1"/>
                <w:szCs w:val="21"/>
              </w:rPr>
              <w:t>过去三年</w:t>
            </w:r>
          </w:p>
        </w:tc>
        <w:tc>
          <w:tcPr>
            <w:tcW w:w="1291" w:type="dxa"/>
            <w:vAlign w:val="center"/>
          </w:tcPr>
          <w:p w:rsidR="00E73D82" w:rsidRDefault="008F76C8">
            <w:pPr>
              <w:jc w:val="right"/>
            </w:pPr>
            <w:r>
              <w:rPr>
                <w:rFonts w:eastAsiaTheme="minorEastAsia"/>
                <w:color w:val="000000" w:themeColor="text1"/>
                <w:szCs w:val="21"/>
              </w:rPr>
              <w:t>-</w:t>
            </w:r>
          </w:p>
        </w:tc>
        <w:tc>
          <w:tcPr>
            <w:tcW w:w="1291" w:type="dxa"/>
            <w:vAlign w:val="center"/>
          </w:tcPr>
          <w:p w:rsidR="00E73D82" w:rsidRDefault="008F76C8">
            <w:pPr>
              <w:jc w:val="right"/>
            </w:pPr>
            <w:r>
              <w:rPr>
                <w:rFonts w:eastAsiaTheme="minorEastAsia"/>
                <w:color w:val="000000" w:themeColor="text1"/>
                <w:szCs w:val="21"/>
              </w:rPr>
              <w:t>-</w:t>
            </w:r>
          </w:p>
        </w:tc>
        <w:tc>
          <w:tcPr>
            <w:tcW w:w="1291" w:type="dxa"/>
            <w:vAlign w:val="center"/>
          </w:tcPr>
          <w:p w:rsidR="00E73D82" w:rsidRDefault="008F76C8">
            <w:pPr>
              <w:jc w:val="right"/>
            </w:pPr>
            <w:r>
              <w:rPr>
                <w:rFonts w:eastAsiaTheme="minorEastAsia"/>
                <w:color w:val="000000" w:themeColor="text1"/>
                <w:szCs w:val="21"/>
              </w:rPr>
              <w:t>-</w:t>
            </w:r>
          </w:p>
        </w:tc>
        <w:tc>
          <w:tcPr>
            <w:tcW w:w="1291" w:type="dxa"/>
            <w:vAlign w:val="center"/>
          </w:tcPr>
          <w:p w:rsidR="00E73D82" w:rsidRDefault="008F76C8">
            <w:pPr>
              <w:jc w:val="right"/>
            </w:pPr>
            <w:r>
              <w:rPr>
                <w:rFonts w:eastAsiaTheme="minorEastAsia"/>
                <w:color w:val="000000" w:themeColor="text1"/>
                <w:szCs w:val="21"/>
              </w:rPr>
              <w:t>-</w:t>
            </w:r>
          </w:p>
        </w:tc>
        <w:tc>
          <w:tcPr>
            <w:tcW w:w="1291" w:type="dxa"/>
            <w:vAlign w:val="center"/>
          </w:tcPr>
          <w:p w:rsidR="00E73D82" w:rsidRDefault="008F76C8">
            <w:pPr>
              <w:jc w:val="right"/>
            </w:pPr>
            <w:r>
              <w:rPr>
                <w:rFonts w:eastAsiaTheme="minorEastAsia"/>
                <w:color w:val="000000" w:themeColor="text1"/>
                <w:szCs w:val="21"/>
              </w:rPr>
              <w:t>-</w:t>
            </w:r>
          </w:p>
        </w:tc>
        <w:tc>
          <w:tcPr>
            <w:tcW w:w="1291" w:type="dxa"/>
            <w:vAlign w:val="center"/>
          </w:tcPr>
          <w:p w:rsidR="00E73D82" w:rsidRDefault="008F76C8">
            <w:pPr>
              <w:jc w:val="right"/>
            </w:pPr>
            <w:r>
              <w:rPr>
                <w:rFonts w:eastAsiaTheme="minorEastAsia"/>
                <w:color w:val="000000" w:themeColor="text1"/>
                <w:szCs w:val="21"/>
              </w:rPr>
              <w:t>-</w:t>
            </w:r>
          </w:p>
        </w:tc>
      </w:tr>
      <w:tr w:rsidR="00E73D82">
        <w:tc>
          <w:tcPr>
            <w:tcW w:w="1290" w:type="dxa"/>
            <w:vAlign w:val="center"/>
          </w:tcPr>
          <w:p w:rsidR="00E73D82" w:rsidRDefault="008F76C8">
            <w:pPr>
              <w:jc w:val="left"/>
            </w:pPr>
            <w:r>
              <w:rPr>
                <w:rFonts w:eastAsiaTheme="minorEastAsia"/>
                <w:color w:val="000000" w:themeColor="text1"/>
                <w:szCs w:val="21"/>
              </w:rPr>
              <w:t>过去五年</w:t>
            </w:r>
          </w:p>
        </w:tc>
        <w:tc>
          <w:tcPr>
            <w:tcW w:w="1291" w:type="dxa"/>
            <w:vAlign w:val="center"/>
          </w:tcPr>
          <w:p w:rsidR="00E73D82" w:rsidRDefault="008F76C8">
            <w:pPr>
              <w:jc w:val="right"/>
            </w:pPr>
            <w:r>
              <w:rPr>
                <w:rFonts w:eastAsiaTheme="minorEastAsia"/>
                <w:color w:val="000000" w:themeColor="text1"/>
                <w:szCs w:val="21"/>
              </w:rPr>
              <w:t>-</w:t>
            </w:r>
          </w:p>
        </w:tc>
        <w:tc>
          <w:tcPr>
            <w:tcW w:w="1291" w:type="dxa"/>
            <w:vAlign w:val="center"/>
          </w:tcPr>
          <w:p w:rsidR="00E73D82" w:rsidRDefault="008F76C8">
            <w:pPr>
              <w:jc w:val="right"/>
            </w:pPr>
            <w:r>
              <w:rPr>
                <w:rFonts w:eastAsiaTheme="minorEastAsia"/>
                <w:color w:val="000000" w:themeColor="text1"/>
                <w:szCs w:val="21"/>
              </w:rPr>
              <w:t>-</w:t>
            </w:r>
          </w:p>
        </w:tc>
        <w:tc>
          <w:tcPr>
            <w:tcW w:w="1291" w:type="dxa"/>
            <w:vAlign w:val="center"/>
          </w:tcPr>
          <w:p w:rsidR="00E73D82" w:rsidRDefault="008F76C8">
            <w:pPr>
              <w:jc w:val="right"/>
            </w:pPr>
            <w:r>
              <w:rPr>
                <w:rFonts w:eastAsiaTheme="minorEastAsia"/>
                <w:color w:val="000000" w:themeColor="text1"/>
                <w:szCs w:val="21"/>
              </w:rPr>
              <w:t>-</w:t>
            </w:r>
          </w:p>
        </w:tc>
        <w:tc>
          <w:tcPr>
            <w:tcW w:w="1291" w:type="dxa"/>
            <w:vAlign w:val="center"/>
          </w:tcPr>
          <w:p w:rsidR="00E73D82" w:rsidRDefault="008F76C8">
            <w:pPr>
              <w:jc w:val="right"/>
            </w:pPr>
            <w:r>
              <w:rPr>
                <w:rFonts w:eastAsiaTheme="minorEastAsia"/>
                <w:color w:val="000000" w:themeColor="text1"/>
                <w:szCs w:val="21"/>
              </w:rPr>
              <w:t>-</w:t>
            </w:r>
          </w:p>
        </w:tc>
        <w:tc>
          <w:tcPr>
            <w:tcW w:w="1291" w:type="dxa"/>
            <w:vAlign w:val="center"/>
          </w:tcPr>
          <w:p w:rsidR="00E73D82" w:rsidRDefault="008F76C8">
            <w:pPr>
              <w:jc w:val="right"/>
            </w:pPr>
            <w:r>
              <w:rPr>
                <w:rFonts w:eastAsiaTheme="minorEastAsia"/>
                <w:color w:val="000000" w:themeColor="text1"/>
                <w:szCs w:val="21"/>
              </w:rPr>
              <w:t>-</w:t>
            </w:r>
          </w:p>
        </w:tc>
        <w:tc>
          <w:tcPr>
            <w:tcW w:w="1291" w:type="dxa"/>
            <w:vAlign w:val="center"/>
          </w:tcPr>
          <w:p w:rsidR="00E73D82" w:rsidRDefault="008F76C8">
            <w:pPr>
              <w:jc w:val="right"/>
            </w:pPr>
            <w:r>
              <w:rPr>
                <w:rFonts w:eastAsiaTheme="minorEastAsia"/>
                <w:color w:val="000000" w:themeColor="text1"/>
                <w:szCs w:val="21"/>
              </w:rPr>
              <w:t>-</w:t>
            </w:r>
          </w:p>
        </w:tc>
      </w:tr>
      <w:tr w:rsidR="00E73D82">
        <w:tc>
          <w:tcPr>
            <w:tcW w:w="1290" w:type="dxa"/>
            <w:vAlign w:val="center"/>
          </w:tcPr>
          <w:p w:rsidR="00E73D82" w:rsidRDefault="008F76C8">
            <w:pPr>
              <w:jc w:val="left"/>
            </w:pPr>
            <w:r>
              <w:rPr>
                <w:rFonts w:eastAsiaTheme="minorEastAsia"/>
                <w:color w:val="000000" w:themeColor="text1"/>
                <w:szCs w:val="21"/>
              </w:rPr>
              <w:t>自基金合同生效起至今</w:t>
            </w:r>
          </w:p>
        </w:tc>
        <w:tc>
          <w:tcPr>
            <w:tcW w:w="1291" w:type="dxa"/>
            <w:vAlign w:val="center"/>
          </w:tcPr>
          <w:p w:rsidR="00E73D82" w:rsidRDefault="008F76C8">
            <w:pPr>
              <w:jc w:val="right"/>
            </w:pPr>
            <w:r>
              <w:rPr>
                <w:rFonts w:eastAsiaTheme="minorEastAsia"/>
                <w:color w:val="000000" w:themeColor="text1"/>
                <w:szCs w:val="21"/>
              </w:rPr>
              <w:t>-2.66%</w:t>
            </w:r>
          </w:p>
        </w:tc>
        <w:tc>
          <w:tcPr>
            <w:tcW w:w="1291" w:type="dxa"/>
            <w:vAlign w:val="center"/>
          </w:tcPr>
          <w:p w:rsidR="00E73D82" w:rsidRDefault="008F76C8">
            <w:pPr>
              <w:jc w:val="right"/>
            </w:pPr>
            <w:r>
              <w:rPr>
                <w:rFonts w:eastAsiaTheme="minorEastAsia"/>
                <w:color w:val="000000" w:themeColor="text1"/>
                <w:szCs w:val="21"/>
              </w:rPr>
              <w:t>0.28%</w:t>
            </w:r>
          </w:p>
        </w:tc>
        <w:tc>
          <w:tcPr>
            <w:tcW w:w="1291" w:type="dxa"/>
            <w:vAlign w:val="center"/>
          </w:tcPr>
          <w:p w:rsidR="00E73D82" w:rsidRDefault="008F76C8">
            <w:pPr>
              <w:jc w:val="right"/>
            </w:pPr>
            <w:r>
              <w:rPr>
                <w:rFonts w:eastAsiaTheme="minorEastAsia"/>
                <w:color w:val="000000" w:themeColor="text1"/>
                <w:szCs w:val="21"/>
              </w:rPr>
              <w:t>3.77%</w:t>
            </w:r>
          </w:p>
        </w:tc>
        <w:tc>
          <w:tcPr>
            <w:tcW w:w="1291" w:type="dxa"/>
            <w:vAlign w:val="center"/>
          </w:tcPr>
          <w:p w:rsidR="00E73D82" w:rsidRDefault="008F76C8">
            <w:pPr>
              <w:jc w:val="right"/>
            </w:pPr>
            <w:r>
              <w:rPr>
                <w:rFonts w:eastAsiaTheme="minorEastAsia"/>
                <w:color w:val="000000" w:themeColor="text1"/>
                <w:szCs w:val="21"/>
              </w:rPr>
              <w:t>0.17%</w:t>
            </w:r>
          </w:p>
        </w:tc>
        <w:tc>
          <w:tcPr>
            <w:tcW w:w="1291" w:type="dxa"/>
            <w:vAlign w:val="center"/>
          </w:tcPr>
          <w:p w:rsidR="00E73D82" w:rsidRDefault="008F76C8">
            <w:pPr>
              <w:jc w:val="right"/>
            </w:pPr>
            <w:r>
              <w:rPr>
                <w:rFonts w:eastAsiaTheme="minorEastAsia"/>
                <w:color w:val="000000" w:themeColor="text1"/>
                <w:szCs w:val="21"/>
              </w:rPr>
              <w:t>-6.43%</w:t>
            </w:r>
          </w:p>
        </w:tc>
        <w:tc>
          <w:tcPr>
            <w:tcW w:w="1291" w:type="dxa"/>
            <w:vAlign w:val="center"/>
          </w:tcPr>
          <w:p w:rsidR="00E73D82" w:rsidRDefault="008F76C8">
            <w:pPr>
              <w:jc w:val="right"/>
            </w:pPr>
            <w:r>
              <w:rPr>
                <w:rFonts w:eastAsiaTheme="minorEastAsia"/>
                <w:color w:val="000000" w:themeColor="text1"/>
                <w:szCs w:val="21"/>
              </w:rPr>
              <w:t>0.11%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w:t>
      </w:r>
      <w:r w:rsidRPr="00B27A29">
        <w:rPr>
          <w:rFonts w:eastAsiaTheme="minorEastAsia"/>
          <w:b/>
          <w:color w:val="000000" w:themeColor="text1"/>
          <w:szCs w:val="21"/>
        </w:rPr>
        <w:lastRenderedPageBreak/>
        <w:t>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摩根锦程稳健养老目标一年持有期混合型基金中基金</w:t>
      </w:r>
      <w:r w:rsidRPr="00B27A29">
        <w:rPr>
          <w:rFonts w:eastAsiaTheme="minorEastAsia"/>
          <w:color w:val="000000" w:themeColor="text1"/>
          <w:szCs w:val="21"/>
        </w:rPr>
        <w:t>(FOF)</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73D82" w:rsidRDefault="008F76C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(FOF)Y</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73D82" w:rsidRDefault="008F76C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日起增加</w:t>
      </w:r>
      <w:r>
        <w:rPr>
          <w:rFonts w:eastAsiaTheme="minorEastAsia"/>
          <w:color w:val="000000" w:themeColor="text1"/>
          <w:szCs w:val="21"/>
        </w:rPr>
        <w:t>Y</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E73D82">
        <w:tc>
          <w:tcPr>
            <w:tcW w:w="952" w:type="dxa"/>
            <w:vAlign w:val="center"/>
          </w:tcPr>
          <w:p w:rsidR="00E73D82" w:rsidRDefault="008F76C8">
            <w:pPr>
              <w:jc w:val="center"/>
            </w:pPr>
            <w:r>
              <w:rPr>
                <w:rFonts w:eastAsiaTheme="minorEastAsia"/>
                <w:color w:val="000000" w:themeColor="text1"/>
                <w:szCs w:val="21"/>
              </w:rPr>
              <w:t>杜习杰</w:t>
            </w:r>
          </w:p>
        </w:tc>
        <w:tc>
          <w:tcPr>
            <w:tcW w:w="930" w:type="dxa"/>
            <w:vAlign w:val="center"/>
          </w:tcPr>
          <w:p w:rsidR="00E73D82" w:rsidRDefault="008F76C8">
            <w:pPr>
              <w:jc w:val="center"/>
            </w:pPr>
            <w:r>
              <w:rPr>
                <w:rFonts w:eastAsiaTheme="minorEastAsia"/>
                <w:color w:val="000000" w:themeColor="text1"/>
                <w:szCs w:val="21"/>
              </w:rPr>
              <w:t>本基金基金经理</w:t>
            </w:r>
          </w:p>
        </w:tc>
        <w:tc>
          <w:tcPr>
            <w:tcW w:w="1210" w:type="dxa"/>
            <w:vAlign w:val="center"/>
          </w:tcPr>
          <w:p w:rsidR="00E73D82" w:rsidRDefault="008F76C8">
            <w:pPr>
              <w:jc w:val="center"/>
            </w:pPr>
            <w:r>
              <w:rPr>
                <w:rFonts w:eastAsiaTheme="minorEastAsia"/>
                <w:color w:val="000000" w:themeColor="text1"/>
                <w:szCs w:val="21"/>
              </w:rPr>
              <w:t>2020-04-23</w:t>
            </w:r>
          </w:p>
        </w:tc>
        <w:tc>
          <w:tcPr>
            <w:tcW w:w="1309" w:type="dxa"/>
            <w:vAlign w:val="center"/>
          </w:tcPr>
          <w:p w:rsidR="00E73D82" w:rsidRDefault="008F76C8">
            <w:pPr>
              <w:jc w:val="center"/>
            </w:pPr>
            <w:r>
              <w:rPr>
                <w:rFonts w:eastAsiaTheme="minorEastAsia"/>
                <w:color w:val="000000" w:themeColor="text1"/>
                <w:szCs w:val="21"/>
              </w:rPr>
              <w:t>-</w:t>
            </w:r>
          </w:p>
        </w:tc>
        <w:tc>
          <w:tcPr>
            <w:tcW w:w="1254" w:type="dxa"/>
            <w:vAlign w:val="center"/>
          </w:tcPr>
          <w:p w:rsidR="00E73D82" w:rsidRDefault="008F76C8">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E73D82" w:rsidRDefault="008F76C8">
            <w:r>
              <w:rPr>
                <w:rFonts w:eastAsiaTheme="minorEastAsia"/>
                <w:color w:val="000000" w:themeColor="text1"/>
                <w:szCs w:val="21"/>
              </w:rPr>
              <w:t>杜习杰先生曾任长信基金任研究员。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月起加入摩根基金管理（中国）有限公司（原上投摩根基金管理有限公司），历任研究员、投资经理兼研究员，现任组合基金投资部基金经理。</w:t>
            </w:r>
          </w:p>
        </w:tc>
      </w:tr>
      <w:tr w:rsidR="00E73D82">
        <w:tc>
          <w:tcPr>
            <w:tcW w:w="952" w:type="dxa"/>
            <w:vAlign w:val="center"/>
          </w:tcPr>
          <w:p w:rsidR="00E73D82" w:rsidRDefault="008F76C8">
            <w:pPr>
              <w:jc w:val="center"/>
            </w:pPr>
            <w:r>
              <w:rPr>
                <w:rFonts w:eastAsiaTheme="minorEastAsia"/>
                <w:color w:val="000000" w:themeColor="text1"/>
                <w:szCs w:val="21"/>
              </w:rPr>
              <w:t>吴春杰</w:t>
            </w:r>
          </w:p>
        </w:tc>
        <w:tc>
          <w:tcPr>
            <w:tcW w:w="930" w:type="dxa"/>
            <w:vAlign w:val="center"/>
          </w:tcPr>
          <w:p w:rsidR="00E73D82" w:rsidRDefault="008F76C8">
            <w:pPr>
              <w:jc w:val="center"/>
            </w:pPr>
            <w:r>
              <w:rPr>
                <w:rFonts w:eastAsiaTheme="minorEastAsia"/>
                <w:color w:val="000000" w:themeColor="text1"/>
                <w:szCs w:val="21"/>
              </w:rPr>
              <w:t>本基金基金经理</w:t>
            </w:r>
          </w:p>
        </w:tc>
        <w:tc>
          <w:tcPr>
            <w:tcW w:w="1210" w:type="dxa"/>
            <w:vAlign w:val="center"/>
          </w:tcPr>
          <w:p w:rsidR="00E73D82" w:rsidRDefault="008F76C8">
            <w:pPr>
              <w:jc w:val="center"/>
            </w:pPr>
            <w:r>
              <w:rPr>
                <w:rFonts w:eastAsiaTheme="minorEastAsia"/>
                <w:color w:val="000000" w:themeColor="text1"/>
                <w:szCs w:val="21"/>
              </w:rPr>
              <w:t>2022-11-18</w:t>
            </w:r>
          </w:p>
        </w:tc>
        <w:tc>
          <w:tcPr>
            <w:tcW w:w="1309" w:type="dxa"/>
            <w:vAlign w:val="center"/>
          </w:tcPr>
          <w:p w:rsidR="00E73D82" w:rsidRDefault="008F76C8">
            <w:pPr>
              <w:jc w:val="center"/>
            </w:pPr>
            <w:r>
              <w:rPr>
                <w:rFonts w:eastAsiaTheme="minorEastAsia"/>
                <w:color w:val="000000" w:themeColor="text1"/>
                <w:szCs w:val="21"/>
              </w:rPr>
              <w:t>-</w:t>
            </w:r>
          </w:p>
        </w:tc>
        <w:tc>
          <w:tcPr>
            <w:tcW w:w="1254" w:type="dxa"/>
            <w:vAlign w:val="center"/>
          </w:tcPr>
          <w:p w:rsidR="00E73D82" w:rsidRDefault="008F76C8">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E73D82" w:rsidRDefault="008F76C8">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w:t>
            </w:r>
            <w:r>
              <w:rPr>
                <w:rFonts w:eastAsiaTheme="minorEastAsia"/>
                <w:color w:val="000000" w:themeColor="text1"/>
                <w:szCs w:val="21"/>
              </w:rPr>
              <w:lastRenderedPageBreak/>
              <w:t>基金管理有限公司），历任宏观研究员，现任高级基金经理。</w:t>
            </w:r>
          </w:p>
        </w:tc>
      </w:tr>
    </w:tbl>
    <w:p w:rsidR="00E73D82" w:rsidRDefault="008F76C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E73D82" w:rsidRDefault="008F76C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杜习杰先生为本基金首任基金经理，其任职日期为本基金基金合同生效之日；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E73D82" w:rsidRDefault="008F76C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w:t>
      </w:r>
      <w:r>
        <w:rPr>
          <w:rFonts w:eastAsiaTheme="minorEastAsia"/>
          <w:color w:val="000000" w:themeColor="text1"/>
          <w:szCs w:val="21"/>
        </w:rPr>
        <w:t>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E73D82" w:rsidRDefault="008F76C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w:t>
      </w:r>
      <w:r>
        <w:rPr>
          <w:rFonts w:eastAsiaTheme="minorEastAsia"/>
          <w:color w:val="000000" w:themeColor="text1"/>
          <w:szCs w:val="21"/>
        </w:rPr>
        <w:t>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E73D82" w:rsidRDefault="008F76C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w:t>
      </w:r>
      <w:r w:rsidRPr="00B27A29">
        <w:rPr>
          <w:rFonts w:eastAsiaTheme="minorEastAsia"/>
          <w:color w:val="000000" w:themeColor="text1"/>
          <w:szCs w:val="21"/>
        </w:rPr>
        <w:lastRenderedPageBreak/>
        <w:t>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E73D82" w:rsidRDefault="008F76C8">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2024</w:t>
      </w:r>
      <w:r>
        <w:rPr>
          <w:rFonts w:eastAsiaTheme="minorEastAsia"/>
          <w:color w:val="000000" w:themeColor="text1"/>
          <w:szCs w:val="21"/>
        </w:rPr>
        <w:t>年二季度，国内权益市场先反弹、后有所回落，区间内小幅走低。</w:t>
      </w:r>
      <w:r>
        <w:rPr>
          <w:rFonts w:eastAsiaTheme="minorEastAsia"/>
          <w:color w:val="000000" w:themeColor="text1"/>
          <w:szCs w:val="21"/>
        </w:rPr>
        <w:t>4</w:t>
      </w:r>
      <w:r>
        <w:rPr>
          <w:rFonts w:eastAsiaTheme="minorEastAsia"/>
          <w:color w:val="000000" w:themeColor="text1"/>
          <w:szCs w:val="21"/>
        </w:rPr>
        <w:t>月底的政治局会议在涉及房地产行业的表述上释放了积极的信号，会议同时提到政府债券发行将加快，以及随后多项支持</w:t>
      </w:r>
      <w:r>
        <w:rPr>
          <w:rFonts w:eastAsiaTheme="minorEastAsia"/>
          <w:color w:val="000000" w:themeColor="text1"/>
          <w:szCs w:val="21"/>
        </w:rPr>
        <w:t>“</w:t>
      </w:r>
      <w:r>
        <w:rPr>
          <w:rFonts w:eastAsiaTheme="minorEastAsia"/>
          <w:color w:val="000000" w:themeColor="text1"/>
          <w:szCs w:val="21"/>
        </w:rPr>
        <w:t>以旧换新</w:t>
      </w:r>
      <w:r>
        <w:rPr>
          <w:rFonts w:eastAsiaTheme="minorEastAsia"/>
          <w:color w:val="000000" w:themeColor="text1"/>
          <w:szCs w:val="21"/>
        </w:rPr>
        <w:t>”</w:t>
      </w:r>
      <w:r>
        <w:rPr>
          <w:rFonts w:eastAsiaTheme="minorEastAsia"/>
          <w:color w:val="000000" w:themeColor="text1"/>
          <w:szCs w:val="21"/>
        </w:rPr>
        <w:t>的细则出台，提振了国内权益市场的信心。但在市场缺乏增量资金的背景下，</w:t>
      </w:r>
      <w:r>
        <w:rPr>
          <w:rFonts w:eastAsiaTheme="minorEastAsia"/>
          <w:color w:val="000000" w:themeColor="text1"/>
          <w:szCs w:val="21"/>
        </w:rPr>
        <w:t>5</w:t>
      </w:r>
      <w:r>
        <w:rPr>
          <w:rFonts w:eastAsiaTheme="minorEastAsia"/>
          <w:color w:val="000000" w:themeColor="text1"/>
          <w:szCs w:val="21"/>
        </w:rPr>
        <w:t>月底市场在等待政策效果的验证，情绪转向防御。国内债券方面，</w:t>
      </w:r>
      <w:r>
        <w:rPr>
          <w:rFonts w:eastAsiaTheme="minorEastAsia"/>
          <w:color w:val="000000" w:themeColor="text1"/>
          <w:szCs w:val="21"/>
        </w:rPr>
        <w:t>10</w:t>
      </w:r>
      <w:r>
        <w:rPr>
          <w:rFonts w:eastAsiaTheme="minorEastAsia"/>
          <w:color w:val="000000" w:themeColor="text1"/>
          <w:szCs w:val="21"/>
        </w:rPr>
        <w:t>年期国债收益率震荡下行</w:t>
      </w:r>
      <w:r>
        <w:rPr>
          <w:rFonts w:eastAsiaTheme="minorEastAsia"/>
          <w:color w:val="000000" w:themeColor="text1"/>
          <w:szCs w:val="21"/>
        </w:rPr>
        <w:t>8BP</w:t>
      </w:r>
      <w:r>
        <w:rPr>
          <w:rFonts w:eastAsiaTheme="minorEastAsia"/>
          <w:color w:val="000000" w:themeColor="text1"/>
          <w:szCs w:val="21"/>
        </w:rPr>
        <w:t>至</w:t>
      </w:r>
      <w:r>
        <w:rPr>
          <w:rFonts w:eastAsiaTheme="minorEastAsia"/>
          <w:color w:val="000000" w:themeColor="text1"/>
          <w:szCs w:val="21"/>
        </w:rPr>
        <w:t>2.21%</w:t>
      </w:r>
      <w:r>
        <w:rPr>
          <w:rFonts w:eastAsiaTheme="minorEastAsia"/>
          <w:color w:val="000000" w:themeColor="text1"/>
          <w:szCs w:val="21"/>
        </w:rPr>
        <w:t>，规范</w:t>
      </w:r>
      <w:r>
        <w:rPr>
          <w:rFonts w:eastAsiaTheme="minorEastAsia"/>
          <w:color w:val="000000" w:themeColor="text1"/>
          <w:szCs w:val="21"/>
        </w:rPr>
        <w:t>“</w:t>
      </w:r>
      <w:r>
        <w:rPr>
          <w:rFonts w:eastAsiaTheme="minorEastAsia"/>
          <w:color w:val="000000" w:themeColor="text1"/>
          <w:szCs w:val="21"/>
        </w:rPr>
        <w:t>手工补息</w:t>
      </w:r>
      <w:r>
        <w:rPr>
          <w:rFonts w:eastAsiaTheme="minorEastAsia"/>
          <w:color w:val="000000" w:themeColor="text1"/>
          <w:szCs w:val="21"/>
        </w:rPr>
        <w:t>”</w:t>
      </w:r>
      <w:r>
        <w:rPr>
          <w:rFonts w:eastAsiaTheme="minorEastAsia"/>
          <w:color w:val="000000" w:themeColor="text1"/>
          <w:szCs w:val="21"/>
        </w:rPr>
        <w:t>使得部分存款流向</w:t>
      </w:r>
      <w:r>
        <w:rPr>
          <w:rFonts w:eastAsiaTheme="minorEastAsia"/>
          <w:color w:val="000000" w:themeColor="text1"/>
          <w:szCs w:val="21"/>
        </w:rPr>
        <w:t>债券市场，是推动债券收益率在二季度震荡下行的影响因素之一。</w:t>
      </w:r>
    </w:p>
    <w:p w:rsidR="00E73D82" w:rsidRDefault="008F76C8">
      <w:pPr>
        <w:spacing w:line="360" w:lineRule="auto"/>
        <w:ind w:firstLineChars="200" w:firstLine="420"/>
        <w:rPr>
          <w:rFonts w:eastAsiaTheme="minorEastAsia"/>
          <w:color w:val="000000" w:themeColor="text1"/>
          <w:szCs w:val="21"/>
        </w:rPr>
      </w:pPr>
      <w:r>
        <w:rPr>
          <w:rFonts w:eastAsiaTheme="minorEastAsia"/>
          <w:color w:val="000000" w:themeColor="text1"/>
          <w:szCs w:val="21"/>
        </w:rPr>
        <w:t>海外方面，美股在二季度小幅反弹，经济数据仍有分歧，市场仍担心粘性通胀的风险。</w:t>
      </w:r>
      <w:r>
        <w:rPr>
          <w:rFonts w:eastAsiaTheme="minorEastAsia"/>
          <w:color w:val="000000" w:themeColor="text1"/>
          <w:szCs w:val="21"/>
        </w:rPr>
        <w:t>10</w:t>
      </w:r>
      <w:r>
        <w:rPr>
          <w:rFonts w:eastAsiaTheme="minorEastAsia"/>
          <w:color w:val="000000" w:themeColor="text1"/>
          <w:szCs w:val="21"/>
        </w:rPr>
        <w:t>年期美债收益率反弹</w:t>
      </w:r>
      <w:r>
        <w:rPr>
          <w:rFonts w:eastAsiaTheme="minorEastAsia"/>
          <w:color w:val="000000" w:themeColor="text1"/>
          <w:szCs w:val="21"/>
        </w:rPr>
        <w:t>17BP</w:t>
      </w:r>
      <w:r>
        <w:rPr>
          <w:rFonts w:eastAsiaTheme="minorEastAsia"/>
          <w:color w:val="000000" w:themeColor="text1"/>
          <w:szCs w:val="21"/>
        </w:rPr>
        <w:t>至</w:t>
      </w:r>
      <w:r>
        <w:rPr>
          <w:rFonts w:eastAsiaTheme="minorEastAsia"/>
          <w:color w:val="000000" w:themeColor="text1"/>
          <w:szCs w:val="21"/>
        </w:rPr>
        <w:t>4.37%</w:t>
      </w:r>
      <w:r>
        <w:rPr>
          <w:rFonts w:eastAsiaTheme="minorEastAsia"/>
          <w:color w:val="000000" w:themeColor="text1"/>
          <w:szCs w:val="21"/>
        </w:rPr>
        <w:t>。欧央行在</w:t>
      </w:r>
      <w:r>
        <w:rPr>
          <w:rFonts w:eastAsiaTheme="minorEastAsia"/>
          <w:color w:val="000000" w:themeColor="text1"/>
          <w:szCs w:val="21"/>
        </w:rPr>
        <w:t>6</w:t>
      </w:r>
      <w:r>
        <w:rPr>
          <w:rFonts w:eastAsiaTheme="minorEastAsia"/>
          <w:color w:val="000000" w:themeColor="text1"/>
          <w:szCs w:val="21"/>
        </w:rPr>
        <w:t>月议息会议上已率先降息，本轮美联储在开启降息上滞后于欧央行。</w:t>
      </w:r>
      <w:r>
        <w:rPr>
          <w:rFonts w:eastAsiaTheme="minorEastAsia"/>
          <w:color w:val="000000" w:themeColor="text1"/>
          <w:szCs w:val="21"/>
        </w:rPr>
        <w:t xml:space="preserve">    </w:t>
      </w:r>
    </w:p>
    <w:p w:rsidR="00E73D82" w:rsidRDefault="008F76C8">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月政治局会议以来各项政策体现了呵护内需、稳定经济运行的诉求，对新质生产力的持续强调与中长期目标中对经济高质量发展的关注一致。结构上，外需对出口的经济增长拉动较高。随着稳定内需政策效果的显现，有望促进供需格局的再平衡，价格也将从偏弱的预期中有所恢复。</w:t>
      </w:r>
    </w:p>
    <w:p w:rsidR="00E73D82" w:rsidRDefault="008F76C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国内权益来讲，当前历史绝对估值分位、相对债券资产的估值均处在较高吸引力的水平，具备长期配置价值。近期，企业盈利预期指标有所企稳，主要来于下修的减少，后续关注企业盈利预期能否有上修的扩散。二季度市场资金面总体平稳，两融、北向资金有所减弱，通过宽基</w:t>
      </w:r>
      <w:r>
        <w:rPr>
          <w:rFonts w:eastAsiaTheme="minorEastAsia"/>
          <w:color w:val="000000" w:themeColor="text1"/>
          <w:szCs w:val="21"/>
        </w:rPr>
        <w:t>ETF</w:t>
      </w:r>
      <w:r>
        <w:rPr>
          <w:rFonts w:eastAsiaTheme="minorEastAsia"/>
          <w:color w:val="000000" w:themeColor="text1"/>
          <w:szCs w:val="21"/>
        </w:rPr>
        <w:t>流入的资金量在季末有所增加；在存量特征明显的市场中，各行业表现的持续性偏弱，在关注大盘风格、盈利因子的同时，后续在组合操作上将保持灵活度。</w:t>
      </w:r>
    </w:p>
    <w:p w:rsidR="00E73D82" w:rsidRDefault="008F76C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对于国内债券来讲，托底经济增长的政策在发力中，内外利差仍为负值，相对</w:t>
      </w:r>
      <w:r>
        <w:rPr>
          <w:rFonts w:eastAsiaTheme="minorEastAsia"/>
          <w:color w:val="000000" w:themeColor="text1"/>
          <w:szCs w:val="21"/>
        </w:rPr>
        <w:t>A</w:t>
      </w:r>
      <w:r>
        <w:rPr>
          <w:rFonts w:eastAsiaTheme="minorEastAsia"/>
          <w:color w:val="000000" w:themeColor="text1"/>
          <w:szCs w:val="21"/>
        </w:rPr>
        <w:t>股配置价值处在偏低的位置。当前处在地方政府化债、</w:t>
      </w:r>
      <w:r>
        <w:rPr>
          <w:rFonts w:eastAsiaTheme="minorEastAsia"/>
          <w:color w:val="000000" w:themeColor="text1"/>
          <w:szCs w:val="21"/>
        </w:rPr>
        <w:t>实际利率高位背景下，货币政策延续支持性的基调，国内债券的下行风险相对可控。考虑央行对债券市场利率的多次表态，长久期利率的波动或有上升，后续仍以中等久期信用策略为主。</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海外方面，市场预期美国经济软着陆，美联储维持年内降息的前瞻指引。如随年内降息落地，美债在货币政策宽松周期中将受益，收益率下行也有利于美股估值的维持，尤其是大盘风格。欧央行率先开启降息，欧股的估值水平相对较低、盈利水平高于疫情前，配置吸引力亦有所上升。</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E73D82" w:rsidRDefault="008F76C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本报告期摩根锦程稳健养老一年</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:-0.16%</w:t>
      </w:r>
      <w:r>
        <w:rPr>
          <w:rFonts w:eastAsiaTheme="minorEastAsia"/>
          <w:color w:val="000000" w:themeColor="text1"/>
          <w:szCs w:val="21"/>
        </w:rPr>
        <w:t>，同期业绩比较基准收益率</w:t>
      </w:r>
      <w:r>
        <w:rPr>
          <w:rFonts w:eastAsiaTheme="minorEastAsia"/>
          <w:color w:val="000000" w:themeColor="text1"/>
          <w:szCs w:val="21"/>
        </w:rPr>
        <w:lastRenderedPageBreak/>
        <w:t>为</w:t>
      </w:r>
      <w:r>
        <w:rPr>
          <w:rFonts w:eastAsiaTheme="minorEastAsia"/>
          <w:color w:val="000000" w:themeColor="text1"/>
          <w:szCs w:val="21"/>
        </w:rPr>
        <w:t>:0.58%</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摩根锦程稳健养老一年</w:t>
      </w:r>
      <w:r w:rsidRPr="00B27A29">
        <w:rPr>
          <w:rFonts w:eastAsiaTheme="minorEastAsia"/>
          <w:color w:val="000000" w:themeColor="text1"/>
          <w:szCs w:val="21"/>
        </w:rPr>
        <w:t>Y</w:t>
      </w:r>
      <w:r w:rsidRPr="00B27A29">
        <w:rPr>
          <w:rFonts w:eastAsiaTheme="minorEastAsia"/>
          <w:color w:val="000000" w:themeColor="text1"/>
          <w:szCs w:val="21"/>
        </w:rPr>
        <w:t>份额净值增长率为</w:t>
      </w:r>
      <w:r w:rsidRPr="00B27A29">
        <w:rPr>
          <w:rFonts w:eastAsiaTheme="minorEastAsia"/>
          <w:color w:val="000000" w:themeColor="text1"/>
          <w:szCs w:val="21"/>
        </w:rPr>
        <w:t>:-0.06%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:0.58%</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E73D82" w:rsidRDefault="008F76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04</w:t>
      </w:r>
      <w:r>
        <w:rPr>
          <w:rFonts w:eastAsiaTheme="minorEastAsia"/>
          <w:color w:val="000000" w:themeColor="text1"/>
          <w:kern w:val="0"/>
          <w:szCs w:val="21"/>
        </w:rPr>
        <w:t>月</w:t>
      </w:r>
      <w:r>
        <w:rPr>
          <w:rFonts w:eastAsiaTheme="minorEastAsia"/>
          <w:color w:val="000000" w:themeColor="text1"/>
          <w:kern w:val="0"/>
          <w:szCs w:val="21"/>
        </w:rPr>
        <w:t>01</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基金管理人拟调整本基金运作方式，加大营销力度，提升基金规模，方案已报监管机关。</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34,517,122.08</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93.28</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1,120,009.45</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3.03</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1,120,009.45</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3.03</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rsidR="006336AE" w:rsidRPr="007B5F21" w:rsidRDefault="006336AE" w:rsidP="00342FE7">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金融衍生品投资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1,359,750.03</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3.67</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6,622.44</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0.02</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37,003,504.00</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rsidR="006336AE" w:rsidRPr="006336AE" w:rsidRDefault="006336AE">
      <w:pPr>
        <w:autoSpaceDE w:val="0"/>
        <w:autoSpaceDN w:val="0"/>
        <w:adjustRightInd w:val="0"/>
        <w:spacing w:line="360" w:lineRule="auto"/>
        <w:jc w:val="left"/>
        <w:rPr>
          <w:rFonts w:eastAsiaTheme="minorEastAsia"/>
          <w:b/>
          <w:color w:val="000000" w:themeColor="text1"/>
          <w:kern w:val="0"/>
          <w:szCs w:val="21"/>
        </w:rPr>
      </w:pP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1,120,009.45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3.07</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1,120,009.45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E73D82">
        <w:tc>
          <w:tcPr>
            <w:tcW w:w="1504" w:type="dxa"/>
            <w:vAlign w:val="center"/>
          </w:tcPr>
          <w:p w:rsidR="00E73D82" w:rsidRDefault="008F76C8">
            <w:pPr>
              <w:jc w:val="center"/>
            </w:pPr>
            <w:r>
              <w:rPr>
                <w:rFonts w:eastAsiaTheme="minorEastAsia"/>
                <w:color w:val="000000" w:themeColor="text1"/>
                <w:szCs w:val="21"/>
              </w:rPr>
              <w:t>1</w:t>
            </w:r>
          </w:p>
        </w:tc>
        <w:tc>
          <w:tcPr>
            <w:tcW w:w="1504" w:type="dxa"/>
            <w:vAlign w:val="center"/>
          </w:tcPr>
          <w:p w:rsidR="00E73D82" w:rsidRDefault="008F76C8">
            <w:pPr>
              <w:jc w:val="center"/>
            </w:pPr>
            <w:r>
              <w:rPr>
                <w:rFonts w:eastAsiaTheme="minorEastAsia"/>
                <w:color w:val="000000" w:themeColor="text1"/>
                <w:szCs w:val="21"/>
              </w:rPr>
              <w:t>019727</w:t>
            </w:r>
          </w:p>
        </w:tc>
        <w:tc>
          <w:tcPr>
            <w:tcW w:w="1504" w:type="dxa"/>
            <w:vAlign w:val="center"/>
          </w:tcPr>
          <w:p w:rsidR="00E73D82" w:rsidRDefault="008F76C8">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24</w:t>
            </w:r>
          </w:p>
        </w:tc>
        <w:tc>
          <w:tcPr>
            <w:tcW w:w="1503" w:type="dxa"/>
            <w:vAlign w:val="center"/>
          </w:tcPr>
          <w:p w:rsidR="00E73D82" w:rsidRDefault="008F76C8">
            <w:pPr>
              <w:jc w:val="right"/>
            </w:pPr>
            <w:r>
              <w:rPr>
                <w:rFonts w:eastAsiaTheme="minorEastAsia"/>
                <w:color w:val="000000" w:themeColor="text1"/>
                <w:szCs w:val="21"/>
              </w:rPr>
              <w:t>11,000</w:t>
            </w:r>
          </w:p>
        </w:tc>
        <w:tc>
          <w:tcPr>
            <w:tcW w:w="1503" w:type="dxa"/>
            <w:vAlign w:val="center"/>
          </w:tcPr>
          <w:p w:rsidR="00E73D82" w:rsidRDefault="008F76C8">
            <w:pPr>
              <w:jc w:val="right"/>
            </w:pPr>
            <w:r>
              <w:rPr>
                <w:rFonts w:eastAsiaTheme="minorEastAsia"/>
                <w:color w:val="000000" w:themeColor="text1"/>
                <w:szCs w:val="21"/>
              </w:rPr>
              <w:t>1,120,009.45</w:t>
            </w:r>
          </w:p>
        </w:tc>
        <w:tc>
          <w:tcPr>
            <w:tcW w:w="1503" w:type="dxa"/>
            <w:vAlign w:val="center"/>
          </w:tcPr>
          <w:p w:rsidR="00E73D82" w:rsidRDefault="008F76C8">
            <w:pPr>
              <w:jc w:val="right"/>
            </w:pPr>
            <w:r>
              <w:rPr>
                <w:rFonts w:eastAsiaTheme="minorEastAsia"/>
                <w:color w:val="000000" w:themeColor="text1"/>
                <w:szCs w:val="21"/>
              </w:rPr>
              <w:t>3.07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827.28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9.50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5,780.20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5.46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6,622.44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5.11.6</w:t>
      </w:r>
      <w:r w:rsidRPr="00B27A29">
        <w:rPr>
          <w:rFonts w:eastAsiaTheme="minorEastAsia"/>
          <w:b/>
          <w:color w:val="000000" w:themeColor="text1"/>
          <w:kern w:val="0"/>
          <w:szCs w:val="21"/>
        </w:rPr>
        <w:t>投资组合报告附注的其他文字描述部分</w:t>
      </w:r>
    </w:p>
    <w:p w:rsidR="00C45886" w:rsidRPr="00414345" w:rsidRDefault="005C671B" w:rsidP="00C45886">
      <w:pPr>
        <w:spacing w:before="29" w:line="288" w:lineRule="auto"/>
        <w:rPr>
          <w:color w:val="000000"/>
          <w:sz w:val="24"/>
        </w:rPr>
      </w:pPr>
      <w:r w:rsidRPr="00B27A29">
        <w:rPr>
          <w:rFonts w:eastAsiaTheme="minorEastAsia"/>
          <w:color w:val="000000" w:themeColor="text1"/>
          <w:szCs w:val="21"/>
        </w:rPr>
        <w:t>因四舍五入原因，投资组合报告中分项之和与合计可能存在尾差。</w:t>
      </w:r>
    </w:p>
    <w:p w:rsidR="00C45886" w:rsidRDefault="00C45886" w:rsidP="00C45886">
      <w:pPr>
        <w:spacing w:before="29" w:line="288" w:lineRule="auto"/>
        <w:ind w:firstLineChars="200" w:firstLine="480"/>
        <w:rPr>
          <w:color w:val="000000"/>
          <w:sz w:val="24"/>
        </w:rPr>
      </w:pPr>
    </w:p>
    <w:p w:rsidR="00C45886" w:rsidRDefault="00C45886" w:rsidP="00C45886">
      <w:pPr>
        <w:spacing w:before="29" w:line="288" w:lineRule="auto"/>
        <w:ind w:firstLineChars="200" w:firstLine="480"/>
        <w:rPr>
          <w:color w:val="000000"/>
          <w:sz w:val="24"/>
        </w:rPr>
      </w:pPr>
    </w:p>
    <w:p w:rsidR="00C45886" w:rsidRPr="00575270" w:rsidRDefault="00C45886" w:rsidP="00C45886">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C45886" w:rsidRPr="00575270" w:rsidRDefault="00C45886" w:rsidP="00C45886">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tbl>
      <w:tblPr>
        <w:tblStyle w:val="afa"/>
        <w:tblW w:w="5000" w:type="pct"/>
        <w:tblLayout w:type="fixed"/>
        <w:tblLook w:val="04A0" w:firstRow="1" w:lastRow="0" w:firstColumn="1" w:lastColumn="0" w:noHBand="0" w:noVBand="1"/>
      </w:tblPr>
      <w:tblGrid>
        <w:gridCol w:w="817"/>
        <w:gridCol w:w="1133"/>
        <w:gridCol w:w="1135"/>
        <w:gridCol w:w="1135"/>
        <w:gridCol w:w="1133"/>
        <w:gridCol w:w="1276"/>
        <w:gridCol w:w="1135"/>
        <w:gridCol w:w="1272"/>
      </w:tblGrid>
      <w:tr w:rsidR="00C45886" w:rsidRPr="00575270" w:rsidTr="00342FE7">
        <w:tc>
          <w:tcPr>
            <w:tcW w:w="452"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E73D82">
        <w:tc>
          <w:tcPr>
            <w:tcW w:w="817" w:type="dxa"/>
            <w:vAlign w:val="center"/>
          </w:tcPr>
          <w:p w:rsidR="00E73D82" w:rsidRDefault="008F76C8">
            <w:pPr>
              <w:jc w:val="center"/>
            </w:pPr>
            <w:r>
              <w:rPr>
                <w:sz w:val="24"/>
              </w:rPr>
              <w:t>1</w:t>
            </w:r>
          </w:p>
        </w:tc>
        <w:tc>
          <w:tcPr>
            <w:tcW w:w="1133" w:type="dxa"/>
            <w:vAlign w:val="center"/>
          </w:tcPr>
          <w:p w:rsidR="00E73D82" w:rsidRDefault="008F76C8">
            <w:pPr>
              <w:jc w:val="center"/>
            </w:pPr>
            <w:r>
              <w:rPr>
                <w:sz w:val="24"/>
              </w:rPr>
              <w:t>968050</w:t>
            </w:r>
          </w:p>
        </w:tc>
        <w:tc>
          <w:tcPr>
            <w:tcW w:w="1135" w:type="dxa"/>
            <w:vAlign w:val="center"/>
          </w:tcPr>
          <w:p w:rsidR="00E73D82" w:rsidRDefault="008F76C8">
            <w:pPr>
              <w:jc w:val="center"/>
            </w:pPr>
            <w:r>
              <w:rPr>
                <w:sz w:val="24"/>
              </w:rPr>
              <w:t>摩根国际债券人民币对冲累计</w:t>
            </w:r>
          </w:p>
        </w:tc>
        <w:tc>
          <w:tcPr>
            <w:tcW w:w="1135" w:type="dxa"/>
            <w:vAlign w:val="center"/>
          </w:tcPr>
          <w:p w:rsidR="00E73D82" w:rsidRDefault="008F76C8">
            <w:pPr>
              <w:jc w:val="center"/>
            </w:pPr>
            <w:r>
              <w:rPr>
                <w:sz w:val="24"/>
              </w:rPr>
              <w:t>契约型开放式</w:t>
            </w:r>
          </w:p>
        </w:tc>
        <w:tc>
          <w:tcPr>
            <w:tcW w:w="1133" w:type="dxa"/>
            <w:vAlign w:val="center"/>
          </w:tcPr>
          <w:p w:rsidR="00E73D82" w:rsidRDefault="008F76C8">
            <w:pPr>
              <w:jc w:val="center"/>
            </w:pPr>
            <w:r>
              <w:rPr>
                <w:sz w:val="24"/>
              </w:rPr>
              <w:t>278,089.88</w:t>
            </w:r>
          </w:p>
        </w:tc>
        <w:tc>
          <w:tcPr>
            <w:tcW w:w="1276" w:type="dxa"/>
            <w:vAlign w:val="center"/>
          </w:tcPr>
          <w:p w:rsidR="00E73D82" w:rsidRDefault="008F76C8">
            <w:pPr>
              <w:jc w:val="center"/>
            </w:pPr>
            <w:r>
              <w:rPr>
                <w:sz w:val="24"/>
              </w:rPr>
              <w:t>2,931,067.34</w:t>
            </w:r>
          </w:p>
        </w:tc>
        <w:tc>
          <w:tcPr>
            <w:tcW w:w="1135" w:type="dxa"/>
            <w:vAlign w:val="center"/>
          </w:tcPr>
          <w:p w:rsidR="00E73D82" w:rsidRDefault="008F76C8">
            <w:pPr>
              <w:jc w:val="center"/>
            </w:pPr>
            <w:r>
              <w:rPr>
                <w:sz w:val="24"/>
              </w:rPr>
              <w:t>8.03%</w:t>
            </w:r>
          </w:p>
        </w:tc>
        <w:tc>
          <w:tcPr>
            <w:tcW w:w="1272" w:type="dxa"/>
            <w:vAlign w:val="center"/>
          </w:tcPr>
          <w:p w:rsidR="00E73D82" w:rsidRDefault="008F76C8">
            <w:pPr>
              <w:jc w:val="center"/>
            </w:pPr>
            <w:r>
              <w:rPr>
                <w:sz w:val="24"/>
              </w:rPr>
              <w:t>是</w:t>
            </w:r>
          </w:p>
        </w:tc>
      </w:tr>
      <w:tr w:rsidR="00E73D82">
        <w:tc>
          <w:tcPr>
            <w:tcW w:w="817" w:type="dxa"/>
            <w:vAlign w:val="center"/>
          </w:tcPr>
          <w:p w:rsidR="00E73D82" w:rsidRDefault="008F76C8">
            <w:pPr>
              <w:jc w:val="center"/>
            </w:pPr>
            <w:r>
              <w:rPr>
                <w:sz w:val="24"/>
              </w:rPr>
              <w:t>2</w:t>
            </w:r>
          </w:p>
        </w:tc>
        <w:tc>
          <w:tcPr>
            <w:tcW w:w="1133" w:type="dxa"/>
            <w:vAlign w:val="center"/>
          </w:tcPr>
          <w:p w:rsidR="00E73D82" w:rsidRDefault="008F76C8">
            <w:pPr>
              <w:jc w:val="center"/>
            </w:pPr>
            <w:r>
              <w:rPr>
                <w:sz w:val="24"/>
              </w:rPr>
              <w:t>002702</w:t>
            </w:r>
          </w:p>
        </w:tc>
        <w:tc>
          <w:tcPr>
            <w:tcW w:w="1135" w:type="dxa"/>
            <w:vAlign w:val="center"/>
          </w:tcPr>
          <w:p w:rsidR="00E73D82" w:rsidRDefault="008F76C8">
            <w:pPr>
              <w:jc w:val="center"/>
            </w:pPr>
            <w:r>
              <w:rPr>
                <w:sz w:val="24"/>
              </w:rPr>
              <w:t>东方红汇阳债券</w:t>
            </w:r>
            <w:r>
              <w:rPr>
                <w:sz w:val="24"/>
              </w:rPr>
              <w:t>C</w:t>
            </w:r>
          </w:p>
        </w:tc>
        <w:tc>
          <w:tcPr>
            <w:tcW w:w="1135" w:type="dxa"/>
            <w:vAlign w:val="center"/>
          </w:tcPr>
          <w:p w:rsidR="00E73D82" w:rsidRDefault="008F76C8">
            <w:pPr>
              <w:jc w:val="center"/>
            </w:pPr>
            <w:r>
              <w:rPr>
                <w:sz w:val="24"/>
              </w:rPr>
              <w:t>契约型开放式</w:t>
            </w:r>
          </w:p>
        </w:tc>
        <w:tc>
          <w:tcPr>
            <w:tcW w:w="1133" w:type="dxa"/>
            <w:vAlign w:val="center"/>
          </w:tcPr>
          <w:p w:rsidR="00E73D82" w:rsidRDefault="008F76C8">
            <w:pPr>
              <w:jc w:val="center"/>
            </w:pPr>
            <w:r>
              <w:rPr>
                <w:sz w:val="24"/>
              </w:rPr>
              <w:t>2,438,402.20</w:t>
            </w:r>
          </w:p>
        </w:tc>
        <w:tc>
          <w:tcPr>
            <w:tcW w:w="1276" w:type="dxa"/>
            <w:vAlign w:val="center"/>
          </w:tcPr>
          <w:p w:rsidR="00E73D82" w:rsidRDefault="008F76C8">
            <w:pPr>
              <w:jc w:val="center"/>
            </w:pPr>
            <w:r>
              <w:rPr>
                <w:sz w:val="24"/>
              </w:rPr>
              <w:t>2,607,627.31</w:t>
            </w:r>
          </w:p>
        </w:tc>
        <w:tc>
          <w:tcPr>
            <w:tcW w:w="1135" w:type="dxa"/>
            <w:vAlign w:val="center"/>
          </w:tcPr>
          <w:p w:rsidR="00E73D82" w:rsidRDefault="008F76C8">
            <w:pPr>
              <w:jc w:val="center"/>
            </w:pPr>
            <w:r>
              <w:rPr>
                <w:sz w:val="24"/>
              </w:rPr>
              <w:t>7.14%</w:t>
            </w:r>
          </w:p>
        </w:tc>
        <w:tc>
          <w:tcPr>
            <w:tcW w:w="1272" w:type="dxa"/>
            <w:vAlign w:val="center"/>
          </w:tcPr>
          <w:p w:rsidR="00E73D82" w:rsidRDefault="008F76C8">
            <w:pPr>
              <w:jc w:val="center"/>
            </w:pPr>
            <w:r>
              <w:rPr>
                <w:sz w:val="24"/>
              </w:rPr>
              <w:t>否</w:t>
            </w:r>
          </w:p>
        </w:tc>
      </w:tr>
      <w:tr w:rsidR="00E73D82">
        <w:tc>
          <w:tcPr>
            <w:tcW w:w="817" w:type="dxa"/>
            <w:vAlign w:val="center"/>
          </w:tcPr>
          <w:p w:rsidR="00E73D82" w:rsidRDefault="008F76C8">
            <w:pPr>
              <w:jc w:val="center"/>
            </w:pPr>
            <w:r>
              <w:rPr>
                <w:sz w:val="24"/>
              </w:rPr>
              <w:t>3</w:t>
            </w:r>
          </w:p>
        </w:tc>
        <w:tc>
          <w:tcPr>
            <w:tcW w:w="1133" w:type="dxa"/>
            <w:vAlign w:val="center"/>
          </w:tcPr>
          <w:p w:rsidR="00E73D82" w:rsidRDefault="008F76C8">
            <w:pPr>
              <w:jc w:val="center"/>
            </w:pPr>
            <w:r>
              <w:rPr>
                <w:sz w:val="24"/>
              </w:rPr>
              <w:t>531028</w:t>
            </w:r>
          </w:p>
        </w:tc>
        <w:tc>
          <w:tcPr>
            <w:tcW w:w="1135" w:type="dxa"/>
            <w:vAlign w:val="center"/>
          </w:tcPr>
          <w:p w:rsidR="00E73D82" w:rsidRDefault="008F76C8">
            <w:pPr>
              <w:jc w:val="center"/>
            </w:pPr>
            <w:r>
              <w:rPr>
                <w:sz w:val="24"/>
              </w:rPr>
              <w:t>建信短债债券</w:t>
            </w:r>
            <w:r>
              <w:rPr>
                <w:sz w:val="24"/>
              </w:rPr>
              <w:t>A</w:t>
            </w:r>
          </w:p>
        </w:tc>
        <w:tc>
          <w:tcPr>
            <w:tcW w:w="1135" w:type="dxa"/>
            <w:vAlign w:val="center"/>
          </w:tcPr>
          <w:p w:rsidR="00E73D82" w:rsidRDefault="008F76C8">
            <w:pPr>
              <w:jc w:val="center"/>
            </w:pPr>
            <w:r>
              <w:rPr>
                <w:sz w:val="24"/>
              </w:rPr>
              <w:t>契约型开放式</w:t>
            </w:r>
          </w:p>
        </w:tc>
        <w:tc>
          <w:tcPr>
            <w:tcW w:w="1133" w:type="dxa"/>
            <w:vAlign w:val="center"/>
          </w:tcPr>
          <w:p w:rsidR="00E73D82" w:rsidRDefault="008F76C8">
            <w:pPr>
              <w:jc w:val="center"/>
            </w:pPr>
            <w:r>
              <w:rPr>
                <w:sz w:val="24"/>
              </w:rPr>
              <w:t>2,046,574.46</w:t>
            </w:r>
          </w:p>
        </w:tc>
        <w:tc>
          <w:tcPr>
            <w:tcW w:w="1276" w:type="dxa"/>
            <w:vAlign w:val="center"/>
          </w:tcPr>
          <w:p w:rsidR="00E73D82" w:rsidRDefault="008F76C8">
            <w:pPr>
              <w:jc w:val="center"/>
            </w:pPr>
            <w:r>
              <w:rPr>
                <w:sz w:val="24"/>
              </w:rPr>
              <w:t>2,311,196.54</w:t>
            </w:r>
          </w:p>
        </w:tc>
        <w:tc>
          <w:tcPr>
            <w:tcW w:w="1135" w:type="dxa"/>
            <w:vAlign w:val="center"/>
          </w:tcPr>
          <w:p w:rsidR="00E73D82" w:rsidRDefault="008F76C8">
            <w:pPr>
              <w:jc w:val="center"/>
            </w:pPr>
            <w:r>
              <w:rPr>
                <w:sz w:val="24"/>
              </w:rPr>
              <w:t>6.33%</w:t>
            </w:r>
          </w:p>
        </w:tc>
        <w:tc>
          <w:tcPr>
            <w:tcW w:w="1272" w:type="dxa"/>
            <w:vAlign w:val="center"/>
          </w:tcPr>
          <w:p w:rsidR="00E73D82" w:rsidRDefault="008F76C8">
            <w:pPr>
              <w:jc w:val="center"/>
            </w:pPr>
            <w:r>
              <w:rPr>
                <w:sz w:val="24"/>
              </w:rPr>
              <w:t>否</w:t>
            </w:r>
          </w:p>
        </w:tc>
      </w:tr>
      <w:tr w:rsidR="00E73D82">
        <w:tc>
          <w:tcPr>
            <w:tcW w:w="817" w:type="dxa"/>
            <w:vAlign w:val="center"/>
          </w:tcPr>
          <w:p w:rsidR="00E73D82" w:rsidRDefault="008F76C8">
            <w:pPr>
              <w:jc w:val="center"/>
            </w:pPr>
            <w:r>
              <w:rPr>
                <w:sz w:val="24"/>
              </w:rPr>
              <w:t>4</w:t>
            </w:r>
          </w:p>
        </w:tc>
        <w:tc>
          <w:tcPr>
            <w:tcW w:w="1133" w:type="dxa"/>
            <w:vAlign w:val="center"/>
          </w:tcPr>
          <w:p w:rsidR="00E73D82" w:rsidRDefault="008F76C8">
            <w:pPr>
              <w:jc w:val="center"/>
            </w:pPr>
            <w:r>
              <w:rPr>
                <w:sz w:val="24"/>
              </w:rPr>
              <w:t>380009</w:t>
            </w:r>
          </w:p>
        </w:tc>
        <w:tc>
          <w:tcPr>
            <w:tcW w:w="1135" w:type="dxa"/>
            <w:vAlign w:val="center"/>
          </w:tcPr>
          <w:p w:rsidR="00E73D82" w:rsidRDefault="008F76C8">
            <w:pPr>
              <w:jc w:val="center"/>
            </w:pPr>
            <w:r>
              <w:rPr>
                <w:sz w:val="24"/>
              </w:rPr>
              <w:t>中银添利债券发起</w:t>
            </w:r>
            <w:r>
              <w:rPr>
                <w:sz w:val="24"/>
              </w:rPr>
              <w:t>A</w:t>
            </w:r>
          </w:p>
        </w:tc>
        <w:tc>
          <w:tcPr>
            <w:tcW w:w="1135" w:type="dxa"/>
            <w:vAlign w:val="center"/>
          </w:tcPr>
          <w:p w:rsidR="00E73D82" w:rsidRDefault="008F76C8">
            <w:pPr>
              <w:jc w:val="center"/>
            </w:pPr>
            <w:r>
              <w:rPr>
                <w:sz w:val="24"/>
              </w:rPr>
              <w:t>契约型开放式</w:t>
            </w:r>
          </w:p>
        </w:tc>
        <w:tc>
          <w:tcPr>
            <w:tcW w:w="1133" w:type="dxa"/>
            <w:vAlign w:val="center"/>
          </w:tcPr>
          <w:p w:rsidR="00E73D82" w:rsidRDefault="008F76C8">
            <w:pPr>
              <w:jc w:val="center"/>
            </w:pPr>
            <w:r>
              <w:rPr>
                <w:sz w:val="24"/>
              </w:rPr>
              <w:t>1,583,092.59</w:t>
            </w:r>
          </w:p>
        </w:tc>
        <w:tc>
          <w:tcPr>
            <w:tcW w:w="1276" w:type="dxa"/>
            <w:vAlign w:val="center"/>
          </w:tcPr>
          <w:p w:rsidR="00E73D82" w:rsidRDefault="008F76C8">
            <w:pPr>
              <w:jc w:val="center"/>
            </w:pPr>
            <w:r>
              <w:rPr>
                <w:sz w:val="24"/>
              </w:rPr>
              <w:t>2,209,997.26</w:t>
            </w:r>
          </w:p>
        </w:tc>
        <w:tc>
          <w:tcPr>
            <w:tcW w:w="1135" w:type="dxa"/>
            <w:vAlign w:val="center"/>
          </w:tcPr>
          <w:p w:rsidR="00E73D82" w:rsidRDefault="008F76C8">
            <w:pPr>
              <w:jc w:val="center"/>
            </w:pPr>
            <w:r>
              <w:rPr>
                <w:sz w:val="24"/>
              </w:rPr>
              <w:t>6.05%</w:t>
            </w:r>
          </w:p>
        </w:tc>
        <w:tc>
          <w:tcPr>
            <w:tcW w:w="1272" w:type="dxa"/>
            <w:vAlign w:val="center"/>
          </w:tcPr>
          <w:p w:rsidR="00E73D82" w:rsidRDefault="008F76C8">
            <w:pPr>
              <w:jc w:val="center"/>
            </w:pPr>
            <w:r>
              <w:rPr>
                <w:sz w:val="24"/>
              </w:rPr>
              <w:t>否</w:t>
            </w:r>
          </w:p>
        </w:tc>
      </w:tr>
      <w:tr w:rsidR="00E73D82">
        <w:tc>
          <w:tcPr>
            <w:tcW w:w="817" w:type="dxa"/>
            <w:vAlign w:val="center"/>
          </w:tcPr>
          <w:p w:rsidR="00E73D82" w:rsidRDefault="008F76C8">
            <w:pPr>
              <w:jc w:val="center"/>
            </w:pPr>
            <w:r>
              <w:rPr>
                <w:sz w:val="24"/>
              </w:rPr>
              <w:t>5</w:t>
            </w:r>
          </w:p>
        </w:tc>
        <w:tc>
          <w:tcPr>
            <w:tcW w:w="1133" w:type="dxa"/>
            <w:vAlign w:val="center"/>
          </w:tcPr>
          <w:p w:rsidR="00E73D82" w:rsidRDefault="008F76C8">
            <w:pPr>
              <w:jc w:val="center"/>
            </w:pPr>
            <w:r>
              <w:rPr>
                <w:sz w:val="24"/>
              </w:rPr>
              <w:t>519782</w:t>
            </w:r>
          </w:p>
        </w:tc>
        <w:tc>
          <w:tcPr>
            <w:tcW w:w="1135" w:type="dxa"/>
            <w:vAlign w:val="center"/>
          </w:tcPr>
          <w:p w:rsidR="00E73D82" w:rsidRDefault="008F76C8">
            <w:pPr>
              <w:jc w:val="center"/>
            </w:pPr>
            <w:r>
              <w:rPr>
                <w:sz w:val="24"/>
              </w:rPr>
              <w:t>交银裕隆纯债债券</w:t>
            </w:r>
            <w:r>
              <w:rPr>
                <w:sz w:val="24"/>
              </w:rPr>
              <w:t>A</w:t>
            </w:r>
          </w:p>
        </w:tc>
        <w:tc>
          <w:tcPr>
            <w:tcW w:w="1135" w:type="dxa"/>
            <w:vAlign w:val="center"/>
          </w:tcPr>
          <w:p w:rsidR="00E73D82" w:rsidRDefault="008F76C8">
            <w:pPr>
              <w:jc w:val="center"/>
            </w:pPr>
            <w:r>
              <w:rPr>
                <w:sz w:val="24"/>
              </w:rPr>
              <w:t>契约型开放式</w:t>
            </w:r>
          </w:p>
        </w:tc>
        <w:tc>
          <w:tcPr>
            <w:tcW w:w="1133" w:type="dxa"/>
            <w:vAlign w:val="center"/>
          </w:tcPr>
          <w:p w:rsidR="00E73D82" w:rsidRDefault="008F76C8">
            <w:pPr>
              <w:jc w:val="center"/>
            </w:pPr>
            <w:r>
              <w:rPr>
                <w:sz w:val="24"/>
              </w:rPr>
              <w:t>1,502,245.15</w:t>
            </w:r>
          </w:p>
        </w:tc>
        <w:tc>
          <w:tcPr>
            <w:tcW w:w="1276" w:type="dxa"/>
            <w:vAlign w:val="center"/>
          </w:tcPr>
          <w:p w:rsidR="00E73D82" w:rsidRDefault="008F76C8">
            <w:pPr>
              <w:jc w:val="center"/>
            </w:pPr>
            <w:r>
              <w:rPr>
                <w:sz w:val="24"/>
              </w:rPr>
              <w:t>2,061,531.02</w:t>
            </w:r>
          </w:p>
        </w:tc>
        <w:tc>
          <w:tcPr>
            <w:tcW w:w="1135" w:type="dxa"/>
            <w:vAlign w:val="center"/>
          </w:tcPr>
          <w:p w:rsidR="00E73D82" w:rsidRDefault="008F76C8">
            <w:pPr>
              <w:jc w:val="center"/>
            </w:pPr>
            <w:r>
              <w:rPr>
                <w:sz w:val="24"/>
              </w:rPr>
              <w:t>5.65%</w:t>
            </w:r>
          </w:p>
        </w:tc>
        <w:tc>
          <w:tcPr>
            <w:tcW w:w="1272" w:type="dxa"/>
            <w:vAlign w:val="center"/>
          </w:tcPr>
          <w:p w:rsidR="00E73D82" w:rsidRDefault="008F76C8">
            <w:pPr>
              <w:jc w:val="center"/>
            </w:pPr>
            <w:r>
              <w:rPr>
                <w:sz w:val="24"/>
              </w:rPr>
              <w:t>否</w:t>
            </w:r>
          </w:p>
        </w:tc>
      </w:tr>
      <w:tr w:rsidR="00E73D82">
        <w:tc>
          <w:tcPr>
            <w:tcW w:w="817" w:type="dxa"/>
            <w:vAlign w:val="center"/>
          </w:tcPr>
          <w:p w:rsidR="00E73D82" w:rsidRDefault="008F76C8">
            <w:pPr>
              <w:jc w:val="center"/>
            </w:pPr>
            <w:r>
              <w:rPr>
                <w:sz w:val="24"/>
              </w:rPr>
              <w:t>6</w:t>
            </w:r>
          </w:p>
        </w:tc>
        <w:tc>
          <w:tcPr>
            <w:tcW w:w="1133" w:type="dxa"/>
            <w:vAlign w:val="center"/>
          </w:tcPr>
          <w:p w:rsidR="00E73D82" w:rsidRDefault="008F76C8">
            <w:pPr>
              <w:jc w:val="center"/>
            </w:pPr>
            <w:r>
              <w:rPr>
                <w:sz w:val="24"/>
              </w:rPr>
              <w:t>000107</w:t>
            </w:r>
          </w:p>
        </w:tc>
        <w:tc>
          <w:tcPr>
            <w:tcW w:w="1135" w:type="dxa"/>
            <w:vAlign w:val="center"/>
          </w:tcPr>
          <w:p w:rsidR="00E73D82" w:rsidRDefault="008F76C8">
            <w:pPr>
              <w:jc w:val="center"/>
            </w:pPr>
            <w:r>
              <w:rPr>
                <w:sz w:val="24"/>
              </w:rPr>
              <w:t>富国稳健增强债券</w:t>
            </w:r>
            <w:r>
              <w:rPr>
                <w:sz w:val="24"/>
              </w:rPr>
              <w:t>A/B</w:t>
            </w:r>
          </w:p>
        </w:tc>
        <w:tc>
          <w:tcPr>
            <w:tcW w:w="1135" w:type="dxa"/>
            <w:vAlign w:val="center"/>
          </w:tcPr>
          <w:p w:rsidR="00E73D82" w:rsidRDefault="008F76C8">
            <w:pPr>
              <w:jc w:val="center"/>
            </w:pPr>
            <w:r>
              <w:rPr>
                <w:sz w:val="24"/>
              </w:rPr>
              <w:t>契约型开放式</w:t>
            </w:r>
          </w:p>
        </w:tc>
        <w:tc>
          <w:tcPr>
            <w:tcW w:w="1133" w:type="dxa"/>
            <w:vAlign w:val="center"/>
          </w:tcPr>
          <w:p w:rsidR="00E73D82" w:rsidRDefault="008F76C8">
            <w:pPr>
              <w:jc w:val="center"/>
            </w:pPr>
            <w:r>
              <w:rPr>
                <w:sz w:val="24"/>
              </w:rPr>
              <w:t>1,254,949.61</w:t>
            </w:r>
          </w:p>
        </w:tc>
        <w:tc>
          <w:tcPr>
            <w:tcW w:w="1276" w:type="dxa"/>
            <w:vAlign w:val="center"/>
          </w:tcPr>
          <w:p w:rsidR="00E73D82" w:rsidRDefault="008F76C8">
            <w:pPr>
              <w:jc w:val="center"/>
            </w:pPr>
            <w:r>
              <w:rPr>
                <w:sz w:val="24"/>
              </w:rPr>
              <w:t>1,546,097.92</w:t>
            </w:r>
          </w:p>
        </w:tc>
        <w:tc>
          <w:tcPr>
            <w:tcW w:w="1135" w:type="dxa"/>
            <w:vAlign w:val="center"/>
          </w:tcPr>
          <w:p w:rsidR="00E73D82" w:rsidRDefault="008F76C8">
            <w:pPr>
              <w:jc w:val="center"/>
            </w:pPr>
            <w:r>
              <w:rPr>
                <w:sz w:val="24"/>
              </w:rPr>
              <w:t>4.23%</w:t>
            </w:r>
          </w:p>
        </w:tc>
        <w:tc>
          <w:tcPr>
            <w:tcW w:w="1272" w:type="dxa"/>
            <w:vAlign w:val="center"/>
          </w:tcPr>
          <w:p w:rsidR="00E73D82" w:rsidRDefault="008F76C8">
            <w:pPr>
              <w:jc w:val="center"/>
            </w:pPr>
            <w:r>
              <w:rPr>
                <w:sz w:val="24"/>
              </w:rPr>
              <w:t>否</w:t>
            </w:r>
          </w:p>
        </w:tc>
      </w:tr>
      <w:tr w:rsidR="00E73D82">
        <w:tc>
          <w:tcPr>
            <w:tcW w:w="817" w:type="dxa"/>
            <w:vAlign w:val="center"/>
          </w:tcPr>
          <w:p w:rsidR="00E73D82" w:rsidRDefault="008F76C8">
            <w:pPr>
              <w:jc w:val="center"/>
            </w:pPr>
            <w:r>
              <w:rPr>
                <w:sz w:val="24"/>
              </w:rPr>
              <w:t>7</w:t>
            </w:r>
          </w:p>
        </w:tc>
        <w:tc>
          <w:tcPr>
            <w:tcW w:w="1133" w:type="dxa"/>
            <w:vAlign w:val="center"/>
          </w:tcPr>
          <w:p w:rsidR="00E73D82" w:rsidRDefault="008F76C8">
            <w:pPr>
              <w:jc w:val="center"/>
            </w:pPr>
            <w:r>
              <w:rPr>
                <w:sz w:val="24"/>
              </w:rPr>
              <w:t>009100</w:t>
            </w:r>
          </w:p>
        </w:tc>
        <w:tc>
          <w:tcPr>
            <w:tcW w:w="1135" w:type="dxa"/>
            <w:vAlign w:val="center"/>
          </w:tcPr>
          <w:p w:rsidR="00E73D82" w:rsidRDefault="008F76C8">
            <w:pPr>
              <w:jc w:val="center"/>
            </w:pPr>
            <w:r>
              <w:rPr>
                <w:sz w:val="24"/>
              </w:rPr>
              <w:t>安信稳健增利混合</w:t>
            </w:r>
            <w:r>
              <w:rPr>
                <w:sz w:val="24"/>
              </w:rPr>
              <w:t>A</w:t>
            </w:r>
          </w:p>
        </w:tc>
        <w:tc>
          <w:tcPr>
            <w:tcW w:w="1135" w:type="dxa"/>
            <w:vAlign w:val="center"/>
          </w:tcPr>
          <w:p w:rsidR="00E73D82" w:rsidRDefault="008F76C8">
            <w:pPr>
              <w:jc w:val="center"/>
            </w:pPr>
            <w:r>
              <w:rPr>
                <w:sz w:val="24"/>
              </w:rPr>
              <w:t>契约型开放式</w:t>
            </w:r>
          </w:p>
        </w:tc>
        <w:tc>
          <w:tcPr>
            <w:tcW w:w="1133" w:type="dxa"/>
            <w:vAlign w:val="center"/>
          </w:tcPr>
          <w:p w:rsidR="00E73D82" w:rsidRDefault="008F76C8">
            <w:pPr>
              <w:jc w:val="center"/>
            </w:pPr>
            <w:r>
              <w:rPr>
                <w:sz w:val="24"/>
              </w:rPr>
              <w:t>1,158,907.87</w:t>
            </w:r>
          </w:p>
        </w:tc>
        <w:tc>
          <w:tcPr>
            <w:tcW w:w="1276" w:type="dxa"/>
            <w:vAlign w:val="center"/>
          </w:tcPr>
          <w:p w:rsidR="00E73D82" w:rsidRDefault="008F76C8">
            <w:pPr>
              <w:jc w:val="center"/>
            </w:pPr>
            <w:r>
              <w:rPr>
                <w:sz w:val="24"/>
              </w:rPr>
              <w:t>1,496,034.17</w:t>
            </w:r>
          </w:p>
        </w:tc>
        <w:tc>
          <w:tcPr>
            <w:tcW w:w="1135" w:type="dxa"/>
            <w:vAlign w:val="center"/>
          </w:tcPr>
          <w:p w:rsidR="00E73D82" w:rsidRDefault="008F76C8">
            <w:pPr>
              <w:jc w:val="center"/>
            </w:pPr>
            <w:r>
              <w:rPr>
                <w:sz w:val="24"/>
              </w:rPr>
              <w:t>4.10%</w:t>
            </w:r>
          </w:p>
        </w:tc>
        <w:tc>
          <w:tcPr>
            <w:tcW w:w="1272" w:type="dxa"/>
            <w:vAlign w:val="center"/>
          </w:tcPr>
          <w:p w:rsidR="00E73D82" w:rsidRDefault="008F76C8">
            <w:pPr>
              <w:jc w:val="center"/>
            </w:pPr>
            <w:r>
              <w:rPr>
                <w:sz w:val="24"/>
              </w:rPr>
              <w:t>否</w:t>
            </w:r>
          </w:p>
        </w:tc>
      </w:tr>
      <w:tr w:rsidR="00E73D82">
        <w:tc>
          <w:tcPr>
            <w:tcW w:w="817" w:type="dxa"/>
            <w:vAlign w:val="center"/>
          </w:tcPr>
          <w:p w:rsidR="00E73D82" w:rsidRDefault="008F76C8">
            <w:pPr>
              <w:jc w:val="center"/>
            </w:pPr>
            <w:r>
              <w:rPr>
                <w:sz w:val="24"/>
              </w:rPr>
              <w:t>8</w:t>
            </w:r>
          </w:p>
        </w:tc>
        <w:tc>
          <w:tcPr>
            <w:tcW w:w="1133" w:type="dxa"/>
            <w:vAlign w:val="center"/>
          </w:tcPr>
          <w:p w:rsidR="00E73D82" w:rsidRDefault="008F76C8">
            <w:pPr>
              <w:jc w:val="center"/>
            </w:pPr>
            <w:r>
              <w:rPr>
                <w:sz w:val="24"/>
              </w:rPr>
              <w:t>100018</w:t>
            </w:r>
          </w:p>
        </w:tc>
        <w:tc>
          <w:tcPr>
            <w:tcW w:w="1135" w:type="dxa"/>
            <w:vAlign w:val="center"/>
          </w:tcPr>
          <w:p w:rsidR="00E73D82" w:rsidRDefault="008F76C8">
            <w:pPr>
              <w:jc w:val="center"/>
            </w:pPr>
            <w:r>
              <w:rPr>
                <w:sz w:val="24"/>
              </w:rPr>
              <w:t>富国天利增长债券</w:t>
            </w:r>
            <w:r>
              <w:rPr>
                <w:sz w:val="24"/>
              </w:rPr>
              <w:t>A/B</w:t>
            </w:r>
          </w:p>
        </w:tc>
        <w:tc>
          <w:tcPr>
            <w:tcW w:w="1135" w:type="dxa"/>
            <w:vAlign w:val="center"/>
          </w:tcPr>
          <w:p w:rsidR="00E73D82" w:rsidRDefault="008F76C8">
            <w:pPr>
              <w:jc w:val="center"/>
            </w:pPr>
            <w:r>
              <w:rPr>
                <w:sz w:val="24"/>
              </w:rPr>
              <w:t>契约型开放式</w:t>
            </w:r>
          </w:p>
        </w:tc>
        <w:tc>
          <w:tcPr>
            <w:tcW w:w="1133" w:type="dxa"/>
            <w:vAlign w:val="center"/>
          </w:tcPr>
          <w:p w:rsidR="00E73D82" w:rsidRDefault="008F76C8">
            <w:pPr>
              <w:jc w:val="center"/>
            </w:pPr>
            <w:r>
              <w:rPr>
                <w:sz w:val="24"/>
              </w:rPr>
              <w:t>1,082,589.63</w:t>
            </w:r>
          </w:p>
        </w:tc>
        <w:tc>
          <w:tcPr>
            <w:tcW w:w="1276" w:type="dxa"/>
            <w:vAlign w:val="center"/>
          </w:tcPr>
          <w:p w:rsidR="00E73D82" w:rsidRDefault="008F76C8">
            <w:pPr>
              <w:jc w:val="center"/>
            </w:pPr>
            <w:r>
              <w:rPr>
                <w:sz w:val="24"/>
              </w:rPr>
              <w:t>1,452,727.02</w:t>
            </w:r>
          </w:p>
        </w:tc>
        <w:tc>
          <w:tcPr>
            <w:tcW w:w="1135" w:type="dxa"/>
            <w:vAlign w:val="center"/>
          </w:tcPr>
          <w:p w:rsidR="00E73D82" w:rsidRDefault="008F76C8">
            <w:pPr>
              <w:jc w:val="center"/>
            </w:pPr>
            <w:r>
              <w:rPr>
                <w:sz w:val="24"/>
              </w:rPr>
              <w:t>3.98%</w:t>
            </w:r>
          </w:p>
        </w:tc>
        <w:tc>
          <w:tcPr>
            <w:tcW w:w="1272" w:type="dxa"/>
            <w:vAlign w:val="center"/>
          </w:tcPr>
          <w:p w:rsidR="00E73D82" w:rsidRDefault="008F76C8">
            <w:pPr>
              <w:jc w:val="center"/>
            </w:pPr>
            <w:r>
              <w:rPr>
                <w:sz w:val="24"/>
              </w:rPr>
              <w:t>否</w:t>
            </w:r>
          </w:p>
        </w:tc>
      </w:tr>
      <w:tr w:rsidR="00E73D82">
        <w:tc>
          <w:tcPr>
            <w:tcW w:w="817" w:type="dxa"/>
            <w:vAlign w:val="center"/>
          </w:tcPr>
          <w:p w:rsidR="00E73D82" w:rsidRDefault="008F76C8">
            <w:pPr>
              <w:jc w:val="center"/>
            </w:pPr>
            <w:r>
              <w:rPr>
                <w:sz w:val="24"/>
              </w:rPr>
              <w:t>9</w:t>
            </w:r>
          </w:p>
        </w:tc>
        <w:tc>
          <w:tcPr>
            <w:tcW w:w="1133" w:type="dxa"/>
            <w:vAlign w:val="center"/>
          </w:tcPr>
          <w:p w:rsidR="00E73D82" w:rsidRDefault="008F76C8">
            <w:pPr>
              <w:jc w:val="center"/>
            </w:pPr>
            <w:r>
              <w:rPr>
                <w:sz w:val="24"/>
              </w:rPr>
              <w:t>000385</w:t>
            </w:r>
          </w:p>
        </w:tc>
        <w:tc>
          <w:tcPr>
            <w:tcW w:w="1135" w:type="dxa"/>
            <w:vAlign w:val="center"/>
          </w:tcPr>
          <w:p w:rsidR="00E73D82" w:rsidRDefault="008F76C8">
            <w:pPr>
              <w:jc w:val="center"/>
            </w:pPr>
            <w:r>
              <w:rPr>
                <w:sz w:val="24"/>
              </w:rPr>
              <w:t>景顺长</w:t>
            </w:r>
            <w:r>
              <w:rPr>
                <w:sz w:val="24"/>
              </w:rPr>
              <w:lastRenderedPageBreak/>
              <w:t>城景颐双利债券</w:t>
            </w:r>
            <w:r>
              <w:rPr>
                <w:sz w:val="24"/>
              </w:rPr>
              <w:t>A</w:t>
            </w:r>
            <w:r>
              <w:rPr>
                <w:sz w:val="24"/>
              </w:rPr>
              <w:t>类</w:t>
            </w:r>
          </w:p>
        </w:tc>
        <w:tc>
          <w:tcPr>
            <w:tcW w:w="1135" w:type="dxa"/>
            <w:vAlign w:val="center"/>
          </w:tcPr>
          <w:p w:rsidR="00E73D82" w:rsidRDefault="008F76C8">
            <w:pPr>
              <w:jc w:val="center"/>
            </w:pPr>
            <w:r>
              <w:rPr>
                <w:sz w:val="24"/>
              </w:rPr>
              <w:lastRenderedPageBreak/>
              <w:t>契约型</w:t>
            </w:r>
            <w:r>
              <w:rPr>
                <w:sz w:val="24"/>
              </w:rPr>
              <w:lastRenderedPageBreak/>
              <w:t>开放式</w:t>
            </w:r>
          </w:p>
        </w:tc>
        <w:tc>
          <w:tcPr>
            <w:tcW w:w="1133" w:type="dxa"/>
            <w:vAlign w:val="center"/>
          </w:tcPr>
          <w:p w:rsidR="00E73D82" w:rsidRDefault="008F76C8">
            <w:pPr>
              <w:jc w:val="center"/>
            </w:pPr>
            <w:r>
              <w:rPr>
                <w:sz w:val="24"/>
              </w:rPr>
              <w:lastRenderedPageBreak/>
              <w:t>873,183.</w:t>
            </w:r>
            <w:r>
              <w:rPr>
                <w:sz w:val="24"/>
              </w:rPr>
              <w:lastRenderedPageBreak/>
              <w:t>80</w:t>
            </w:r>
          </w:p>
        </w:tc>
        <w:tc>
          <w:tcPr>
            <w:tcW w:w="1276" w:type="dxa"/>
            <w:vAlign w:val="center"/>
          </w:tcPr>
          <w:p w:rsidR="00E73D82" w:rsidRDefault="008F76C8">
            <w:pPr>
              <w:jc w:val="center"/>
            </w:pPr>
            <w:r>
              <w:rPr>
                <w:sz w:val="24"/>
              </w:rPr>
              <w:lastRenderedPageBreak/>
              <w:t>1,440,753.</w:t>
            </w:r>
            <w:r>
              <w:rPr>
                <w:sz w:val="24"/>
              </w:rPr>
              <w:lastRenderedPageBreak/>
              <w:t>27</w:t>
            </w:r>
          </w:p>
        </w:tc>
        <w:tc>
          <w:tcPr>
            <w:tcW w:w="1135" w:type="dxa"/>
            <w:vAlign w:val="center"/>
          </w:tcPr>
          <w:p w:rsidR="00E73D82" w:rsidRDefault="008F76C8">
            <w:pPr>
              <w:jc w:val="center"/>
            </w:pPr>
            <w:r>
              <w:rPr>
                <w:sz w:val="24"/>
              </w:rPr>
              <w:lastRenderedPageBreak/>
              <w:t>3.95%</w:t>
            </w:r>
          </w:p>
        </w:tc>
        <w:tc>
          <w:tcPr>
            <w:tcW w:w="1272" w:type="dxa"/>
            <w:vAlign w:val="center"/>
          </w:tcPr>
          <w:p w:rsidR="00E73D82" w:rsidRDefault="008F76C8">
            <w:pPr>
              <w:jc w:val="center"/>
            </w:pPr>
            <w:r>
              <w:rPr>
                <w:sz w:val="24"/>
              </w:rPr>
              <w:t>否</w:t>
            </w:r>
          </w:p>
        </w:tc>
      </w:tr>
      <w:tr w:rsidR="00E73D82">
        <w:tc>
          <w:tcPr>
            <w:tcW w:w="817" w:type="dxa"/>
            <w:vAlign w:val="center"/>
          </w:tcPr>
          <w:p w:rsidR="00E73D82" w:rsidRDefault="008F76C8">
            <w:pPr>
              <w:jc w:val="center"/>
            </w:pPr>
            <w:r>
              <w:rPr>
                <w:sz w:val="24"/>
              </w:rPr>
              <w:t>10</w:t>
            </w:r>
          </w:p>
        </w:tc>
        <w:tc>
          <w:tcPr>
            <w:tcW w:w="1133" w:type="dxa"/>
            <w:vAlign w:val="center"/>
          </w:tcPr>
          <w:p w:rsidR="00E73D82" w:rsidRDefault="008F76C8">
            <w:pPr>
              <w:jc w:val="center"/>
            </w:pPr>
            <w:r>
              <w:rPr>
                <w:sz w:val="24"/>
              </w:rPr>
              <w:t>003258</w:t>
            </w:r>
          </w:p>
        </w:tc>
        <w:tc>
          <w:tcPr>
            <w:tcW w:w="1135" w:type="dxa"/>
            <w:vAlign w:val="center"/>
          </w:tcPr>
          <w:p w:rsidR="00E73D82" w:rsidRDefault="008F76C8">
            <w:pPr>
              <w:jc w:val="center"/>
            </w:pPr>
            <w:r>
              <w:rPr>
                <w:sz w:val="24"/>
              </w:rPr>
              <w:t>博时富祥纯债债券</w:t>
            </w:r>
            <w:r>
              <w:rPr>
                <w:sz w:val="24"/>
              </w:rPr>
              <w:t>A</w:t>
            </w:r>
          </w:p>
        </w:tc>
        <w:tc>
          <w:tcPr>
            <w:tcW w:w="1135" w:type="dxa"/>
            <w:vAlign w:val="center"/>
          </w:tcPr>
          <w:p w:rsidR="00E73D82" w:rsidRDefault="008F76C8">
            <w:pPr>
              <w:jc w:val="center"/>
            </w:pPr>
            <w:r>
              <w:rPr>
                <w:sz w:val="24"/>
              </w:rPr>
              <w:t>契约型开放式</w:t>
            </w:r>
          </w:p>
        </w:tc>
        <w:tc>
          <w:tcPr>
            <w:tcW w:w="1133" w:type="dxa"/>
            <w:vAlign w:val="center"/>
          </w:tcPr>
          <w:p w:rsidR="00E73D82" w:rsidRDefault="008F76C8">
            <w:pPr>
              <w:jc w:val="center"/>
            </w:pPr>
            <w:r>
              <w:rPr>
                <w:sz w:val="24"/>
              </w:rPr>
              <w:t>1,126,067.61</w:t>
            </w:r>
          </w:p>
        </w:tc>
        <w:tc>
          <w:tcPr>
            <w:tcW w:w="1276" w:type="dxa"/>
            <w:vAlign w:val="center"/>
          </w:tcPr>
          <w:p w:rsidR="00E73D82" w:rsidRDefault="008F76C8">
            <w:pPr>
              <w:jc w:val="center"/>
            </w:pPr>
            <w:r>
              <w:rPr>
                <w:sz w:val="24"/>
              </w:rPr>
              <w:t>1,203,428.45</w:t>
            </w:r>
          </w:p>
        </w:tc>
        <w:tc>
          <w:tcPr>
            <w:tcW w:w="1135" w:type="dxa"/>
            <w:vAlign w:val="center"/>
          </w:tcPr>
          <w:p w:rsidR="00E73D82" w:rsidRDefault="008F76C8">
            <w:pPr>
              <w:jc w:val="center"/>
            </w:pPr>
            <w:r>
              <w:rPr>
                <w:sz w:val="24"/>
              </w:rPr>
              <w:t>3.30%</w:t>
            </w:r>
          </w:p>
        </w:tc>
        <w:tc>
          <w:tcPr>
            <w:tcW w:w="1272" w:type="dxa"/>
            <w:vAlign w:val="center"/>
          </w:tcPr>
          <w:p w:rsidR="00E73D82" w:rsidRDefault="008F76C8">
            <w:pPr>
              <w:jc w:val="center"/>
            </w:pPr>
            <w:r>
              <w:rPr>
                <w:sz w:val="24"/>
              </w:rPr>
              <w:t>否</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tbl>
      <w:tblPr>
        <w:tblStyle w:val="afa"/>
        <w:tblW w:w="0" w:type="auto"/>
        <w:tblLayout w:type="fixed"/>
        <w:tblLook w:val="04A0" w:firstRow="1" w:lastRow="0" w:firstColumn="1" w:lastColumn="0" w:noHBand="0" w:noVBand="1"/>
      </w:tblPr>
      <w:tblGrid>
        <w:gridCol w:w="3012"/>
        <w:gridCol w:w="3012"/>
        <w:gridCol w:w="3012"/>
      </w:tblGrid>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jc w:val="center"/>
              <w:rPr>
                <w:rFonts w:eastAsiaTheme="minorEastAsia"/>
                <w:color w:val="000000" w:themeColor="text1"/>
                <w:sz w:val="24"/>
              </w:rPr>
            </w:pPr>
            <w:r w:rsidRPr="00575270">
              <w:rPr>
                <w:sz w:val="24"/>
              </w:rPr>
              <w:t>项目</w:t>
            </w:r>
          </w:p>
        </w:tc>
        <w:tc>
          <w:tcPr>
            <w:tcW w:w="3012" w:type="dxa"/>
            <w:vAlign w:val="center"/>
          </w:tcPr>
          <w:p w:rsidR="00C45886" w:rsidRPr="00575270" w:rsidRDefault="00C45886" w:rsidP="00342FE7">
            <w:pPr>
              <w:spacing w:line="276" w:lineRule="auto"/>
              <w:jc w:val="center"/>
              <w:rPr>
                <w:sz w:val="24"/>
              </w:rPr>
            </w:pPr>
            <w:r w:rsidRPr="00575270">
              <w:rPr>
                <w:sz w:val="24"/>
              </w:rPr>
              <w:t>本期费用</w:t>
            </w:r>
          </w:p>
        </w:tc>
        <w:tc>
          <w:tcPr>
            <w:tcW w:w="3012" w:type="dxa"/>
            <w:vAlign w:val="center"/>
          </w:tcPr>
          <w:p w:rsidR="00C45886" w:rsidRPr="00575270" w:rsidRDefault="00C45886" w:rsidP="00342FE7">
            <w:pPr>
              <w:spacing w:line="276" w:lineRule="auto"/>
              <w:jc w:val="center"/>
              <w:rPr>
                <w:sz w:val="24"/>
              </w:rPr>
            </w:pPr>
            <w:r w:rsidRPr="00575270">
              <w:rPr>
                <w:sz w:val="24"/>
              </w:rPr>
              <w:t>其中：交易及持有基金管理人以及管理人关联方所管理基金产生的费用</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当期交易基金产生的申购费</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8.00</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当期交易基金产生的赎回费（元）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4,603.38</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当期持有基金产生的应支付销售服务费（元）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3,221.29</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5.46</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当期持有基金产生的应支付管理费（元）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59,022.43</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9,976.52</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当期持有基金产生的应支付托管费（元）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12,890.30</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972.20</w:t>
            </w:r>
          </w:p>
        </w:tc>
      </w:tr>
      <w:tr w:rsidR="00E73D82">
        <w:tc>
          <w:tcPr>
            <w:tcW w:w="3012" w:type="dxa"/>
            <w:vAlign w:val="center"/>
          </w:tcPr>
          <w:p w:rsidR="00E73D82" w:rsidRDefault="008F76C8">
            <w:pPr>
              <w:jc w:val="left"/>
            </w:pPr>
            <w:r>
              <w:rPr>
                <w:rFonts w:eastAsiaTheme="minorEastAsia"/>
                <w:color w:val="000000" w:themeColor="text1"/>
                <w:sz w:val="24"/>
              </w:rPr>
              <w:t>当期交易基金产生的交易费（元）</w:t>
            </w:r>
          </w:p>
        </w:tc>
        <w:tc>
          <w:tcPr>
            <w:tcW w:w="3012" w:type="dxa"/>
            <w:vAlign w:val="center"/>
          </w:tcPr>
          <w:p w:rsidR="00E73D82" w:rsidRDefault="008F76C8">
            <w:pPr>
              <w:jc w:val="right"/>
            </w:pPr>
            <w:r>
              <w:rPr>
                <w:rFonts w:eastAsiaTheme="minorEastAsia"/>
                <w:color w:val="000000" w:themeColor="text1"/>
                <w:sz w:val="24"/>
              </w:rPr>
              <w:t>151.48</w:t>
            </w:r>
          </w:p>
        </w:tc>
        <w:tc>
          <w:tcPr>
            <w:tcW w:w="3012" w:type="dxa"/>
            <w:vAlign w:val="center"/>
          </w:tcPr>
          <w:p w:rsidR="00E73D82" w:rsidRDefault="008F76C8">
            <w:pPr>
              <w:jc w:val="right"/>
            </w:pPr>
            <w:r>
              <w:rPr>
                <w:rFonts w:eastAsiaTheme="minorEastAsia"/>
                <w:color w:val="000000" w:themeColor="text1"/>
                <w:sz w:val="24"/>
              </w:rPr>
              <w:t>4.48</w:t>
            </w:r>
          </w:p>
        </w:tc>
      </w:tr>
      <w:tr w:rsidR="00E73D82">
        <w:tc>
          <w:tcPr>
            <w:tcW w:w="3012" w:type="dxa"/>
            <w:vAlign w:val="center"/>
          </w:tcPr>
          <w:p w:rsidR="00E73D82" w:rsidRDefault="008F76C8">
            <w:pPr>
              <w:jc w:val="left"/>
            </w:pPr>
            <w:r>
              <w:rPr>
                <w:rFonts w:eastAsiaTheme="minorEastAsia"/>
                <w:color w:val="000000" w:themeColor="text1"/>
                <w:sz w:val="24"/>
              </w:rPr>
              <w:t>当期交易基金产生的转换费（元）</w:t>
            </w:r>
          </w:p>
        </w:tc>
        <w:tc>
          <w:tcPr>
            <w:tcW w:w="3012" w:type="dxa"/>
            <w:vAlign w:val="center"/>
          </w:tcPr>
          <w:p w:rsidR="00E73D82" w:rsidRDefault="008F76C8">
            <w:pPr>
              <w:jc w:val="right"/>
            </w:pPr>
            <w:r>
              <w:rPr>
                <w:rFonts w:eastAsiaTheme="minorEastAsia"/>
                <w:color w:val="000000" w:themeColor="text1"/>
                <w:sz w:val="24"/>
              </w:rPr>
              <w:t>4,891.63</w:t>
            </w:r>
          </w:p>
        </w:tc>
        <w:tc>
          <w:tcPr>
            <w:tcW w:w="3012" w:type="dxa"/>
            <w:vAlign w:val="center"/>
          </w:tcPr>
          <w:p w:rsidR="00E73D82" w:rsidRDefault="008F76C8">
            <w:pPr>
              <w:jc w:val="right"/>
            </w:pPr>
            <w:r>
              <w:rPr>
                <w:rFonts w:eastAsiaTheme="minorEastAsia"/>
                <w:color w:val="000000" w:themeColor="text1"/>
                <w:sz w:val="24"/>
              </w:rPr>
              <w:t>-</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6.3</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本报告期持有的基金发生的重大影响事件</w:t>
      </w:r>
    </w:p>
    <w:p w:rsidR="00C45886" w:rsidRPr="00575270" w:rsidRDefault="00C45886" w:rsidP="00C45886">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hint="eastAsia"/>
          <w:color w:val="000000" w:themeColor="text1"/>
          <w:sz w:val="24"/>
        </w:rPr>
        <w:t>无。</w:t>
      </w:r>
    </w:p>
    <w:p w:rsidR="005E6DF3" w:rsidRPr="00C45886" w:rsidRDefault="005E6DF3">
      <w:pPr>
        <w:spacing w:line="360" w:lineRule="auto"/>
        <w:ind w:firstLineChars="200" w:firstLine="420"/>
        <w:rPr>
          <w:rFonts w:eastAsiaTheme="minorEastAsia"/>
          <w:color w:val="000000" w:themeColor="text1"/>
          <w:szCs w:val="21"/>
        </w:rPr>
      </w:pPr>
    </w:p>
    <w:p w:rsidR="005E6DF3" w:rsidRPr="00B27A29" w:rsidRDefault="00C45886">
      <w:pPr>
        <w:pStyle w:val="1"/>
        <w:spacing w:beforeLines="100" w:before="312" w:afterLines="100" w:after="312" w:line="360" w:lineRule="auto"/>
        <w:jc w:val="center"/>
        <w:rPr>
          <w:rFonts w:eastAsiaTheme="minorEastAsia"/>
          <w:color w:val="000000" w:themeColor="text1"/>
          <w:kern w:val="0"/>
          <w:sz w:val="21"/>
          <w:szCs w:val="21"/>
        </w:rPr>
      </w:pPr>
      <w:r w:rsidRPr="005A3D62">
        <w:rPr>
          <w:rFonts w:eastAsiaTheme="minorEastAsia"/>
          <w:color w:val="000000" w:themeColor="text1"/>
          <w:kern w:val="0"/>
          <w:sz w:val="24"/>
          <w:szCs w:val="24"/>
        </w:rPr>
        <w:t>§7</w:t>
      </w:r>
      <w:r w:rsidR="005C671B" w:rsidRPr="00B27A29">
        <w:rPr>
          <w:rFonts w:eastAsiaTheme="minorEastAsia"/>
          <w:color w:val="000000" w:themeColor="text1"/>
          <w:kern w:val="0"/>
          <w:sz w:val="21"/>
          <w:szCs w:val="21"/>
        </w:rPr>
        <w:t xml:space="preserve">  </w:t>
      </w:r>
      <w:r w:rsidR="005C671B"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(FOF)Y</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33,448,312.59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6,613,822.49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34,132.20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241,234.47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4,127,434.73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216,611.61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29,355,010.06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6,638,445.35</w:t>
            </w:r>
          </w:p>
        </w:tc>
      </w:tr>
    </w:tbl>
    <w:p w:rsidR="005E6DF3" w:rsidRPr="00B27A29" w:rsidRDefault="00C45886">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w:t>
      </w:r>
      <w:r w:rsidR="005C671B" w:rsidRPr="00B27A29">
        <w:rPr>
          <w:rFonts w:eastAsiaTheme="minorEastAsia"/>
          <w:color w:val="000000" w:themeColor="text1"/>
          <w:kern w:val="0"/>
          <w:sz w:val="21"/>
          <w:szCs w:val="21"/>
        </w:rPr>
        <w:t>8</w:t>
      </w:r>
      <w:r w:rsidR="00916691">
        <w:rPr>
          <w:rFonts w:eastAsiaTheme="minorEastAsia"/>
          <w:color w:val="000000" w:themeColor="text1"/>
          <w:kern w:val="0"/>
          <w:sz w:val="21"/>
          <w:szCs w:val="21"/>
        </w:rPr>
        <w:t xml:space="preserve">  </w:t>
      </w:r>
      <w:r w:rsidR="005C671B"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8.1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8.2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00916691">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E73D82" w:rsidRDefault="008F76C8">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（一）中国证监会准予本基金募集注册的文件</w:t>
      </w:r>
    </w:p>
    <w:p w:rsidR="00E73D82" w:rsidRDefault="008F76C8">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（二）摩根锦程稳健养老目标一年持有期混合型基金中基金</w:t>
      </w:r>
      <w:r>
        <w:rPr>
          <w:rFonts w:eastAsiaTheme="minorEastAsia"/>
          <w:color w:val="000000" w:themeColor="text1"/>
          <w:szCs w:val="21"/>
        </w:rPr>
        <w:t>(FOF)</w:t>
      </w:r>
      <w:r>
        <w:rPr>
          <w:rFonts w:eastAsiaTheme="minorEastAsia"/>
          <w:color w:val="000000" w:themeColor="text1"/>
          <w:szCs w:val="21"/>
        </w:rPr>
        <w:t>基金合同</w:t>
      </w:r>
    </w:p>
    <w:p w:rsidR="00E73D82" w:rsidRDefault="008F76C8">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（三）摩根锦程稳健养老目标一年持有期混合型基金中基金</w:t>
      </w:r>
      <w:r>
        <w:rPr>
          <w:rFonts w:eastAsiaTheme="minorEastAsia"/>
          <w:color w:val="000000" w:themeColor="text1"/>
          <w:szCs w:val="21"/>
        </w:rPr>
        <w:t>(FOF)</w:t>
      </w:r>
      <w:r>
        <w:rPr>
          <w:rFonts w:eastAsiaTheme="minorEastAsia"/>
          <w:color w:val="000000" w:themeColor="text1"/>
          <w:szCs w:val="21"/>
        </w:rPr>
        <w:t>托管协议</w:t>
      </w:r>
    </w:p>
    <w:p w:rsidR="00E73D82" w:rsidRDefault="008F76C8">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E73D82" w:rsidRDefault="008F76C8">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E73D82" w:rsidRDefault="008F76C8">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E73D82" w:rsidRDefault="008F76C8">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1A" w:rsidRDefault="00045D1A">
      <w:r>
        <w:separator/>
      </w:r>
    </w:p>
  </w:endnote>
  <w:endnote w:type="continuationSeparator" w:id="0">
    <w:p w:rsidR="00045D1A" w:rsidRDefault="0004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F76C8">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F76C8">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F76C8">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1A" w:rsidRDefault="00045D1A">
      <w:r>
        <w:separator/>
      </w:r>
    </w:p>
  </w:footnote>
  <w:footnote w:type="continuationSeparator" w:id="0">
    <w:p w:rsidR="00045D1A" w:rsidRDefault="0004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摩根锦程稳健养老目标一年持有期混合型基金中基金</w:t>
    </w:r>
    <w:r>
      <w:t>(FOF)2024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5D1A"/>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0AC2"/>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2C8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36AE"/>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4F4B"/>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6C8"/>
    <w:rsid w:val="008F7763"/>
    <w:rsid w:val="009007CB"/>
    <w:rsid w:val="009010F0"/>
    <w:rsid w:val="00901162"/>
    <w:rsid w:val="00901D46"/>
    <w:rsid w:val="009020F1"/>
    <w:rsid w:val="009028E2"/>
    <w:rsid w:val="00903692"/>
    <w:rsid w:val="00904E07"/>
    <w:rsid w:val="00912BAF"/>
    <w:rsid w:val="0091311E"/>
    <w:rsid w:val="00914EAB"/>
    <w:rsid w:val="0091541F"/>
    <w:rsid w:val="00916691"/>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1100"/>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623C"/>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45886"/>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448"/>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49A"/>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2EB"/>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3D82"/>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FA92A4-FF64-4EA3-A533-27E0F9E7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35</TotalTime>
  <Pages>16</Pages>
  <Words>1327</Words>
  <Characters>7570</Characters>
  <Application>Microsoft Office Word</Application>
  <DocSecurity>0</DocSecurity>
  <Lines>63</Lines>
  <Paragraphs>17</Paragraphs>
  <ScaleCrop>false</ScaleCrop>
  <Company>TRT. Ltd. Co.</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Niki.Jiang@GMC</cp:lastModifiedBy>
  <cp:revision>226</cp:revision>
  <cp:lastPrinted>2007-07-19T00:46:00Z</cp:lastPrinted>
  <dcterms:created xsi:type="dcterms:W3CDTF">2013-06-21T06:56:00Z</dcterms:created>
  <dcterms:modified xsi:type="dcterms:W3CDTF">2024-07-18T01:39:00Z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