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476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E81558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2BAA90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DF2757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991117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D5928F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摩根锦程稳健养老目标一年持有期混合型基金中基金</w:t>
      </w:r>
      <w:r w:rsidRPr="00B27A29">
        <w:rPr>
          <w:rFonts w:eastAsiaTheme="minorEastAsia"/>
          <w:b/>
          <w:color w:val="000000" w:themeColor="text1"/>
          <w:sz w:val="36"/>
          <w:szCs w:val="36"/>
        </w:rPr>
        <w:t>(FOF)</w:t>
      </w:r>
    </w:p>
    <w:p w14:paraId="7085D1C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58CD28F7"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51A960C6" w14:textId="77777777" w:rsidR="005E6DF3" w:rsidRPr="00B27A29" w:rsidRDefault="005E6DF3">
      <w:pPr>
        <w:spacing w:line="360" w:lineRule="auto"/>
        <w:jc w:val="center"/>
        <w:rPr>
          <w:rFonts w:eastAsiaTheme="minorEastAsia"/>
          <w:b/>
          <w:color w:val="000000" w:themeColor="text1"/>
          <w:szCs w:val="21"/>
        </w:rPr>
      </w:pPr>
    </w:p>
    <w:p w14:paraId="69F26BFC" w14:textId="77777777" w:rsidR="005E6DF3" w:rsidRPr="00B27A29" w:rsidRDefault="005E6DF3">
      <w:pPr>
        <w:spacing w:line="360" w:lineRule="auto"/>
        <w:jc w:val="center"/>
        <w:rPr>
          <w:rFonts w:eastAsiaTheme="minorEastAsia"/>
          <w:b/>
          <w:color w:val="000000" w:themeColor="text1"/>
          <w:szCs w:val="21"/>
        </w:rPr>
      </w:pPr>
    </w:p>
    <w:p w14:paraId="14259D82" w14:textId="77777777" w:rsidR="005E6DF3" w:rsidRPr="00B27A29" w:rsidRDefault="005E6DF3">
      <w:pPr>
        <w:spacing w:line="360" w:lineRule="auto"/>
        <w:jc w:val="center"/>
        <w:rPr>
          <w:rFonts w:eastAsiaTheme="minorEastAsia"/>
          <w:b/>
          <w:color w:val="000000" w:themeColor="text1"/>
          <w:szCs w:val="21"/>
        </w:rPr>
      </w:pPr>
    </w:p>
    <w:p w14:paraId="02183A7B" w14:textId="77777777" w:rsidR="005E6DF3" w:rsidRPr="00B27A29" w:rsidRDefault="005E6DF3">
      <w:pPr>
        <w:spacing w:line="360" w:lineRule="auto"/>
        <w:jc w:val="center"/>
        <w:rPr>
          <w:rFonts w:eastAsiaTheme="minorEastAsia"/>
          <w:b/>
          <w:color w:val="000000" w:themeColor="text1"/>
          <w:szCs w:val="21"/>
        </w:rPr>
      </w:pPr>
    </w:p>
    <w:p w14:paraId="76882146" w14:textId="77777777" w:rsidR="005E6DF3" w:rsidRPr="00B27A29" w:rsidRDefault="005E6DF3">
      <w:pPr>
        <w:spacing w:line="360" w:lineRule="auto"/>
        <w:jc w:val="center"/>
        <w:rPr>
          <w:rFonts w:eastAsiaTheme="minorEastAsia"/>
          <w:b/>
          <w:color w:val="000000" w:themeColor="text1"/>
          <w:szCs w:val="21"/>
        </w:rPr>
      </w:pPr>
    </w:p>
    <w:p w14:paraId="5F717B28" w14:textId="77777777" w:rsidR="005E6DF3" w:rsidRPr="00B27A29" w:rsidRDefault="005E6DF3">
      <w:pPr>
        <w:spacing w:line="360" w:lineRule="auto"/>
        <w:jc w:val="center"/>
        <w:rPr>
          <w:rFonts w:eastAsiaTheme="minorEastAsia"/>
          <w:b/>
          <w:color w:val="000000" w:themeColor="text1"/>
          <w:szCs w:val="21"/>
        </w:rPr>
      </w:pPr>
    </w:p>
    <w:p w14:paraId="1F8EA0B3" w14:textId="77777777" w:rsidR="005E6DF3" w:rsidRPr="00B27A29" w:rsidRDefault="005E6DF3">
      <w:pPr>
        <w:spacing w:line="360" w:lineRule="auto"/>
        <w:jc w:val="center"/>
        <w:rPr>
          <w:rFonts w:eastAsiaTheme="minorEastAsia"/>
          <w:b/>
          <w:color w:val="000000" w:themeColor="text1"/>
          <w:szCs w:val="21"/>
        </w:rPr>
      </w:pPr>
    </w:p>
    <w:p w14:paraId="3DB7AD79" w14:textId="77777777" w:rsidR="005E6DF3" w:rsidRPr="00B27A29" w:rsidRDefault="005E6DF3">
      <w:pPr>
        <w:spacing w:line="360" w:lineRule="auto"/>
        <w:jc w:val="center"/>
        <w:rPr>
          <w:rFonts w:eastAsiaTheme="minorEastAsia"/>
          <w:b/>
          <w:color w:val="000000" w:themeColor="text1"/>
          <w:szCs w:val="21"/>
        </w:rPr>
      </w:pPr>
    </w:p>
    <w:p w14:paraId="4A86C882" w14:textId="77777777" w:rsidR="005E6DF3" w:rsidRPr="00B27A29" w:rsidRDefault="005E6DF3">
      <w:pPr>
        <w:spacing w:line="360" w:lineRule="auto"/>
        <w:jc w:val="center"/>
        <w:rPr>
          <w:rFonts w:eastAsiaTheme="minorEastAsia"/>
          <w:b/>
          <w:color w:val="000000" w:themeColor="text1"/>
          <w:szCs w:val="21"/>
        </w:rPr>
      </w:pPr>
    </w:p>
    <w:p w14:paraId="2FC6FCFE" w14:textId="77777777" w:rsidR="005E6DF3" w:rsidRPr="00B27A29" w:rsidRDefault="005E6DF3">
      <w:pPr>
        <w:spacing w:line="360" w:lineRule="auto"/>
        <w:jc w:val="center"/>
        <w:rPr>
          <w:rFonts w:eastAsiaTheme="minorEastAsia"/>
          <w:b/>
          <w:color w:val="000000" w:themeColor="text1"/>
          <w:szCs w:val="21"/>
        </w:rPr>
      </w:pPr>
    </w:p>
    <w:p w14:paraId="7FE466F9" w14:textId="77777777" w:rsidR="005E6DF3" w:rsidRPr="00B27A29" w:rsidRDefault="005E6DF3">
      <w:pPr>
        <w:spacing w:line="360" w:lineRule="auto"/>
        <w:jc w:val="center"/>
        <w:rPr>
          <w:rFonts w:eastAsiaTheme="minorEastAsia"/>
          <w:b/>
          <w:color w:val="000000" w:themeColor="text1"/>
          <w:szCs w:val="21"/>
        </w:rPr>
      </w:pPr>
    </w:p>
    <w:p w14:paraId="784F6254" w14:textId="77777777" w:rsidR="005E6DF3" w:rsidRPr="00B27A29" w:rsidRDefault="005E6DF3">
      <w:pPr>
        <w:spacing w:line="360" w:lineRule="auto"/>
        <w:jc w:val="center"/>
        <w:rPr>
          <w:rFonts w:eastAsiaTheme="minorEastAsia"/>
          <w:b/>
          <w:color w:val="000000" w:themeColor="text1"/>
          <w:szCs w:val="21"/>
        </w:rPr>
      </w:pPr>
    </w:p>
    <w:p w14:paraId="187C24BB" w14:textId="77777777" w:rsidR="005E6DF3" w:rsidRPr="00B27A29" w:rsidRDefault="005E6DF3">
      <w:pPr>
        <w:spacing w:line="360" w:lineRule="auto"/>
        <w:jc w:val="center"/>
        <w:rPr>
          <w:rFonts w:eastAsiaTheme="minorEastAsia"/>
          <w:b/>
          <w:color w:val="000000" w:themeColor="text1"/>
          <w:szCs w:val="21"/>
        </w:rPr>
      </w:pPr>
    </w:p>
    <w:p w14:paraId="6D99E948" w14:textId="77777777" w:rsidR="005E6DF3" w:rsidRPr="00B27A29" w:rsidRDefault="005E6DF3">
      <w:pPr>
        <w:spacing w:line="360" w:lineRule="auto"/>
        <w:rPr>
          <w:rFonts w:eastAsiaTheme="minorEastAsia"/>
          <w:b/>
          <w:color w:val="000000" w:themeColor="text1"/>
          <w:szCs w:val="21"/>
        </w:rPr>
      </w:pPr>
    </w:p>
    <w:p w14:paraId="449756B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CE638CA"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271D91D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3470099E"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92DD48E"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E402379"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D9DDBA1"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BFFA74D"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9C1F989"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18EB7F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0B34453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7189C07" w14:textId="77777777">
        <w:tc>
          <w:tcPr>
            <w:tcW w:w="2835" w:type="dxa"/>
            <w:vAlign w:val="center"/>
          </w:tcPr>
          <w:p w14:paraId="6F510C2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134C099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摩根锦程稳健养老一年持有混合</w:t>
            </w:r>
            <w:r w:rsidRPr="00B27A29">
              <w:rPr>
                <w:rFonts w:eastAsiaTheme="minorEastAsia"/>
                <w:color w:val="000000" w:themeColor="text1"/>
                <w:kern w:val="0"/>
                <w:szCs w:val="21"/>
              </w:rPr>
              <w:t>(FOF)</w:t>
            </w:r>
          </w:p>
        </w:tc>
      </w:tr>
      <w:tr w:rsidR="005E6DF3" w:rsidRPr="00B27A29" w14:paraId="653CE98F" w14:textId="77777777">
        <w:tc>
          <w:tcPr>
            <w:tcW w:w="2835" w:type="dxa"/>
            <w:vAlign w:val="center"/>
          </w:tcPr>
          <w:p w14:paraId="36269EE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2AA95A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009143</w:t>
            </w:r>
          </w:p>
        </w:tc>
      </w:tr>
      <w:tr w:rsidR="005E6DF3" w:rsidRPr="00B27A29" w14:paraId="71558F7A" w14:textId="77777777">
        <w:tc>
          <w:tcPr>
            <w:tcW w:w="2835" w:type="dxa"/>
            <w:vAlign w:val="center"/>
          </w:tcPr>
          <w:p w14:paraId="6CD8F9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5AE3D45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4AA02DB" w14:textId="77777777">
        <w:tc>
          <w:tcPr>
            <w:tcW w:w="2835" w:type="dxa"/>
            <w:vAlign w:val="center"/>
          </w:tcPr>
          <w:p w14:paraId="7A6E29E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F4AD3B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14:paraId="1FE6C724" w14:textId="77777777">
        <w:tc>
          <w:tcPr>
            <w:tcW w:w="2835" w:type="dxa"/>
            <w:vAlign w:val="center"/>
          </w:tcPr>
          <w:p w14:paraId="293C558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0AA9672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35,041,622.34</w:t>
            </w:r>
            <w:r w:rsidRPr="00B27A29">
              <w:rPr>
                <w:rFonts w:eastAsiaTheme="minorEastAsia"/>
                <w:color w:val="000000" w:themeColor="text1"/>
                <w:kern w:val="0"/>
                <w:szCs w:val="21"/>
              </w:rPr>
              <w:t>份</w:t>
            </w:r>
          </w:p>
        </w:tc>
      </w:tr>
      <w:tr w:rsidR="005E6DF3" w:rsidRPr="00B27A29" w14:paraId="41615458" w14:textId="77777777">
        <w:tc>
          <w:tcPr>
            <w:tcW w:w="2835" w:type="dxa"/>
            <w:vAlign w:val="center"/>
          </w:tcPr>
          <w:p w14:paraId="73727B9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09FCC6B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14:paraId="0EFD60C9" w14:textId="77777777">
        <w:tc>
          <w:tcPr>
            <w:tcW w:w="2835" w:type="dxa"/>
            <w:vAlign w:val="center"/>
          </w:tcPr>
          <w:p w14:paraId="4DED8E5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2D7A2EF8"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14:paraId="43689CA3"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14:paraId="1F4DEA11"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20%:80%</w:t>
            </w:r>
            <w:r>
              <w:rPr>
                <w:rFonts w:eastAsiaTheme="minorEastAsia"/>
                <w:color w:val="000000" w:themeColor="text1"/>
                <w:kern w:val="0"/>
                <w:szCs w:val="21"/>
              </w:rPr>
              <w:t>；高风险类资产指股票型基金、应计入高风险类资产的混合型基金、商品基金（</w:t>
            </w:r>
            <w:proofErr w:type="gramStart"/>
            <w:r>
              <w:rPr>
                <w:rFonts w:eastAsiaTheme="minorEastAsia"/>
                <w:color w:val="000000" w:themeColor="text1"/>
                <w:kern w:val="0"/>
                <w:szCs w:val="21"/>
              </w:rPr>
              <w:t>含商品</w:t>
            </w:r>
            <w:proofErr w:type="gramEnd"/>
            <w:r>
              <w:rPr>
                <w:rFonts w:eastAsiaTheme="minorEastAsia"/>
                <w:color w:val="000000" w:themeColor="text1"/>
                <w:kern w:val="0"/>
                <w:szCs w:val="21"/>
              </w:rPr>
              <w:t>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14:paraId="0B194148"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14:paraId="62EA15FC"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14:paraId="495A528B"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w:t>
            </w:r>
            <w:proofErr w:type="gramStart"/>
            <w:r>
              <w:rPr>
                <w:rFonts w:eastAsiaTheme="minorEastAsia"/>
                <w:color w:val="000000" w:themeColor="text1"/>
                <w:kern w:val="0"/>
                <w:szCs w:val="21"/>
              </w:rPr>
              <w:t>景气向好的指数</w:t>
            </w:r>
            <w:proofErr w:type="gramEnd"/>
            <w:r>
              <w:rPr>
                <w:rFonts w:eastAsiaTheme="minorEastAsia"/>
                <w:color w:val="000000" w:themeColor="text1"/>
                <w:kern w:val="0"/>
                <w:szCs w:val="21"/>
              </w:rPr>
              <w:t>基金进行配置，增厚组合收益，并把握阶段性投资机会，获取超额收益。</w:t>
            </w:r>
          </w:p>
          <w:p w14:paraId="291D6ADA"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投资策略</w:t>
            </w:r>
          </w:p>
          <w:p w14:paraId="6898E431"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w:t>
            </w:r>
            <w:proofErr w:type="gramStart"/>
            <w:r>
              <w:rPr>
                <w:rFonts w:eastAsiaTheme="minorEastAsia"/>
                <w:color w:val="000000" w:themeColor="text1"/>
                <w:kern w:val="0"/>
                <w:szCs w:val="21"/>
              </w:rPr>
              <w:t>考量</w:t>
            </w:r>
            <w:proofErr w:type="gramEnd"/>
            <w:r>
              <w:rPr>
                <w:rFonts w:eastAsiaTheme="minorEastAsia"/>
                <w:color w:val="000000" w:themeColor="text1"/>
                <w:kern w:val="0"/>
                <w:szCs w:val="21"/>
              </w:rPr>
              <w:t>宏观经济运行情况、基金资产配置策略、底层资产运营情况、流动性及估值水平等因素，精选公募</w:t>
            </w:r>
            <w:r>
              <w:rPr>
                <w:rFonts w:eastAsiaTheme="minorEastAsia"/>
                <w:color w:val="000000" w:themeColor="text1"/>
                <w:kern w:val="0"/>
                <w:szCs w:val="21"/>
              </w:rPr>
              <w:t>REITs</w:t>
            </w:r>
            <w:r>
              <w:rPr>
                <w:rFonts w:eastAsiaTheme="minorEastAsia"/>
                <w:color w:val="000000" w:themeColor="text1"/>
                <w:kern w:val="0"/>
                <w:szCs w:val="21"/>
              </w:rPr>
              <w:t>进行投资。</w:t>
            </w:r>
          </w:p>
          <w:p w14:paraId="4C77121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、其他投资策略：包括股票投资策略、债券投资策略、证券公司短期公司债投资策略、资产支持证券投资策略、存托凭证投资策略。</w:t>
            </w:r>
          </w:p>
        </w:tc>
      </w:tr>
      <w:tr w:rsidR="005E6DF3" w:rsidRPr="00B27A29" w14:paraId="23908CD8" w14:textId="77777777">
        <w:tc>
          <w:tcPr>
            <w:tcW w:w="2835" w:type="dxa"/>
            <w:vAlign w:val="center"/>
          </w:tcPr>
          <w:p w14:paraId="2976B87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4A9079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w:t>
            </w:r>
            <w:proofErr w:type="gramStart"/>
            <w:r w:rsidRPr="00B27A29">
              <w:rPr>
                <w:rFonts w:eastAsiaTheme="minorEastAsia"/>
                <w:color w:val="000000" w:themeColor="text1"/>
                <w:kern w:val="0"/>
                <w:szCs w:val="21"/>
              </w:rPr>
              <w:t>债指数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*70%+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14:paraId="5B6E7690" w14:textId="77777777">
        <w:tc>
          <w:tcPr>
            <w:tcW w:w="2835" w:type="dxa"/>
            <w:vAlign w:val="center"/>
          </w:tcPr>
          <w:p w14:paraId="7B78004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风险收益特征</w:t>
            </w:r>
          </w:p>
        </w:tc>
        <w:tc>
          <w:tcPr>
            <w:tcW w:w="5479" w:type="dxa"/>
            <w:gridSpan w:val="2"/>
            <w:vAlign w:val="center"/>
          </w:tcPr>
          <w:p w14:paraId="45B06EE7"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20%</w:t>
            </w:r>
            <w:r>
              <w:rPr>
                <w:rFonts w:eastAsiaTheme="minorEastAsia"/>
                <w:color w:val="000000" w:themeColor="text1"/>
                <w:kern w:val="0"/>
                <w:szCs w:val="21"/>
              </w:rPr>
              <w:t>：</w:t>
            </w:r>
            <w:r>
              <w:rPr>
                <w:rFonts w:eastAsiaTheme="minorEastAsia"/>
                <w:color w:val="000000" w:themeColor="text1"/>
                <w:kern w:val="0"/>
                <w:szCs w:val="21"/>
              </w:rPr>
              <w:t>80%</w:t>
            </w:r>
            <w:r>
              <w:rPr>
                <w:rFonts w:eastAsiaTheme="minorEastAsia"/>
                <w:color w:val="000000" w:themeColor="text1"/>
                <w:kern w:val="0"/>
                <w:szCs w:val="21"/>
              </w:rPr>
              <w:t>，在基金管理人管理的养老目标风险基金中，属于高风险类资产的配置比例较低的产品。</w:t>
            </w:r>
          </w:p>
          <w:p w14:paraId="1C9B612C" w14:textId="77777777" w:rsidR="00921BE1" w:rsidRDefault="005B6E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w:t>
            </w:r>
          </w:p>
          <w:p w14:paraId="0FEB92E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569B2153" w14:textId="77777777">
        <w:tc>
          <w:tcPr>
            <w:tcW w:w="2835" w:type="dxa"/>
            <w:vAlign w:val="center"/>
          </w:tcPr>
          <w:p w14:paraId="37C74E5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7414A21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66E812E" w14:textId="77777777">
        <w:tc>
          <w:tcPr>
            <w:tcW w:w="2835" w:type="dxa"/>
            <w:vAlign w:val="center"/>
          </w:tcPr>
          <w:p w14:paraId="185A466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A4B50F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57A255D0" w14:textId="77777777">
        <w:tc>
          <w:tcPr>
            <w:tcW w:w="2835" w:type="dxa"/>
            <w:vAlign w:val="center"/>
          </w:tcPr>
          <w:p w14:paraId="285E8CF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E51BB1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740" w:type="dxa"/>
            <w:vAlign w:val="center"/>
          </w:tcPr>
          <w:p w14:paraId="30841EE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14:paraId="0A42BAF8" w14:textId="77777777">
        <w:tc>
          <w:tcPr>
            <w:tcW w:w="2835" w:type="dxa"/>
            <w:vAlign w:val="center"/>
          </w:tcPr>
          <w:p w14:paraId="09C2FA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181E8BC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009143</w:t>
            </w:r>
          </w:p>
        </w:tc>
        <w:tc>
          <w:tcPr>
            <w:tcW w:w="2740" w:type="dxa"/>
            <w:vAlign w:val="center"/>
          </w:tcPr>
          <w:p w14:paraId="66E56AE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017341</w:t>
            </w:r>
          </w:p>
        </w:tc>
      </w:tr>
      <w:tr w:rsidR="005E6DF3" w:rsidRPr="00B27A29" w14:paraId="0A3E4504" w14:textId="77777777">
        <w:tc>
          <w:tcPr>
            <w:tcW w:w="2835" w:type="dxa"/>
            <w:vAlign w:val="center"/>
          </w:tcPr>
          <w:p w14:paraId="3D0B85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E0E3FD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28,414,190.25</w:t>
            </w:r>
            <w:r w:rsidRPr="00B27A29">
              <w:rPr>
                <w:rFonts w:eastAsiaTheme="minorEastAsia"/>
                <w:color w:val="000000" w:themeColor="text1"/>
                <w:kern w:val="0"/>
                <w:szCs w:val="21"/>
              </w:rPr>
              <w:t>份</w:t>
            </w:r>
          </w:p>
        </w:tc>
        <w:tc>
          <w:tcPr>
            <w:tcW w:w="2740" w:type="dxa"/>
            <w:vAlign w:val="center"/>
          </w:tcPr>
          <w:p w14:paraId="03B3227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6,627,432.09</w:t>
            </w:r>
            <w:r w:rsidRPr="00B27A29">
              <w:rPr>
                <w:rFonts w:eastAsiaTheme="minorEastAsia"/>
                <w:color w:val="000000" w:themeColor="text1"/>
                <w:kern w:val="0"/>
                <w:szCs w:val="21"/>
              </w:rPr>
              <w:t>份</w:t>
            </w:r>
          </w:p>
        </w:tc>
      </w:tr>
    </w:tbl>
    <w:p w14:paraId="11EA61C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7B4DE8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0CA1B2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1CFDC5D" w14:textId="77777777">
        <w:tc>
          <w:tcPr>
            <w:tcW w:w="3402" w:type="dxa"/>
            <w:vMerge w:val="restart"/>
            <w:vAlign w:val="center"/>
          </w:tcPr>
          <w:p w14:paraId="0480FB9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340A7D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4273069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637776C4" w14:textId="77777777">
        <w:tc>
          <w:tcPr>
            <w:tcW w:w="3402" w:type="dxa"/>
            <w:vMerge/>
            <w:vAlign w:val="center"/>
          </w:tcPr>
          <w:p w14:paraId="2E45C702"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5F06EC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481" w:type="dxa"/>
            <w:vAlign w:val="center"/>
          </w:tcPr>
          <w:p w14:paraId="33D73E2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14:paraId="1EEEE96F" w14:textId="77777777">
        <w:tc>
          <w:tcPr>
            <w:tcW w:w="3402" w:type="dxa"/>
            <w:vAlign w:val="center"/>
          </w:tcPr>
          <w:p w14:paraId="791423E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4B33C6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-238,597.13</w:t>
            </w:r>
          </w:p>
        </w:tc>
        <w:tc>
          <w:tcPr>
            <w:tcW w:w="2481" w:type="dxa"/>
            <w:vAlign w:val="center"/>
          </w:tcPr>
          <w:p w14:paraId="3B21E8D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-49,350.60</w:t>
            </w:r>
          </w:p>
        </w:tc>
      </w:tr>
      <w:tr w:rsidR="005E6DF3" w:rsidRPr="00B27A29" w14:paraId="43872AE5" w14:textId="77777777">
        <w:tc>
          <w:tcPr>
            <w:tcW w:w="3402" w:type="dxa"/>
            <w:vAlign w:val="center"/>
          </w:tcPr>
          <w:p w14:paraId="4E7E12E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14:paraId="55A8F28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1,298,123.12</w:t>
            </w:r>
          </w:p>
        </w:tc>
        <w:tc>
          <w:tcPr>
            <w:tcW w:w="2481" w:type="dxa"/>
            <w:vAlign w:val="center"/>
          </w:tcPr>
          <w:p w14:paraId="4D6C01A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312,272.68</w:t>
            </w:r>
          </w:p>
        </w:tc>
      </w:tr>
      <w:tr w:rsidR="005E6DF3" w:rsidRPr="00B27A29" w14:paraId="4FE28476" w14:textId="77777777">
        <w:tc>
          <w:tcPr>
            <w:tcW w:w="3402" w:type="dxa"/>
            <w:vAlign w:val="center"/>
          </w:tcPr>
          <w:p w14:paraId="33856FE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121D8A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0.0452</w:t>
            </w:r>
          </w:p>
        </w:tc>
        <w:tc>
          <w:tcPr>
            <w:tcW w:w="2481" w:type="dxa"/>
            <w:vAlign w:val="center"/>
          </w:tcPr>
          <w:p w14:paraId="2A81C80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0.0472</w:t>
            </w:r>
          </w:p>
        </w:tc>
      </w:tr>
      <w:tr w:rsidR="005E6DF3" w:rsidRPr="00B27A29" w14:paraId="30DB4237" w14:textId="77777777">
        <w:tc>
          <w:tcPr>
            <w:tcW w:w="3402" w:type="dxa"/>
            <w:vAlign w:val="center"/>
          </w:tcPr>
          <w:p w14:paraId="4000824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E91B3D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30,097,781.63</w:t>
            </w:r>
          </w:p>
        </w:tc>
        <w:tc>
          <w:tcPr>
            <w:tcW w:w="2481" w:type="dxa"/>
            <w:vAlign w:val="center"/>
          </w:tcPr>
          <w:p w14:paraId="66ADB3E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7,067,345.99</w:t>
            </w:r>
          </w:p>
        </w:tc>
      </w:tr>
      <w:tr w:rsidR="005E6DF3" w:rsidRPr="00B27A29" w14:paraId="511F16EE" w14:textId="77777777">
        <w:trPr>
          <w:trHeight w:val="158"/>
        </w:trPr>
        <w:tc>
          <w:tcPr>
            <w:tcW w:w="3402" w:type="dxa"/>
            <w:vAlign w:val="center"/>
          </w:tcPr>
          <w:p w14:paraId="668812A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D40158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1.0593</w:t>
            </w:r>
          </w:p>
        </w:tc>
        <w:tc>
          <w:tcPr>
            <w:tcW w:w="2481" w:type="dxa"/>
            <w:vAlign w:val="center"/>
          </w:tcPr>
          <w:p w14:paraId="6E87218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1.0664</w:t>
            </w:r>
          </w:p>
        </w:tc>
      </w:tr>
    </w:tbl>
    <w:p w14:paraId="30BF9A47" w14:textId="77777777" w:rsidR="00921BE1" w:rsidRDefault="005B6E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18E6C4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FDC115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8922FF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B47E0A3"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F7C969C" w14:textId="77777777">
        <w:tc>
          <w:tcPr>
            <w:tcW w:w="1290" w:type="dxa"/>
            <w:vAlign w:val="center"/>
          </w:tcPr>
          <w:p w14:paraId="3F81C45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056835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1F987D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CDDC21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26BA48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69497E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D945B3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21BE1" w14:paraId="3C77292A" w14:textId="77777777">
        <w:tc>
          <w:tcPr>
            <w:tcW w:w="1290" w:type="dxa"/>
            <w:vAlign w:val="center"/>
          </w:tcPr>
          <w:p w14:paraId="69AAD701" w14:textId="77777777" w:rsidR="00921BE1" w:rsidRDefault="005B6EF0">
            <w:pPr>
              <w:jc w:val="left"/>
            </w:pPr>
            <w:r>
              <w:rPr>
                <w:rFonts w:eastAsiaTheme="minorEastAsia"/>
                <w:color w:val="000000" w:themeColor="text1"/>
                <w:szCs w:val="21"/>
              </w:rPr>
              <w:t>过去三个月</w:t>
            </w:r>
          </w:p>
        </w:tc>
        <w:tc>
          <w:tcPr>
            <w:tcW w:w="1291" w:type="dxa"/>
            <w:vAlign w:val="center"/>
          </w:tcPr>
          <w:p w14:paraId="5A0736C6" w14:textId="77777777" w:rsidR="00921BE1" w:rsidRDefault="005B6EF0">
            <w:pPr>
              <w:jc w:val="right"/>
            </w:pPr>
            <w:r>
              <w:rPr>
                <w:rFonts w:eastAsiaTheme="minorEastAsia"/>
                <w:color w:val="000000" w:themeColor="text1"/>
                <w:szCs w:val="21"/>
              </w:rPr>
              <w:t>4.54%</w:t>
            </w:r>
          </w:p>
        </w:tc>
        <w:tc>
          <w:tcPr>
            <w:tcW w:w="1291" w:type="dxa"/>
            <w:vAlign w:val="center"/>
          </w:tcPr>
          <w:p w14:paraId="61CD3BF8" w14:textId="77777777" w:rsidR="00921BE1" w:rsidRDefault="005B6EF0">
            <w:pPr>
              <w:jc w:val="right"/>
            </w:pPr>
            <w:r>
              <w:rPr>
                <w:rFonts w:eastAsiaTheme="minorEastAsia"/>
                <w:color w:val="000000" w:themeColor="text1"/>
                <w:szCs w:val="21"/>
              </w:rPr>
              <w:t>0.49%</w:t>
            </w:r>
          </w:p>
        </w:tc>
        <w:tc>
          <w:tcPr>
            <w:tcW w:w="1291" w:type="dxa"/>
            <w:vAlign w:val="center"/>
          </w:tcPr>
          <w:p w14:paraId="19828478" w14:textId="77777777" w:rsidR="00921BE1" w:rsidRDefault="005B6EF0">
            <w:pPr>
              <w:jc w:val="right"/>
            </w:pPr>
            <w:r>
              <w:rPr>
                <w:rFonts w:eastAsiaTheme="minorEastAsia"/>
                <w:color w:val="000000" w:themeColor="text1"/>
                <w:szCs w:val="21"/>
              </w:rPr>
              <w:t>4.20%</w:t>
            </w:r>
          </w:p>
        </w:tc>
        <w:tc>
          <w:tcPr>
            <w:tcW w:w="1291" w:type="dxa"/>
            <w:vAlign w:val="center"/>
          </w:tcPr>
          <w:p w14:paraId="3F20AE3C" w14:textId="77777777" w:rsidR="00921BE1" w:rsidRDefault="005B6EF0">
            <w:pPr>
              <w:jc w:val="right"/>
            </w:pPr>
            <w:r>
              <w:rPr>
                <w:rFonts w:eastAsiaTheme="minorEastAsia"/>
                <w:color w:val="000000" w:themeColor="text1"/>
                <w:szCs w:val="21"/>
              </w:rPr>
              <w:t>0.32%</w:t>
            </w:r>
          </w:p>
        </w:tc>
        <w:tc>
          <w:tcPr>
            <w:tcW w:w="1291" w:type="dxa"/>
            <w:vAlign w:val="center"/>
          </w:tcPr>
          <w:p w14:paraId="63C907F1" w14:textId="77777777" w:rsidR="00921BE1" w:rsidRDefault="005B6EF0">
            <w:pPr>
              <w:jc w:val="right"/>
            </w:pPr>
            <w:r>
              <w:rPr>
                <w:rFonts w:eastAsiaTheme="minorEastAsia"/>
                <w:color w:val="000000" w:themeColor="text1"/>
                <w:szCs w:val="21"/>
              </w:rPr>
              <w:t>0.34%</w:t>
            </w:r>
          </w:p>
        </w:tc>
        <w:tc>
          <w:tcPr>
            <w:tcW w:w="1291" w:type="dxa"/>
            <w:vAlign w:val="center"/>
          </w:tcPr>
          <w:p w14:paraId="324281B7" w14:textId="77777777" w:rsidR="00921BE1" w:rsidRDefault="005B6EF0">
            <w:pPr>
              <w:jc w:val="right"/>
            </w:pPr>
            <w:r>
              <w:rPr>
                <w:rFonts w:eastAsiaTheme="minorEastAsia"/>
                <w:color w:val="000000" w:themeColor="text1"/>
                <w:szCs w:val="21"/>
              </w:rPr>
              <w:t>0.17%</w:t>
            </w:r>
          </w:p>
        </w:tc>
      </w:tr>
      <w:tr w:rsidR="00921BE1" w14:paraId="1C952F3A" w14:textId="77777777">
        <w:tc>
          <w:tcPr>
            <w:tcW w:w="1290" w:type="dxa"/>
            <w:vAlign w:val="center"/>
          </w:tcPr>
          <w:p w14:paraId="42730860" w14:textId="77777777" w:rsidR="00921BE1" w:rsidRDefault="005B6EF0">
            <w:pPr>
              <w:jc w:val="left"/>
            </w:pPr>
            <w:r>
              <w:rPr>
                <w:rFonts w:eastAsiaTheme="minorEastAsia"/>
                <w:color w:val="000000" w:themeColor="text1"/>
                <w:szCs w:val="21"/>
              </w:rPr>
              <w:t>过去六个月</w:t>
            </w:r>
          </w:p>
        </w:tc>
        <w:tc>
          <w:tcPr>
            <w:tcW w:w="1291" w:type="dxa"/>
            <w:vAlign w:val="center"/>
          </w:tcPr>
          <w:p w14:paraId="521515BA" w14:textId="77777777" w:rsidR="00921BE1" w:rsidRDefault="005B6EF0">
            <w:pPr>
              <w:jc w:val="right"/>
            </w:pPr>
            <w:r>
              <w:rPr>
                <w:rFonts w:eastAsiaTheme="minorEastAsia"/>
                <w:color w:val="000000" w:themeColor="text1"/>
                <w:szCs w:val="21"/>
              </w:rPr>
              <w:t>4.37%</w:t>
            </w:r>
          </w:p>
        </w:tc>
        <w:tc>
          <w:tcPr>
            <w:tcW w:w="1291" w:type="dxa"/>
            <w:vAlign w:val="center"/>
          </w:tcPr>
          <w:p w14:paraId="0DEF6C05" w14:textId="77777777" w:rsidR="00921BE1" w:rsidRDefault="005B6EF0">
            <w:pPr>
              <w:jc w:val="right"/>
            </w:pPr>
            <w:r>
              <w:rPr>
                <w:rFonts w:eastAsiaTheme="minorEastAsia"/>
                <w:color w:val="000000" w:themeColor="text1"/>
                <w:szCs w:val="21"/>
              </w:rPr>
              <w:t>0.40%</w:t>
            </w:r>
          </w:p>
        </w:tc>
        <w:tc>
          <w:tcPr>
            <w:tcW w:w="1291" w:type="dxa"/>
            <w:vAlign w:val="center"/>
          </w:tcPr>
          <w:p w14:paraId="350FC16D" w14:textId="77777777" w:rsidR="00921BE1" w:rsidRDefault="005B6EF0">
            <w:pPr>
              <w:jc w:val="right"/>
            </w:pPr>
            <w:r>
              <w:rPr>
                <w:rFonts w:eastAsiaTheme="minorEastAsia"/>
                <w:color w:val="000000" w:themeColor="text1"/>
                <w:szCs w:val="21"/>
              </w:rPr>
              <w:t>4.80%</w:t>
            </w:r>
          </w:p>
        </w:tc>
        <w:tc>
          <w:tcPr>
            <w:tcW w:w="1291" w:type="dxa"/>
            <w:vAlign w:val="center"/>
          </w:tcPr>
          <w:p w14:paraId="387C429F" w14:textId="77777777" w:rsidR="00921BE1" w:rsidRDefault="005B6EF0">
            <w:pPr>
              <w:jc w:val="right"/>
            </w:pPr>
            <w:r>
              <w:rPr>
                <w:rFonts w:eastAsiaTheme="minorEastAsia"/>
                <w:color w:val="000000" w:themeColor="text1"/>
                <w:szCs w:val="21"/>
              </w:rPr>
              <w:t>0.25%</w:t>
            </w:r>
          </w:p>
        </w:tc>
        <w:tc>
          <w:tcPr>
            <w:tcW w:w="1291" w:type="dxa"/>
            <w:vAlign w:val="center"/>
          </w:tcPr>
          <w:p w14:paraId="1214A74E" w14:textId="77777777" w:rsidR="00921BE1" w:rsidRDefault="005B6EF0">
            <w:pPr>
              <w:jc w:val="right"/>
            </w:pPr>
            <w:r>
              <w:rPr>
                <w:rFonts w:eastAsiaTheme="minorEastAsia"/>
                <w:color w:val="000000" w:themeColor="text1"/>
                <w:szCs w:val="21"/>
              </w:rPr>
              <w:t>-0.43%</w:t>
            </w:r>
          </w:p>
        </w:tc>
        <w:tc>
          <w:tcPr>
            <w:tcW w:w="1291" w:type="dxa"/>
            <w:vAlign w:val="center"/>
          </w:tcPr>
          <w:p w14:paraId="3D631123" w14:textId="77777777" w:rsidR="00921BE1" w:rsidRDefault="005B6EF0">
            <w:pPr>
              <w:jc w:val="right"/>
            </w:pPr>
            <w:r>
              <w:rPr>
                <w:rFonts w:eastAsiaTheme="minorEastAsia"/>
                <w:color w:val="000000" w:themeColor="text1"/>
                <w:szCs w:val="21"/>
              </w:rPr>
              <w:t>0.15%</w:t>
            </w:r>
          </w:p>
        </w:tc>
      </w:tr>
      <w:tr w:rsidR="00921BE1" w14:paraId="5ED5E15C" w14:textId="77777777">
        <w:tc>
          <w:tcPr>
            <w:tcW w:w="1290" w:type="dxa"/>
            <w:vAlign w:val="center"/>
          </w:tcPr>
          <w:p w14:paraId="224190CD" w14:textId="77777777" w:rsidR="00921BE1" w:rsidRDefault="005B6EF0">
            <w:pPr>
              <w:jc w:val="left"/>
            </w:pPr>
            <w:r>
              <w:rPr>
                <w:rFonts w:eastAsiaTheme="minorEastAsia"/>
                <w:color w:val="000000" w:themeColor="text1"/>
                <w:szCs w:val="21"/>
              </w:rPr>
              <w:t>过去一年</w:t>
            </w:r>
          </w:p>
        </w:tc>
        <w:tc>
          <w:tcPr>
            <w:tcW w:w="1291" w:type="dxa"/>
            <w:vAlign w:val="center"/>
          </w:tcPr>
          <w:p w14:paraId="485CBBF3" w14:textId="77777777" w:rsidR="00921BE1" w:rsidRDefault="005B6EF0">
            <w:pPr>
              <w:jc w:val="right"/>
            </w:pPr>
            <w:r>
              <w:rPr>
                <w:rFonts w:eastAsiaTheme="minorEastAsia"/>
                <w:color w:val="000000" w:themeColor="text1"/>
                <w:szCs w:val="21"/>
              </w:rPr>
              <w:t>2.87%</w:t>
            </w:r>
          </w:p>
        </w:tc>
        <w:tc>
          <w:tcPr>
            <w:tcW w:w="1291" w:type="dxa"/>
            <w:vAlign w:val="center"/>
          </w:tcPr>
          <w:p w14:paraId="28A32AF3" w14:textId="77777777" w:rsidR="00921BE1" w:rsidRDefault="005B6EF0">
            <w:pPr>
              <w:jc w:val="right"/>
            </w:pPr>
            <w:r>
              <w:rPr>
                <w:rFonts w:eastAsiaTheme="minorEastAsia"/>
                <w:color w:val="000000" w:themeColor="text1"/>
                <w:szCs w:val="21"/>
              </w:rPr>
              <w:t>0.38%</w:t>
            </w:r>
          </w:p>
        </w:tc>
        <w:tc>
          <w:tcPr>
            <w:tcW w:w="1291" w:type="dxa"/>
            <w:vAlign w:val="center"/>
          </w:tcPr>
          <w:p w14:paraId="16B385AB" w14:textId="77777777" w:rsidR="00921BE1" w:rsidRDefault="005B6EF0">
            <w:pPr>
              <w:jc w:val="right"/>
            </w:pPr>
            <w:r>
              <w:rPr>
                <w:rFonts w:eastAsiaTheme="minorEastAsia"/>
                <w:color w:val="000000" w:themeColor="text1"/>
                <w:szCs w:val="21"/>
              </w:rPr>
              <w:t>6.43%</w:t>
            </w:r>
          </w:p>
        </w:tc>
        <w:tc>
          <w:tcPr>
            <w:tcW w:w="1291" w:type="dxa"/>
            <w:vAlign w:val="center"/>
          </w:tcPr>
          <w:p w14:paraId="001BBF5A" w14:textId="77777777" w:rsidR="00921BE1" w:rsidRDefault="005B6EF0">
            <w:pPr>
              <w:jc w:val="right"/>
            </w:pPr>
            <w:r>
              <w:rPr>
                <w:rFonts w:eastAsiaTheme="minorEastAsia"/>
                <w:color w:val="000000" w:themeColor="text1"/>
                <w:szCs w:val="21"/>
              </w:rPr>
              <w:t>0.23%</w:t>
            </w:r>
          </w:p>
        </w:tc>
        <w:tc>
          <w:tcPr>
            <w:tcW w:w="1291" w:type="dxa"/>
            <w:vAlign w:val="center"/>
          </w:tcPr>
          <w:p w14:paraId="43888516" w14:textId="77777777" w:rsidR="00921BE1" w:rsidRDefault="005B6EF0">
            <w:pPr>
              <w:jc w:val="right"/>
            </w:pPr>
            <w:r>
              <w:rPr>
                <w:rFonts w:eastAsiaTheme="minorEastAsia"/>
                <w:color w:val="000000" w:themeColor="text1"/>
                <w:szCs w:val="21"/>
              </w:rPr>
              <w:t>-3.56%</w:t>
            </w:r>
          </w:p>
        </w:tc>
        <w:tc>
          <w:tcPr>
            <w:tcW w:w="1291" w:type="dxa"/>
            <w:vAlign w:val="center"/>
          </w:tcPr>
          <w:p w14:paraId="676668F8" w14:textId="77777777" w:rsidR="00921BE1" w:rsidRDefault="005B6EF0">
            <w:pPr>
              <w:jc w:val="right"/>
            </w:pPr>
            <w:r>
              <w:rPr>
                <w:rFonts w:eastAsiaTheme="minorEastAsia"/>
                <w:color w:val="000000" w:themeColor="text1"/>
                <w:szCs w:val="21"/>
              </w:rPr>
              <w:t>0.15%</w:t>
            </w:r>
          </w:p>
        </w:tc>
      </w:tr>
      <w:tr w:rsidR="00921BE1" w14:paraId="057167EA" w14:textId="77777777">
        <w:tc>
          <w:tcPr>
            <w:tcW w:w="1290" w:type="dxa"/>
            <w:vAlign w:val="center"/>
          </w:tcPr>
          <w:p w14:paraId="4E337C82" w14:textId="77777777" w:rsidR="00921BE1" w:rsidRDefault="005B6EF0">
            <w:pPr>
              <w:jc w:val="left"/>
            </w:pPr>
            <w:r>
              <w:rPr>
                <w:rFonts w:eastAsiaTheme="minorEastAsia"/>
                <w:color w:val="000000" w:themeColor="text1"/>
                <w:szCs w:val="21"/>
              </w:rPr>
              <w:t>过去三年</w:t>
            </w:r>
          </w:p>
        </w:tc>
        <w:tc>
          <w:tcPr>
            <w:tcW w:w="1291" w:type="dxa"/>
            <w:vAlign w:val="center"/>
          </w:tcPr>
          <w:p w14:paraId="283C6B42" w14:textId="77777777" w:rsidR="00921BE1" w:rsidRDefault="005B6EF0">
            <w:pPr>
              <w:jc w:val="right"/>
            </w:pPr>
            <w:r>
              <w:rPr>
                <w:rFonts w:eastAsiaTheme="minorEastAsia"/>
                <w:color w:val="000000" w:themeColor="text1"/>
                <w:szCs w:val="21"/>
              </w:rPr>
              <w:t>-3.96%</w:t>
            </w:r>
          </w:p>
        </w:tc>
        <w:tc>
          <w:tcPr>
            <w:tcW w:w="1291" w:type="dxa"/>
            <w:vAlign w:val="center"/>
          </w:tcPr>
          <w:p w14:paraId="30EB8943" w14:textId="77777777" w:rsidR="00921BE1" w:rsidRDefault="005B6EF0">
            <w:pPr>
              <w:jc w:val="right"/>
            </w:pPr>
            <w:r>
              <w:rPr>
                <w:rFonts w:eastAsiaTheme="minorEastAsia"/>
                <w:color w:val="000000" w:themeColor="text1"/>
                <w:szCs w:val="21"/>
              </w:rPr>
              <w:t>0.29%</w:t>
            </w:r>
          </w:p>
        </w:tc>
        <w:tc>
          <w:tcPr>
            <w:tcW w:w="1291" w:type="dxa"/>
            <w:vAlign w:val="center"/>
          </w:tcPr>
          <w:p w14:paraId="56FD915A" w14:textId="77777777" w:rsidR="00921BE1" w:rsidRDefault="005B6EF0">
            <w:pPr>
              <w:jc w:val="right"/>
            </w:pPr>
            <w:r>
              <w:rPr>
                <w:rFonts w:eastAsiaTheme="minorEastAsia"/>
                <w:color w:val="000000" w:themeColor="text1"/>
                <w:szCs w:val="21"/>
              </w:rPr>
              <w:t>7.34%</w:t>
            </w:r>
          </w:p>
        </w:tc>
        <w:tc>
          <w:tcPr>
            <w:tcW w:w="1291" w:type="dxa"/>
            <w:vAlign w:val="center"/>
          </w:tcPr>
          <w:p w14:paraId="58BE0482" w14:textId="77777777" w:rsidR="00921BE1" w:rsidRDefault="005B6EF0">
            <w:pPr>
              <w:jc w:val="right"/>
            </w:pPr>
            <w:r>
              <w:rPr>
                <w:rFonts w:eastAsiaTheme="minorEastAsia"/>
                <w:color w:val="000000" w:themeColor="text1"/>
                <w:szCs w:val="21"/>
              </w:rPr>
              <w:t>0.21%</w:t>
            </w:r>
          </w:p>
        </w:tc>
        <w:tc>
          <w:tcPr>
            <w:tcW w:w="1291" w:type="dxa"/>
            <w:vAlign w:val="center"/>
          </w:tcPr>
          <w:p w14:paraId="0CBFCEC3" w14:textId="77777777" w:rsidR="00921BE1" w:rsidRDefault="005B6EF0">
            <w:pPr>
              <w:jc w:val="right"/>
            </w:pPr>
            <w:r>
              <w:rPr>
                <w:rFonts w:eastAsiaTheme="minorEastAsia"/>
                <w:color w:val="000000" w:themeColor="text1"/>
                <w:szCs w:val="21"/>
              </w:rPr>
              <w:t>-11.30%</w:t>
            </w:r>
          </w:p>
        </w:tc>
        <w:tc>
          <w:tcPr>
            <w:tcW w:w="1291" w:type="dxa"/>
            <w:vAlign w:val="center"/>
          </w:tcPr>
          <w:p w14:paraId="356BD905" w14:textId="77777777" w:rsidR="00921BE1" w:rsidRDefault="005B6EF0">
            <w:pPr>
              <w:jc w:val="right"/>
            </w:pPr>
            <w:r>
              <w:rPr>
                <w:rFonts w:eastAsiaTheme="minorEastAsia"/>
                <w:color w:val="000000" w:themeColor="text1"/>
                <w:szCs w:val="21"/>
              </w:rPr>
              <w:t>0.08%</w:t>
            </w:r>
          </w:p>
        </w:tc>
      </w:tr>
      <w:tr w:rsidR="00921BE1" w14:paraId="600C5137" w14:textId="77777777">
        <w:tc>
          <w:tcPr>
            <w:tcW w:w="1290" w:type="dxa"/>
            <w:vAlign w:val="center"/>
          </w:tcPr>
          <w:p w14:paraId="6AAC4057" w14:textId="77777777" w:rsidR="00921BE1" w:rsidRDefault="005B6EF0">
            <w:pPr>
              <w:jc w:val="left"/>
            </w:pPr>
            <w:r>
              <w:rPr>
                <w:rFonts w:eastAsiaTheme="minorEastAsia"/>
                <w:color w:val="000000" w:themeColor="text1"/>
                <w:szCs w:val="21"/>
              </w:rPr>
              <w:t>过去五年</w:t>
            </w:r>
          </w:p>
        </w:tc>
        <w:tc>
          <w:tcPr>
            <w:tcW w:w="1291" w:type="dxa"/>
            <w:vAlign w:val="center"/>
          </w:tcPr>
          <w:p w14:paraId="6D2D3C9E" w14:textId="77777777" w:rsidR="00921BE1" w:rsidRDefault="005B6EF0">
            <w:pPr>
              <w:jc w:val="right"/>
            </w:pPr>
            <w:r>
              <w:rPr>
                <w:rFonts w:eastAsiaTheme="minorEastAsia"/>
                <w:color w:val="000000" w:themeColor="text1"/>
                <w:szCs w:val="21"/>
              </w:rPr>
              <w:t>-</w:t>
            </w:r>
          </w:p>
        </w:tc>
        <w:tc>
          <w:tcPr>
            <w:tcW w:w="1291" w:type="dxa"/>
            <w:vAlign w:val="center"/>
          </w:tcPr>
          <w:p w14:paraId="7B7B72A1" w14:textId="77777777" w:rsidR="00921BE1" w:rsidRDefault="005B6EF0">
            <w:pPr>
              <w:jc w:val="right"/>
            </w:pPr>
            <w:r>
              <w:rPr>
                <w:rFonts w:eastAsiaTheme="minorEastAsia"/>
                <w:color w:val="000000" w:themeColor="text1"/>
                <w:szCs w:val="21"/>
              </w:rPr>
              <w:t>-</w:t>
            </w:r>
          </w:p>
        </w:tc>
        <w:tc>
          <w:tcPr>
            <w:tcW w:w="1291" w:type="dxa"/>
            <w:vAlign w:val="center"/>
          </w:tcPr>
          <w:p w14:paraId="49E986CB" w14:textId="77777777" w:rsidR="00921BE1" w:rsidRDefault="005B6EF0">
            <w:pPr>
              <w:jc w:val="right"/>
            </w:pPr>
            <w:r>
              <w:rPr>
                <w:rFonts w:eastAsiaTheme="minorEastAsia"/>
                <w:color w:val="000000" w:themeColor="text1"/>
                <w:szCs w:val="21"/>
              </w:rPr>
              <w:t>-</w:t>
            </w:r>
          </w:p>
        </w:tc>
        <w:tc>
          <w:tcPr>
            <w:tcW w:w="1291" w:type="dxa"/>
            <w:vAlign w:val="center"/>
          </w:tcPr>
          <w:p w14:paraId="1EE500C6" w14:textId="77777777" w:rsidR="00921BE1" w:rsidRDefault="005B6EF0">
            <w:pPr>
              <w:jc w:val="right"/>
            </w:pPr>
            <w:r>
              <w:rPr>
                <w:rFonts w:eastAsiaTheme="minorEastAsia"/>
                <w:color w:val="000000" w:themeColor="text1"/>
                <w:szCs w:val="21"/>
              </w:rPr>
              <w:t>-</w:t>
            </w:r>
          </w:p>
        </w:tc>
        <w:tc>
          <w:tcPr>
            <w:tcW w:w="1291" w:type="dxa"/>
            <w:vAlign w:val="center"/>
          </w:tcPr>
          <w:p w14:paraId="525B7C67" w14:textId="77777777" w:rsidR="00921BE1" w:rsidRDefault="005B6EF0">
            <w:pPr>
              <w:jc w:val="right"/>
            </w:pPr>
            <w:r>
              <w:rPr>
                <w:rFonts w:eastAsiaTheme="minorEastAsia"/>
                <w:color w:val="000000" w:themeColor="text1"/>
                <w:szCs w:val="21"/>
              </w:rPr>
              <w:t>-</w:t>
            </w:r>
          </w:p>
        </w:tc>
        <w:tc>
          <w:tcPr>
            <w:tcW w:w="1291" w:type="dxa"/>
            <w:vAlign w:val="center"/>
          </w:tcPr>
          <w:p w14:paraId="1AC05868" w14:textId="77777777" w:rsidR="00921BE1" w:rsidRDefault="005B6EF0">
            <w:pPr>
              <w:jc w:val="right"/>
            </w:pPr>
            <w:r>
              <w:rPr>
                <w:rFonts w:eastAsiaTheme="minorEastAsia"/>
                <w:color w:val="000000" w:themeColor="text1"/>
                <w:szCs w:val="21"/>
              </w:rPr>
              <w:t>-</w:t>
            </w:r>
          </w:p>
        </w:tc>
      </w:tr>
      <w:tr w:rsidR="00921BE1" w14:paraId="0E531BC3" w14:textId="77777777">
        <w:tc>
          <w:tcPr>
            <w:tcW w:w="1290" w:type="dxa"/>
            <w:vAlign w:val="center"/>
          </w:tcPr>
          <w:p w14:paraId="5394971A" w14:textId="77777777" w:rsidR="00921BE1" w:rsidRDefault="005B6EF0">
            <w:pPr>
              <w:jc w:val="left"/>
            </w:pPr>
            <w:r>
              <w:rPr>
                <w:rFonts w:eastAsiaTheme="minorEastAsia"/>
                <w:color w:val="000000" w:themeColor="text1"/>
                <w:szCs w:val="21"/>
              </w:rPr>
              <w:t>自基金合同生效起至今</w:t>
            </w:r>
          </w:p>
        </w:tc>
        <w:tc>
          <w:tcPr>
            <w:tcW w:w="1291" w:type="dxa"/>
            <w:vAlign w:val="center"/>
          </w:tcPr>
          <w:p w14:paraId="06759E69" w14:textId="77777777" w:rsidR="00921BE1" w:rsidRDefault="005B6EF0">
            <w:pPr>
              <w:jc w:val="right"/>
            </w:pPr>
            <w:r>
              <w:rPr>
                <w:rFonts w:eastAsiaTheme="minorEastAsia"/>
                <w:color w:val="000000" w:themeColor="text1"/>
                <w:szCs w:val="21"/>
              </w:rPr>
              <w:t>5.93%</w:t>
            </w:r>
          </w:p>
        </w:tc>
        <w:tc>
          <w:tcPr>
            <w:tcW w:w="1291" w:type="dxa"/>
            <w:vAlign w:val="center"/>
          </w:tcPr>
          <w:p w14:paraId="694ACD14" w14:textId="77777777" w:rsidR="00921BE1" w:rsidRDefault="005B6EF0">
            <w:pPr>
              <w:jc w:val="right"/>
            </w:pPr>
            <w:r>
              <w:rPr>
                <w:rFonts w:eastAsiaTheme="minorEastAsia"/>
                <w:color w:val="000000" w:themeColor="text1"/>
                <w:szCs w:val="21"/>
              </w:rPr>
              <w:t>0.28%</w:t>
            </w:r>
          </w:p>
        </w:tc>
        <w:tc>
          <w:tcPr>
            <w:tcW w:w="1291" w:type="dxa"/>
            <w:vAlign w:val="center"/>
          </w:tcPr>
          <w:p w14:paraId="75AA552C" w14:textId="77777777" w:rsidR="00921BE1" w:rsidRDefault="005B6EF0">
            <w:pPr>
              <w:jc w:val="right"/>
            </w:pPr>
            <w:r>
              <w:rPr>
                <w:rFonts w:eastAsiaTheme="minorEastAsia"/>
                <w:color w:val="000000" w:themeColor="text1"/>
                <w:szCs w:val="21"/>
              </w:rPr>
              <w:t>15.65%</w:t>
            </w:r>
          </w:p>
        </w:tc>
        <w:tc>
          <w:tcPr>
            <w:tcW w:w="1291" w:type="dxa"/>
            <w:vAlign w:val="center"/>
          </w:tcPr>
          <w:p w14:paraId="2292822E" w14:textId="77777777" w:rsidR="00921BE1" w:rsidRDefault="005B6EF0">
            <w:pPr>
              <w:jc w:val="right"/>
            </w:pPr>
            <w:r>
              <w:rPr>
                <w:rFonts w:eastAsiaTheme="minorEastAsia"/>
                <w:color w:val="000000" w:themeColor="text1"/>
                <w:szCs w:val="21"/>
              </w:rPr>
              <w:t>0.22%</w:t>
            </w:r>
          </w:p>
        </w:tc>
        <w:tc>
          <w:tcPr>
            <w:tcW w:w="1291" w:type="dxa"/>
            <w:vAlign w:val="center"/>
          </w:tcPr>
          <w:p w14:paraId="6998E8AA" w14:textId="77777777" w:rsidR="00921BE1" w:rsidRDefault="005B6EF0">
            <w:pPr>
              <w:jc w:val="right"/>
            </w:pPr>
            <w:r>
              <w:rPr>
                <w:rFonts w:eastAsiaTheme="minorEastAsia"/>
                <w:color w:val="000000" w:themeColor="text1"/>
                <w:szCs w:val="21"/>
              </w:rPr>
              <w:t>-9.72%</w:t>
            </w:r>
          </w:p>
        </w:tc>
        <w:tc>
          <w:tcPr>
            <w:tcW w:w="1291" w:type="dxa"/>
            <w:vAlign w:val="center"/>
          </w:tcPr>
          <w:p w14:paraId="2A22A650" w14:textId="77777777" w:rsidR="00921BE1" w:rsidRDefault="005B6EF0">
            <w:pPr>
              <w:jc w:val="right"/>
            </w:pPr>
            <w:r>
              <w:rPr>
                <w:rFonts w:eastAsiaTheme="minorEastAsia"/>
                <w:color w:val="000000" w:themeColor="text1"/>
                <w:szCs w:val="21"/>
              </w:rPr>
              <w:t>0.06%</w:t>
            </w:r>
          </w:p>
        </w:tc>
      </w:tr>
    </w:tbl>
    <w:p w14:paraId="255CD35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6DA9548" w14:textId="77777777">
        <w:tc>
          <w:tcPr>
            <w:tcW w:w="1290" w:type="dxa"/>
            <w:vAlign w:val="center"/>
          </w:tcPr>
          <w:p w14:paraId="75259A9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EA83360"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5C7BD6B"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ABAA00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49993B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2C5B52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5C30D1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21BE1" w14:paraId="3FBE6618" w14:textId="77777777">
        <w:tc>
          <w:tcPr>
            <w:tcW w:w="1290" w:type="dxa"/>
            <w:vAlign w:val="center"/>
          </w:tcPr>
          <w:p w14:paraId="7A9DC824" w14:textId="77777777" w:rsidR="00921BE1" w:rsidRDefault="005B6EF0">
            <w:pPr>
              <w:jc w:val="left"/>
            </w:pPr>
            <w:r>
              <w:rPr>
                <w:rFonts w:eastAsiaTheme="minorEastAsia"/>
                <w:color w:val="000000" w:themeColor="text1"/>
                <w:szCs w:val="21"/>
              </w:rPr>
              <w:t>过去三个月</w:t>
            </w:r>
          </w:p>
        </w:tc>
        <w:tc>
          <w:tcPr>
            <w:tcW w:w="1291" w:type="dxa"/>
            <w:vAlign w:val="center"/>
          </w:tcPr>
          <w:p w14:paraId="1213F6E1" w14:textId="77777777" w:rsidR="00921BE1" w:rsidRDefault="005B6EF0">
            <w:pPr>
              <w:jc w:val="right"/>
            </w:pPr>
            <w:r>
              <w:rPr>
                <w:rFonts w:eastAsiaTheme="minorEastAsia"/>
                <w:color w:val="000000" w:themeColor="text1"/>
                <w:szCs w:val="21"/>
              </w:rPr>
              <w:t>4.63%</w:t>
            </w:r>
          </w:p>
        </w:tc>
        <w:tc>
          <w:tcPr>
            <w:tcW w:w="1291" w:type="dxa"/>
            <w:vAlign w:val="center"/>
          </w:tcPr>
          <w:p w14:paraId="22F2DB80" w14:textId="77777777" w:rsidR="00921BE1" w:rsidRDefault="005B6EF0">
            <w:pPr>
              <w:jc w:val="right"/>
            </w:pPr>
            <w:r>
              <w:rPr>
                <w:rFonts w:eastAsiaTheme="minorEastAsia"/>
                <w:color w:val="000000" w:themeColor="text1"/>
                <w:szCs w:val="21"/>
              </w:rPr>
              <w:t>0.49%</w:t>
            </w:r>
          </w:p>
        </w:tc>
        <w:tc>
          <w:tcPr>
            <w:tcW w:w="1291" w:type="dxa"/>
            <w:vAlign w:val="center"/>
          </w:tcPr>
          <w:p w14:paraId="59DB7518" w14:textId="77777777" w:rsidR="00921BE1" w:rsidRDefault="005B6EF0">
            <w:pPr>
              <w:jc w:val="right"/>
            </w:pPr>
            <w:r>
              <w:rPr>
                <w:rFonts w:eastAsiaTheme="minorEastAsia"/>
                <w:color w:val="000000" w:themeColor="text1"/>
                <w:szCs w:val="21"/>
              </w:rPr>
              <w:t>4.20%</w:t>
            </w:r>
          </w:p>
        </w:tc>
        <w:tc>
          <w:tcPr>
            <w:tcW w:w="1291" w:type="dxa"/>
            <w:vAlign w:val="center"/>
          </w:tcPr>
          <w:p w14:paraId="53281161" w14:textId="77777777" w:rsidR="00921BE1" w:rsidRDefault="005B6EF0">
            <w:pPr>
              <w:jc w:val="right"/>
            </w:pPr>
            <w:r>
              <w:rPr>
                <w:rFonts w:eastAsiaTheme="minorEastAsia"/>
                <w:color w:val="000000" w:themeColor="text1"/>
                <w:szCs w:val="21"/>
              </w:rPr>
              <w:t>0.32%</w:t>
            </w:r>
          </w:p>
        </w:tc>
        <w:tc>
          <w:tcPr>
            <w:tcW w:w="1291" w:type="dxa"/>
            <w:vAlign w:val="center"/>
          </w:tcPr>
          <w:p w14:paraId="432F9326" w14:textId="77777777" w:rsidR="00921BE1" w:rsidRDefault="005B6EF0">
            <w:pPr>
              <w:jc w:val="right"/>
            </w:pPr>
            <w:r>
              <w:rPr>
                <w:rFonts w:eastAsiaTheme="minorEastAsia"/>
                <w:color w:val="000000" w:themeColor="text1"/>
                <w:szCs w:val="21"/>
              </w:rPr>
              <w:t>0.43%</w:t>
            </w:r>
          </w:p>
        </w:tc>
        <w:tc>
          <w:tcPr>
            <w:tcW w:w="1291" w:type="dxa"/>
            <w:vAlign w:val="center"/>
          </w:tcPr>
          <w:p w14:paraId="132CFBA3" w14:textId="77777777" w:rsidR="00921BE1" w:rsidRDefault="005B6EF0">
            <w:pPr>
              <w:jc w:val="right"/>
            </w:pPr>
            <w:r>
              <w:rPr>
                <w:rFonts w:eastAsiaTheme="minorEastAsia"/>
                <w:color w:val="000000" w:themeColor="text1"/>
                <w:szCs w:val="21"/>
              </w:rPr>
              <w:t>0.17%</w:t>
            </w:r>
          </w:p>
        </w:tc>
      </w:tr>
      <w:tr w:rsidR="00921BE1" w14:paraId="3001A04B" w14:textId="77777777">
        <w:tc>
          <w:tcPr>
            <w:tcW w:w="1290" w:type="dxa"/>
            <w:vAlign w:val="center"/>
          </w:tcPr>
          <w:p w14:paraId="065F844F" w14:textId="77777777" w:rsidR="00921BE1" w:rsidRDefault="005B6EF0">
            <w:pPr>
              <w:jc w:val="left"/>
            </w:pPr>
            <w:r>
              <w:rPr>
                <w:rFonts w:eastAsiaTheme="minorEastAsia"/>
                <w:color w:val="000000" w:themeColor="text1"/>
                <w:szCs w:val="21"/>
              </w:rPr>
              <w:t>过去六个月</w:t>
            </w:r>
          </w:p>
        </w:tc>
        <w:tc>
          <w:tcPr>
            <w:tcW w:w="1291" w:type="dxa"/>
            <w:vAlign w:val="center"/>
          </w:tcPr>
          <w:p w14:paraId="19637928" w14:textId="77777777" w:rsidR="00921BE1" w:rsidRDefault="005B6EF0">
            <w:pPr>
              <w:jc w:val="right"/>
            </w:pPr>
            <w:r>
              <w:rPr>
                <w:rFonts w:eastAsiaTheme="minorEastAsia"/>
                <w:color w:val="000000" w:themeColor="text1"/>
                <w:szCs w:val="21"/>
              </w:rPr>
              <w:t>4.57%</w:t>
            </w:r>
          </w:p>
        </w:tc>
        <w:tc>
          <w:tcPr>
            <w:tcW w:w="1291" w:type="dxa"/>
            <w:vAlign w:val="center"/>
          </w:tcPr>
          <w:p w14:paraId="182BBEB0" w14:textId="77777777" w:rsidR="00921BE1" w:rsidRDefault="005B6EF0">
            <w:pPr>
              <w:jc w:val="right"/>
            </w:pPr>
            <w:r>
              <w:rPr>
                <w:rFonts w:eastAsiaTheme="minorEastAsia"/>
                <w:color w:val="000000" w:themeColor="text1"/>
                <w:szCs w:val="21"/>
              </w:rPr>
              <w:t>0.40%</w:t>
            </w:r>
          </w:p>
        </w:tc>
        <w:tc>
          <w:tcPr>
            <w:tcW w:w="1291" w:type="dxa"/>
            <w:vAlign w:val="center"/>
          </w:tcPr>
          <w:p w14:paraId="613F2088" w14:textId="77777777" w:rsidR="00921BE1" w:rsidRDefault="005B6EF0">
            <w:pPr>
              <w:jc w:val="right"/>
            </w:pPr>
            <w:r>
              <w:rPr>
                <w:rFonts w:eastAsiaTheme="minorEastAsia"/>
                <w:color w:val="000000" w:themeColor="text1"/>
                <w:szCs w:val="21"/>
              </w:rPr>
              <w:t>4.80%</w:t>
            </w:r>
          </w:p>
        </w:tc>
        <w:tc>
          <w:tcPr>
            <w:tcW w:w="1291" w:type="dxa"/>
            <w:vAlign w:val="center"/>
          </w:tcPr>
          <w:p w14:paraId="4DCFDCE5" w14:textId="77777777" w:rsidR="00921BE1" w:rsidRDefault="005B6EF0">
            <w:pPr>
              <w:jc w:val="right"/>
            </w:pPr>
            <w:r>
              <w:rPr>
                <w:rFonts w:eastAsiaTheme="minorEastAsia"/>
                <w:color w:val="000000" w:themeColor="text1"/>
                <w:szCs w:val="21"/>
              </w:rPr>
              <w:t>0.25%</w:t>
            </w:r>
          </w:p>
        </w:tc>
        <w:tc>
          <w:tcPr>
            <w:tcW w:w="1291" w:type="dxa"/>
            <w:vAlign w:val="center"/>
          </w:tcPr>
          <w:p w14:paraId="3A5A0EB7" w14:textId="77777777" w:rsidR="00921BE1" w:rsidRDefault="005B6EF0">
            <w:pPr>
              <w:jc w:val="right"/>
            </w:pPr>
            <w:r>
              <w:rPr>
                <w:rFonts w:eastAsiaTheme="minorEastAsia"/>
                <w:color w:val="000000" w:themeColor="text1"/>
                <w:szCs w:val="21"/>
              </w:rPr>
              <w:t>-0.23%</w:t>
            </w:r>
          </w:p>
        </w:tc>
        <w:tc>
          <w:tcPr>
            <w:tcW w:w="1291" w:type="dxa"/>
            <w:vAlign w:val="center"/>
          </w:tcPr>
          <w:p w14:paraId="2BF34DEF" w14:textId="77777777" w:rsidR="00921BE1" w:rsidRDefault="005B6EF0">
            <w:pPr>
              <w:jc w:val="right"/>
            </w:pPr>
            <w:r>
              <w:rPr>
                <w:rFonts w:eastAsiaTheme="minorEastAsia"/>
                <w:color w:val="000000" w:themeColor="text1"/>
                <w:szCs w:val="21"/>
              </w:rPr>
              <w:t>0.15%</w:t>
            </w:r>
          </w:p>
        </w:tc>
      </w:tr>
      <w:tr w:rsidR="00921BE1" w14:paraId="34EFBD70" w14:textId="77777777">
        <w:tc>
          <w:tcPr>
            <w:tcW w:w="1290" w:type="dxa"/>
            <w:vAlign w:val="center"/>
          </w:tcPr>
          <w:p w14:paraId="496F2840" w14:textId="77777777" w:rsidR="00921BE1" w:rsidRDefault="005B6EF0">
            <w:pPr>
              <w:jc w:val="left"/>
            </w:pPr>
            <w:r>
              <w:rPr>
                <w:rFonts w:eastAsiaTheme="minorEastAsia"/>
                <w:color w:val="000000" w:themeColor="text1"/>
                <w:szCs w:val="21"/>
              </w:rPr>
              <w:t>过去一年</w:t>
            </w:r>
          </w:p>
        </w:tc>
        <w:tc>
          <w:tcPr>
            <w:tcW w:w="1291" w:type="dxa"/>
            <w:vAlign w:val="center"/>
          </w:tcPr>
          <w:p w14:paraId="4867F245" w14:textId="77777777" w:rsidR="00921BE1" w:rsidRDefault="005B6EF0">
            <w:pPr>
              <w:jc w:val="right"/>
            </w:pPr>
            <w:r>
              <w:rPr>
                <w:rFonts w:eastAsiaTheme="minorEastAsia"/>
                <w:color w:val="000000" w:themeColor="text1"/>
                <w:szCs w:val="21"/>
              </w:rPr>
              <w:t>3.25%</w:t>
            </w:r>
          </w:p>
        </w:tc>
        <w:tc>
          <w:tcPr>
            <w:tcW w:w="1291" w:type="dxa"/>
            <w:vAlign w:val="center"/>
          </w:tcPr>
          <w:p w14:paraId="56C624CB" w14:textId="77777777" w:rsidR="00921BE1" w:rsidRDefault="005B6EF0">
            <w:pPr>
              <w:jc w:val="right"/>
            </w:pPr>
            <w:r>
              <w:rPr>
                <w:rFonts w:eastAsiaTheme="minorEastAsia"/>
                <w:color w:val="000000" w:themeColor="text1"/>
                <w:szCs w:val="21"/>
              </w:rPr>
              <w:t>0.38%</w:t>
            </w:r>
          </w:p>
        </w:tc>
        <w:tc>
          <w:tcPr>
            <w:tcW w:w="1291" w:type="dxa"/>
            <w:vAlign w:val="center"/>
          </w:tcPr>
          <w:p w14:paraId="0A7E76E3" w14:textId="77777777" w:rsidR="00921BE1" w:rsidRDefault="005B6EF0">
            <w:pPr>
              <w:jc w:val="right"/>
            </w:pPr>
            <w:r>
              <w:rPr>
                <w:rFonts w:eastAsiaTheme="minorEastAsia"/>
                <w:color w:val="000000" w:themeColor="text1"/>
                <w:szCs w:val="21"/>
              </w:rPr>
              <w:t>6.43%</w:t>
            </w:r>
          </w:p>
        </w:tc>
        <w:tc>
          <w:tcPr>
            <w:tcW w:w="1291" w:type="dxa"/>
            <w:vAlign w:val="center"/>
          </w:tcPr>
          <w:p w14:paraId="30A38E99" w14:textId="77777777" w:rsidR="00921BE1" w:rsidRDefault="005B6EF0">
            <w:pPr>
              <w:jc w:val="right"/>
            </w:pPr>
            <w:r>
              <w:rPr>
                <w:rFonts w:eastAsiaTheme="minorEastAsia"/>
                <w:color w:val="000000" w:themeColor="text1"/>
                <w:szCs w:val="21"/>
              </w:rPr>
              <w:t>0.23%</w:t>
            </w:r>
          </w:p>
        </w:tc>
        <w:tc>
          <w:tcPr>
            <w:tcW w:w="1291" w:type="dxa"/>
            <w:vAlign w:val="center"/>
          </w:tcPr>
          <w:p w14:paraId="0DA25CE6" w14:textId="77777777" w:rsidR="00921BE1" w:rsidRDefault="005B6EF0">
            <w:pPr>
              <w:jc w:val="right"/>
            </w:pPr>
            <w:r>
              <w:rPr>
                <w:rFonts w:eastAsiaTheme="minorEastAsia"/>
                <w:color w:val="000000" w:themeColor="text1"/>
                <w:szCs w:val="21"/>
              </w:rPr>
              <w:t>-3.18%</w:t>
            </w:r>
          </w:p>
        </w:tc>
        <w:tc>
          <w:tcPr>
            <w:tcW w:w="1291" w:type="dxa"/>
            <w:vAlign w:val="center"/>
          </w:tcPr>
          <w:p w14:paraId="28D2AAD0" w14:textId="77777777" w:rsidR="00921BE1" w:rsidRDefault="005B6EF0">
            <w:pPr>
              <w:jc w:val="right"/>
            </w:pPr>
            <w:r>
              <w:rPr>
                <w:rFonts w:eastAsiaTheme="minorEastAsia"/>
                <w:color w:val="000000" w:themeColor="text1"/>
                <w:szCs w:val="21"/>
              </w:rPr>
              <w:t>0.15%</w:t>
            </w:r>
          </w:p>
        </w:tc>
      </w:tr>
      <w:tr w:rsidR="00921BE1" w14:paraId="2CA1B118" w14:textId="77777777">
        <w:tc>
          <w:tcPr>
            <w:tcW w:w="1290" w:type="dxa"/>
            <w:vAlign w:val="center"/>
          </w:tcPr>
          <w:p w14:paraId="6C433D4A" w14:textId="77777777" w:rsidR="00921BE1" w:rsidRDefault="005B6EF0">
            <w:pPr>
              <w:jc w:val="left"/>
            </w:pPr>
            <w:r>
              <w:rPr>
                <w:rFonts w:eastAsiaTheme="minorEastAsia"/>
                <w:color w:val="000000" w:themeColor="text1"/>
                <w:szCs w:val="21"/>
              </w:rPr>
              <w:t>过去三年</w:t>
            </w:r>
          </w:p>
        </w:tc>
        <w:tc>
          <w:tcPr>
            <w:tcW w:w="1291" w:type="dxa"/>
            <w:vAlign w:val="center"/>
          </w:tcPr>
          <w:p w14:paraId="6A932449" w14:textId="77777777" w:rsidR="00921BE1" w:rsidRDefault="005B6EF0">
            <w:pPr>
              <w:jc w:val="right"/>
            </w:pPr>
            <w:r>
              <w:rPr>
                <w:rFonts w:eastAsiaTheme="minorEastAsia"/>
                <w:color w:val="000000" w:themeColor="text1"/>
                <w:szCs w:val="21"/>
              </w:rPr>
              <w:t>-</w:t>
            </w:r>
          </w:p>
        </w:tc>
        <w:tc>
          <w:tcPr>
            <w:tcW w:w="1291" w:type="dxa"/>
            <w:vAlign w:val="center"/>
          </w:tcPr>
          <w:p w14:paraId="29E3EDA5" w14:textId="77777777" w:rsidR="00921BE1" w:rsidRDefault="005B6EF0">
            <w:pPr>
              <w:jc w:val="right"/>
            </w:pPr>
            <w:r>
              <w:rPr>
                <w:rFonts w:eastAsiaTheme="minorEastAsia"/>
                <w:color w:val="000000" w:themeColor="text1"/>
                <w:szCs w:val="21"/>
              </w:rPr>
              <w:t>-</w:t>
            </w:r>
          </w:p>
        </w:tc>
        <w:tc>
          <w:tcPr>
            <w:tcW w:w="1291" w:type="dxa"/>
            <w:vAlign w:val="center"/>
          </w:tcPr>
          <w:p w14:paraId="2820A6B7" w14:textId="77777777" w:rsidR="00921BE1" w:rsidRDefault="005B6EF0">
            <w:pPr>
              <w:jc w:val="right"/>
            </w:pPr>
            <w:r>
              <w:rPr>
                <w:rFonts w:eastAsiaTheme="minorEastAsia"/>
                <w:color w:val="000000" w:themeColor="text1"/>
                <w:szCs w:val="21"/>
              </w:rPr>
              <w:t>-</w:t>
            </w:r>
          </w:p>
        </w:tc>
        <w:tc>
          <w:tcPr>
            <w:tcW w:w="1291" w:type="dxa"/>
            <w:vAlign w:val="center"/>
          </w:tcPr>
          <w:p w14:paraId="07A870CF" w14:textId="77777777" w:rsidR="00921BE1" w:rsidRDefault="005B6EF0">
            <w:pPr>
              <w:jc w:val="right"/>
            </w:pPr>
            <w:r>
              <w:rPr>
                <w:rFonts w:eastAsiaTheme="minorEastAsia"/>
                <w:color w:val="000000" w:themeColor="text1"/>
                <w:szCs w:val="21"/>
              </w:rPr>
              <w:t>-</w:t>
            </w:r>
          </w:p>
        </w:tc>
        <w:tc>
          <w:tcPr>
            <w:tcW w:w="1291" w:type="dxa"/>
            <w:vAlign w:val="center"/>
          </w:tcPr>
          <w:p w14:paraId="63FC5CC2" w14:textId="77777777" w:rsidR="00921BE1" w:rsidRDefault="005B6EF0">
            <w:pPr>
              <w:jc w:val="right"/>
            </w:pPr>
            <w:r>
              <w:rPr>
                <w:rFonts w:eastAsiaTheme="minorEastAsia"/>
                <w:color w:val="000000" w:themeColor="text1"/>
                <w:szCs w:val="21"/>
              </w:rPr>
              <w:t>-</w:t>
            </w:r>
          </w:p>
        </w:tc>
        <w:tc>
          <w:tcPr>
            <w:tcW w:w="1291" w:type="dxa"/>
            <w:vAlign w:val="center"/>
          </w:tcPr>
          <w:p w14:paraId="637F7B15" w14:textId="77777777" w:rsidR="00921BE1" w:rsidRDefault="005B6EF0">
            <w:pPr>
              <w:jc w:val="right"/>
            </w:pPr>
            <w:r>
              <w:rPr>
                <w:rFonts w:eastAsiaTheme="minorEastAsia"/>
                <w:color w:val="000000" w:themeColor="text1"/>
                <w:szCs w:val="21"/>
              </w:rPr>
              <w:t>-</w:t>
            </w:r>
          </w:p>
        </w:tc>
      </w:tr>
      <w:tr w:rsidR="00921BE1" w14:paraId="6F5A28E4" w14:textId="77777777">
        <w:tc>
          <w:tcPr>
            <w:tcW w:w="1290" w:type="dxa"/>
            <w:vAlign w:val="center"/>
          </w:tcPr>
          <w:p w14:paraId="52139EBD" w14:textId="77777777" w:rsidR="00921BE1" w:rsidRDefault="005B6EF0">
            <w:pPr>
              <w:jc w:val="left"/>
            </w:pPr>
            <w:r>
              <w:rPr>
                <w:rFonts w:eastAsiaTheme="minorEastAsia"/>
                <w:color w:val="000000" w:themeColor="text1"/>
                <w:szCs w:val="21"/>
              </w:rPr>
              <w:t>过去五年</w:t>
            </w:r>
          </w:p>
        </w:tc>
        <w:tc>
          <w:tcPr>
            <w:tcW w:w="1291" w:type="dxa"/>
            <w:vAlign w:val="center"/>
          </w:tcPr>
          <w:p w14:paraId="55BD9B44" w14:textId="77777777" w:rsidR="00921BE1" w:rsidRDefault="005B6EF0">
            <w:pPr>
              <w:jc w:val="right"/>
            </w:pPr>
            <w:r>
              <w:rPr>
                <w:rFonts w:eastAsiaTheme="minorEastAsia"/>
                <w:color w:val="000000" w:themeColor="text1"/>
                <w:szCs w:val="21"/>
              </w:rPr>
              <w:t>-</w:t>
            </w:r>
          </w:p>
        </w:tc>
        <w:tc>
          <w:tcPr>
            <w:tcW w:w="1291" w:type="dxa"/>
            <w:vAlign w:val="center"/>
          </w:tcPr>
          <w:p w14:paraId="65FA5B0A" w14:textId="77777777" w:rsidR="00921BE1" w:rsidRDefault="005B6EF0">
            <w:pPr>
              <w:jc w:val="right"/>
            </w:pPr>
            <w:r>
              <w:rPr>
                <w:rFonts w:eastAsiaTheme="minorEastAsia"/>
                <w:color w:val="000000" w:themeColor="text1"/>
                <w:szCs w:val="21"/>
              </w:rPr>
              <w:t>-</w:t>
            </w:r>
          </w:p>
        </w:tc>
        <w:tc>
          <w:tcPr>
            <w:tcW w:w="1291" w:type="dxa"/>
            <w:vAlign w:val="center"/>
          </w:tcPr>
          <w:p w14:paraId="50837895" w14:textId="77777777" w:rsidR="00921BE1" w:rsidRDefault="005B6EF0">
            <w:pPr>
              <w:jc w:val="right"/>
            </w:pPr>
            <w:r>
              <w:rPr>
                <w:rFonts w:eastAsiaTheme="minorEastAsia"/>
                <w:color w:val="000000" w:themeColor="text1"/>
                <w:szCs w:val="21"/>
              </w:rPr>
              <w:t>-</w:t>
            </w:r>
          </w:p>
        </w:tc>
        <w:tc>
          <w:tcPr>
            <w:tcW w:w="1291" w:type="dxa"/>
            <w:vAlign w:val="center"/>
          </w:tcPr>
          <w:p w14:paraId="5EB5BFD2" w14:textId="77777777" w:rsidR="00921BE1" w:rsidRDefault="005B6EF0">
            <w:pPr>
              <w:jc w:val="right"/>
            </w:pPr>
            <w:r>
              <w:rPr>
                <w:rFonts w:eastAsiaTheme="minorEastAsia"/>
                <w:color w:val="000000" w:themeColor="text1"/>
                <w:szCs w:val="21"/>
              </w:rPr>
              <w:t>-</w:t>
            </w:r>
          </w:p>
        </w:tc>
        <w:tc>
          <w:tcPr>
            <w:tcW w:w="1291" w:type="dxa"/>
            <w:vAlign w:val="center"/>
          </w:tcPr>
          <w:p w14:paraId="7D8CD75E" w14:textId="77777777" w:rsidR="00921BE1" w:rsidRDefault="005B6EF0">
            <w:pPr>
              <w:jc w:val="right"/>
            </w:pPr>
            <w:r>
              <w:rPr>
                <w:rFonts w:eastAsiaTheme="minorEastAsia"/>
                <w:color w:val="000000" w:themeColor="text1"/>
                <w:szCs w:val="21"/>
              </w:rPr>
              <w:t>-</w:t>
            </w:r>
          </w:p>
        </w:tc>
        <w:tc>
          <w:tcPr>
            <w:tcW w:w="1291" w:type="dxa"/>
            <w:vAlign w:val="center"/>
          </w:tcPr>
          <w:p w14:paraId="1F2F298F" w14:textId="77777777" w:rsidR="00921BE1" w:rsidRDefault="005B6EF0">
            <w:pPr>
              <w:jc w:val="right"/>
            </w:pPr>
            <w:r>
              <w:rPr>
                <w:rFonts w:eastAsiaTheme="minorEastAsia"/>
                <w:color w:val="000000" w:themeColor="text1"/>
                <w:szCs w:val="21"/>
              </w:rPr>
              <w:t>-</w:t>
            </w:r>
          </w:p>
        </w:tc>
      </w:tr>
      <w:tr w:rsidR="00921BE1" w14:paraId="5F767531" w14:textId="77777777">
        <w:tc>
          <w:tcPr>
            <w:tcW w:w="1290" w:type="dxa"/>
            <w:vAlign w:val="center"/>
          </w:tcPr>
          <w:p w14:paraId="70DF99C7" w14:textId="77777777" w:rsidR="00921BE1" w:rsidRDefault="005B6EF0">
            <w:pPr>
              <w:jc w:val="left"/>
            </w:pPr>
            <w:r>
              <w:rPr>
                <w:rFonts w:eastAsiaTheme="minorEastAsia"/>
                <w:color w:val="000000" w:themeColor="text1"/>
                <w:szCs w:val="21"/>
              </w:rPr>
              <w:t>自基金合同生效起至今</w:t>
            </w:r>
          </w:p>
        </w:tc>
        <w:tc>
          <w:tcPr>
            <w:tcW w:w="1291" w:type="dxa"/>
            <w:vAlign w:val="center"/>
          </w:tcPr>
          <w:p w14:paraId="4D1B574F" w14:textId="77777777" w:rsidR="00921BE1" w:rsidRDefault="005B6EF0">
            <w:pPr>
              <w:jc w:val="right"/>
            </w:pPr>
            <w:r>
              <w:rPr>
                <w:rFonts w:eastAsiaTheme="minorEastAsia"/>
                <w:color w:val="000000" w:themeColor="text1"/>
                <w:szCs w:val="21"/>
              </w:rPr>
              <w:t>1.85%</w:t>
            </w:r>
          </w:p>
        </w:tc>
        <w:tc>
          <w:tcPr>
            <w:tcW w:w="1291" w:type="dxa"/>
            <w:vAlign w:val="center"/>
          </w:tcPr>
          <w:p w14:paraId="2CF160D2" w14:textId="77777777" w:rsidR="00921BE1" w:rsidRDefault="005B6EF0">
            <w:pPr>
              <w:jc w:val="right"/>
            </w:pPr>
            <w:r>
              <w:rPr>
                <w:rFonts w:eastAsiaTheme="minorEastAsia"/>
                <w:color w:val="000000" w:themeColor="text1"/>
                <w:szCs w:val="21"/>
              </w:rPr>
              <w:t>0.32%</w:t>
            </w:r>
          </w:p>
        </w:tc>
        <w:tc>
          <w:tcPr>
            <w:tcW w:w="1291" w:type="dxa"/>
            <w:vAlign w:val="center"/>
          </w:tcPr>
          <w:p w14:paraId="431C1A14" w14:textId="77777777" w:rsidR="00921BE1" w:rsidRDefault="005B6EF0">
            <w:pPr>
              <w:jc w:val="right"/>
            </w:pPr>
            <w:r>
              <w:rPr>
                <w:rFonts w:eastAsiaTheme="minorEastAsia"/>
                <w:color w:val="000000" w:themeColor="text1"/>
                <w:szCs w:val="21"/>
              </w:rPr>
              <w:t>8.13%</w:t>
            </w:r>
          </w:p>
        </w:tc>
        <w:tc>
          <w:tcPr>
            <w:tcW w:w="1291" w:type="dxa"/>
            <w:vAlign w:val="center"/>
          </w:tcPr>
          <w:p w14:paraId="2821372D" w14:textId="77777777" w:rsidR="00921BE1" w:rsidRDefault="005B6EF0">
            <w:pPr>
              <w:jc w:val="right"/>
            </w:pPr>
            <w:r>
              <w:rPr>
                <w:rFonts w:eastAsiaTheme="minorEastAsia"/>
                <w:color w:val="000000" w:themeColor="text1"/>
                <w:szCs w:val="21"/>
              </w:rPr>
              <w:t>0.20%</w:t>
            </w:r>
          </w:p>
        </w:tc>
        <w:tc>
          <w:tcPr>
            <w:tcW w:w="1291" w:type="dxa"/>
            <w:vAlign w:val="center"/>
          </w:tcPr>
          <w:p w14:paraId="1D4E7EE2" w14:textId="77777777" w:rsidR="00921BE1" w:rsidRDefault="005B6EF0">
            <w:pPr>
              <w:jc w:val="right"/>
            </w:pPr>
            <w:r>
              <w:rPr>
                <w:rFonts w:eastAsiaTheme="minorEastAsia"/>
                <w:color w:val="000000" w:themeColor="text1"/>
                <w:szCs w:val="21"/>
              </w:rPr>
              <w:t>-6.28%</w:t>
            </w:r>
          </w:p>
        </w:tc>
        <w:tc>
          <w:tcPr>
            <w:tcW w:w="1291" w:type="dxa"/>
            <w:vAlign w:val="center"/>
          </w:tcPr>
          <w:p w14:paraId="67666D28" w14:textId="77777777" w:rsidR="00921BE1" w:rsidRDefault="005B6EF0">
            <w:pPr>
              <w:jc w:val="right"/>
            </w:pPr>
            <w:r>
              <w:rPr>
                <w:rFonts w:eastAsiaTheme="minorEastAsia"/>
                <w:color w:val="000000" w:themeColor="text1"/>
                <w:szCs w:val="21"/>
              </w:rPr>
              <w:t>0.12%</w:t>
            </w:r>
          </w:p>
        </w:tc>
      </w:tr>
    </w:tbl>
    <w:p w14:paraId="5E7AB49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14:paraId="246ECBE4"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摩根锦程稳健养老目标一年持有期混合型基金中基金</w:t>
      </w:r>
      <w:r w:rsidRPr="00B27A29">
        <w:rPr>
          <w:rFonts w:eastAsiaTheme="minorEastAsia"/>
          <w:color w:val="000000" w:themeColor="text1"/>
          <w:szCs w:val="21"/>
        </w:rPr>
        <w:t>(FOF)</w:t>
      </w:r>
    </w:p>
    <w:p w14:paraId="4990A4CC"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D0EFE13"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5336022E"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r w:rsidRPr="00B27A29">
        <w:rPr>
          <w:rFonts w:eastAsiaTheme="minorEastAsia"/>
          <w:color w:val="000000" w:themeColor="text1"/>
          <w:szCs w:val="21"/>
        </w:rPr>
        <w:t>：</w:t>
      </w:r>
    </w:p>
    <w:p w14:paraId="59FE9266"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52A57CA" wp14:editId="2476DA7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6433E48"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r w:rsidRPr="00B27A29">
        <w:rPr>
          <w:rFonts w:eastAsiaTheme="minorEastAsia"/>
          <w:color w:val="000000" w:themeColor="text1"/>
          <w:szCs w:val="21"/>
        </w:rPr>
        <w:t>：</w:t>
      </w:r>
    </w:p>
    <w:p w14:paraId="2CB900DC"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EA6F6C4" wp14:editId="6655B59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062D44F"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14:paraId="7A77B31D"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14:paraId="5D1F464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3D75361" w14:textId="77777777" w:rsidR="005E6DF3" w:rsidRPr="00B27A29" w:rsidRDefault="005E6DF3">
      <w:pPr>
        <w:tabs>
          <w:tab w:val="left" w:pos="1800"/>
        </w:tabs>
        <w:spacing w:line="288" w:lineRule="auto"/>
        <w:rPr>
          <w:rFonts w:eastAsiaTheme="minorEastAsia"/>
          <w:color w:val="000000" w:themeColor="text1"/>
          <w:szCs w:val="21"/>
        </w:rPr>
      </w:pPr>
    </w:p>
    <w:p w14:paraId="46A67E5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7C48A73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F9B7FFE" w14:textId="77777777">
        <w:tc>
          <w:tcPr>
            <w:tcW w:w="952" w:type="dxa"/>
            <w:vMerge w:val="restart"/>
            <w:vAlign w:val="center"/>
          </w:tcPr>
          <w:p w14:paraId="0A44C9B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BFC5E2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6BB5001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19D1713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2F0EC0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6B891AF" w14:textId="77777777">
        <w:tc>
          <w:tcPr>
            <w:tcW w:w="952" w:type="dxa"/>
            <w:vMerge/>
            <w:vAlign w:val="center"/>
          </w:tcPr>
          <w:p w14:paraId="4B89F6A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6C78A0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0062A7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797285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CF34BA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CAAFCF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21BE1" w14:paraId="4D8D647C" w14:textId="77777777">
        <w:tc>
          <w:tcPr>
            <w:tcW w:w="952" w:type="dxa"/>
            <w:vAlign w:val="center"/>
          </w:tcPr>
          <w:p w14:paraId="51B9D89D" w14:textId="77777777" w:rsidR="00921BE1" w:rsidRDefault="005B6EF0">
            <w:pPr>
              <w:jc w:val="center"/>
            </w:pPr>
            <w:r>
              <w:rPr>
                <w:rFonts w:eastAsiaTheme="minorEastAsia"/>
                <w:color w:val="000000" w:themeColor="text1"/>
                <w:szCs w:val="21"/>
              </w:rPr>
              <w:t>杜习杰</w:t>
            </w:r>
          </w:p>
        </w:tc>
        <w:tc>
          <w:tcPr>
            <w:tcW w:w="930" w:type="dxa"/>
            <w:vAlign w:val="center"/>
          </w:tcPr>
          <w:p w14:paraId="61B7EA68" w14:textId="77777777" w:rsidR="00921BE1" w:rsidRDefault="005B6EF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67A87CC8" w14:textId="77777777" w:rsidR="00921BE1" w:rsidRDefault="005B6EF0">
            <w:pPr>
              <w:jc w:val="center"/>
            </w:pPr>
            <w:r>
              <w:rPr>
                <w:rFonts w:eastAsiaTheme="minorEastAsia"/>
                <w:color w:val="000000" w:themeColor="text1"/>
                <w:szCs w:val="21"/>
              </w:rPr>
              <w:t>2020-04-23</w:t>
            </w:r>
          </w:p>
        </w:tc>
        <w:tc>
          <w:tcPr>
            <w:tcW w:w="1309" w:type="dxa"/>
            <w:vAlign w:val="center"/>
          </w:tcPr>
          <w:p w14:paraId="45C7FF2A" w14:textId="77777777" w:rsidR="00921BE1" w:rsidRDefault="005B6EF0">
            <w:pPr>
              <w:jc w:val="center"/>
            </w:pPr>
            <w:r>
              <w:rPr>
                <w:rFonts w:eastAsiaTheme="minorEastAsia"/>
                <w:color w:val="000000" w:themeColor="text1"/>
                <w:szCs w:val="21"/>
              </w:rPr>
              <w:t>2024-08-31</w:t>
            </w:r>
          </w:p>
        </w:tc>
        <w:tc>
          <w:tcPr>
            <w:tcW w:w="1254" w:type="dxa"/>
            <w:vAlign w:val="center"/>
          </w:tcPr>
          <w:p w14:paraId="2494C76D" w14:textId="77777777" w:rsidR="00921BE1" w:rsidRDefault="005B6EF0">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7AB359EA" w14:textId="77777777" w:rsidR="00921BE1" w:rsidRDefault="005B6EF0">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921BE1" w14:paraId="5BABB09A" w14:textId="77777777">
        <w:tc>
          <w:tcPr>
            <w:tcW w:w="952" w:type="dxa"/>
            <w:vAlign w:val="center"/>
          </w:tcPr>
          <w:p w14:paraId="4454DA43" w14:textId="77777777" w:rsidR="00921BE1" w:rsidRDefault="005B6EF0">
            <w:pPr>
              <w:jc w:val="center"/>
            </w:pPr>
            <w:r>
              <w:rPr>
                <w:rFonts w:eastAsiaTheme="minorEastAsia"/>
                <w:color w:val="000000" w:themeColor="text1"/>
                <w:szCs w:val="21"/>
              </w:rPr>
              <w:t>吴春杰</w:t>
            </w:r>
          </w:p>
        </w:tc>
        <w:tc>
          <w:tcPr>
            <w:tcW w:w="930" w:type="dxa"/>
            <w:vAlign w:val="center"/>
          </w:tcPr>
          <w:p w14:paraId="064627CA" w14:textId="77777777" w:rsidR="00921BE1" w:rsidRDefault="005B6EF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C7135FE" w14:textId="77777777" w:rsidR="00921BE1" w:rsidRDefault="005B6EF0">
            <w:pPr>
              <w:jc w:val="center"/>
            </w:pPr>
            <w:r>
              <w:rPr>
                <w:rFonts w:eastAsiaTheme="minorEastAsia"/>
                <w:color w:val="000000" w:themeColor="text1"/>
                <w:szCs w:val="21"/>
              </w:rPr>
              <w:t>2022-11-18</w:t>
            </w:r>
          </w:p>
        </w:tc>
        <w:tc>
          <w:tcPr>
            <w:tcW w:w="1309" w:type="dxa"/>
            <w:vAlign w:val="center"/>
          </w:tcPr>
          <w:p w14:paraId="2E31214C" w14:textId="77777777" w:rsidR="00921BE1" w:rsidRDefault="005B6EF0">
            <w:pPr>
              <w:jc w:val="center"/>
            </w:pPr>
            <w:r>
              <w:rPr>
                <w:rFonts w:eastAsiaTheme="minorEastAsia"/>
                <w:color w:val="000000" w:themeColor="text1"/>
                <w:szCs w:val="21"/>
              </w:rPr>
              <w:t>-</w:t>
            </w:r>
          </w:p>
        </w:tc>
        <w:tc>
          <w:tcPr>
            <w:tcW w:w="1254" w:type="dxa"/>
            <w:vAlign w:val="center"/>
          </w:tcPr>
          <w:p w14:paraId="2DD73A26" w14:textId="77777777" w:rsidR="00921BE1" w:rsidRDefault="005B6EF0">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34DE9FF8" w14:textId="77777777" w:rsidR="00921BE1" w:rsidRDefault="005B6EF0">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14:paraId="64A2F709" w14:textId="77777777" w:rsidR="00921BE1" w:rsidRDefault="005B6E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5AEBEE1B" w14:textId="77777777" w:rsidR="00921BE1" w:rsidRDefault="005B6E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杜习杰先生为本基金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经理，其任职日期为本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281A79D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14:paraId="1AC12CD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FE2C22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393EF78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3FABF50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14:paraId="42E2E8DA"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60BC399"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C5B743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B870FB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772CB3A"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9EB518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3A4741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0707CAA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0F6A9E8"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年三季度，国内权益市场先震荡下行、后大幅反弹，区间中证</w:t>
      </w:r>
      <w:r>
        <w:rPr>
          <w:rFonts w:eastAsiaTheme="minorEastAsia"/>
          <w:color w:val="000000" w:themeColor="text1"/>
          <w:szCs w:val="21"/>
        </w:rPr>
        <w:t>800</w:t>
      </w:r>
      <w:r>
        <w:rPr>
          <w:rFonts w:eastAsiaTheme="minorEastAsia"/>
          <w:color w:val="000000" w:themeColor="text1"/>
          <w:szCs w:val="21"/>
        </w:rPr>
        <w:t>上涨</w:t>
      </w:r>
      <w:r>
        <w:rPr>
          <w:rFonts w:eastAsiaTheme="minorEastAsia"/>
          <w:color w:val="000000" w:themeColor="text1"/>
          <w:szCs w:val="21"/>
        </w:rPr>
        <w:t>16.1%</w:t>
      </w:r>
      <w:r>
        <w:rPr>
          <w:rFonts w:eastAsiaTheme="minorEastAsia"/>
          <w:color w:val="000000" w:themeColor="text1"/>
          <w:szCs w:val="21"/>
        </w:rPr>
        <w:t>。三季度前期，国内多项经济指标有所走弱，在担忧经济下行趋势延续、企业盈利恢复乏力的谨慎情绪中，</w:t>
      </w:r>
      <w:r>
        <w:rPr>
          <w:rFonts w:eastAsiaTheme="minorEastAsia"/>
          <w:color w:val="000000" w:themeColor="text1"/>
          <w:szCs w:val="21"/>
        </w:rPr>
        <w:t>A</w:t>
      </w:r>
      <w:r>
        <w:rPr>
          <w:rFonts w:eastAsiaTheme="minorEastAsia"/>
          <w:color w:val="000000" w:themeColor="text1"/>
          <w:szCs w:val="21"/>
        </w:rPr>
        <w:t>股仅红利风格微涨。至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日的政治局会议，政策面逐步释放了稳股市、稳房市、</w:t>
      </w:r>
      <w:proofErr w:type="gramStart"/>
      <w:r>
        <w:rPr>
          <w:rFonts w:eastAsiaTheme="minorEastAsia"/>
          <w:color w:val="000000" w:themeColor="text1"/>
          <w:szCs w:val="21"/>
        </w:rPr>
        <w:t>稳经济</w:t>
      </w:r>
      <w:proofErr w:type="gramEnd"/>
      <w:r>
        <w:rPr>
          <w:rFonts w:eastAsiaTheme="minorEastAsia"/>
          <w:color w:val="000000" w:themeColor="text1"/>
          <w:szCs w:val="21"/>
        </w:rPr>
        <w:t>的信号，</w:t>
      </w:r>
      <w:r>
        <w:rPr>
          <w:rFonts w:eastAsiaTheme="minorEastAsia"/>
          <w:color w:val="000000" w:themeColor="text1"/>
          <w:szCs w:val="21"/>
        </w:rPr>
        <w:t>A</w:t>
      </w:r>
      <w:r>
        <w:rPr>
          <w:rFonts w:eastAsiaTheme="minorEastAsia"/>
          <w:color w:val="000000" w:themeColor="text1"/>
          <w:szCs w:val="21"/>
        </w:rPr>
        <w:t>股开启快速上涨，中证</w:t>
      </w:r>
      <w:r>
        <w:rPr>
          <w:rFonts w:eastAsiaTheme="minorEastAsia"/>
          <w:color w:val="000000" w:themeColor="text1"/>
          <w:szCs w:val="21"/>
        </w:rPr>
        <w:t>800</w:t>
      </w:r>
      <w:r>
        <w:rPr>
          <w:rFonts w:eastAsiaTheme="minorEastAsia"/>
          <w:color w:val="000000" w:themeColor="text1"/>
          <w:szCs w:val="21"/>
        </w:rPr>
        <w:t>修复年初以来全部跌幅。国内债券方面，</w:t>
      </w:r>
      <w:r>
        <w:rPr>
          <w:rFonts w:eastAsiaTheme="minorEastAsia"/>
          <w:color w:val="000000" w:themeColor="text1"/>
          <w:szCs w:val="21"/>
        </w:rPr>
        <w:t>10</w:t>
      </w:r>
      <w:r>
        <w:rPr>
          <w:rFonts w:eastAsiaTheme="minorEastAsia"/>
          <w:color w:val="000000" w:themeColor="text1"/>
          <w:szCs w:val="21"/>
        </w:rPr>
        <w:t>年期国债收益率一度大幅下行至</w:t>
      </w:r>
      <w:r>
        <w:rPr>
          <w:rFonts w:eastAsiaTheme="minorEastAsia"/>
          <w:color w:val="000000" w:themeColor="text1"/>
          <w:szCs w:val="21"/>
        </w:rPr>
        <w:t>2.0%</w:t>
      </w:r>
      <w:r>
        <w:rPr>
          <w:rFonts w:eastAsiaTheme="minorEastAsia"/>
          <w:color w:val="000000" w:themeColor="text1"/>
          <w:szCs w:val="21"/>
        </w:rPr>
        <w:t>，随</w:t>
      </w:r>
      <w:r>
        <w:rPr>
          <w:rFonts w:eastAsiaTheme="minorEastAsia"/>
          <w:color w:val="000000" w:themeColor="text1"/>
          <w:szCs w:val="21"/>
        </w:rPr>
        <w:t>9</w:t>
      </w:r>
      <w:r>
        <w:rPr>
          <w:rFonts w:eastAsiaTheme="minorEastAsia"/>
          <w:color w:val="000000" w:themeColor="text1"/>
          <w:szCs w:val="21"/>
        </w:rPr>
        <w:t>月底政策</w:t>
      </w:r>
      <w:proofErr w:type="gramStart"/>
      <w:r>
        <w:rPr>
          <w:rFonts w:eastAsiaTheme="minorEastAsia"/>
          <w:color w:val="000000" w:themeColor="text1"/>
          <w:szCs w:val="21"/>
        </w:rPr>
        <w:t>面稳经济</w:t>
      </w:r>
      <w:proofErr w:type="gramEnd"/>
      <w:r>
        <w:rPr>
          <w:rFonts w:eastAsiaTheme="minorEastAsia"/>
          <w:color w:val="000000" w:themeColor="text1"/>
          <w:szCs w:val="21"/>
        </w:rPr>
        <w:t>预期升温而快速反弹，全季度下行</w:t>
      </w:r>
      <w:r>
        <w:rPr>
          <w:rFonts w:eastAsiaTheme="minorEastAsia"/>
          <w:color w:val="000000" w:themeColor="text1"/>
          <w:szCs w:val="21"/>
        </w:rPr>
        <w:t>6BP</w:t>
      </w:r>
      <w:r>
        <w:rPr>
          <w:rFonts w:eastAsiaTheme="minorEastAsia"/>
          <w:color w:val="000000" w:themeColor="text1"/>
          <w:szCs w:val="21"/>
        </w:rPr>
        <w:t>至</w:t>
      </w:r>
      <w:r>
        <w:rPr>
          <w:rFonts w:eastAsiaTheme="minorEastAsia"/>
          <w:color w:val="000000" w:themeColor="text1"/>
          <w:szCs w:val="21"/>
        </w:rPr>
        <w:t>2.15%</w:t>
      </w:r>
      <w:r>
        <w:rPr>
          <w:rFonts w:eastAsiaTheme="minorEastAsia"/>
          <w:color w:val="000000" w:themeColor="text1"/>
          <w:szCs w:val="21"/>
        </w:rPr>
        <w:t>。</w:t>
      </w:r>
    </w:p>
    <w:p w14:paraId="21E1146E"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w:t>
      </w:r>
      <w:r>
        <w:rPr>
          <w:rFonts w:eastAsiaTheme="minorEastAsia"/>
          <w:color w:val="000000" w:themeColor="text1"/>
          <w:szCs w:val="21"/>
        </w:rPr>
        <w:t>8</w:t>
      </w:r>
      <w:r>
        <w:rPr>
          <w:rFonts w:eastAsiaTheme="minorEastAsia"/>
          <w:color w:val="000000" w:themeColor="text1"/>
          <w:szCs w:val="21"/>
        </w:rPr>
        <w:t>月初，日央行</w:t>
      </w:r>
      <w:proofErr w:type="gramStart"/>
      <w:r>
        <w:rPr>
          <w:rFonts w:eastAsiaTheme="minorEastAsia"/>
          <w:color w:val="000000" w:themeColor="text1"/>
          <w:szCs w:val="21"/>
        </w:rPr>
        <w:t>加息且</w:t>
      </w:r>
      <w:proofErr w:type="gramEnd"/>
      <w:r>
        <w:rPr>
          <w:rFonts w:eastAsiaTheme="minorEastAsia"/>
          <w:color w:val="000000" w:themeColor="text1"/>
          <w:szCs w:val="21"/>
        </w:rPr>
        <w:t>表述超预期鹰派叠加美国劳动力市场数据有走弱迹象，海外权益市场一度大幅波动。在随后的</w:t>
      </w:r>
      <w:r>
        <w:rPr>
          <w:rFonts w:eastAsiaTheme="minorEastAsia"/>
          <w:color w:val="000000" w:themeColor="text1"/>
          <w:szCs w:val="21"/>
        </w:rPr>
        <w:t>9</w:t>
      </w:r>
      <w:r>
        <w:rPr>
          <w:rFonts w:eastAsiaTheme="minorEastAsia"/>
          <w:color w:val="000000" w:themeColor="text1"/>
          <w:szCs w:val="21"/>
        </w:rPr>
        <w:t>月议</w:t>
      </w:r>
      <w:proofErr w:type="gramStart"/>
      <w:r>
        <w:rPr>
          <w:rFonts w:eastAsiaTheme="minorEastAsia"/>
          <w:color w:val="000000" w:themeColor="text1"/>
          <w:szCs w:val="21"/>
        </w:rPr>
        <w:t>息会议</w:t>
      </w:r>
      <w:proofErr w:type="gramEnd"/>
      <w:r>
        <w:rPr>
          <w:rFonts w:eastAsiaTheme="minorEastAsia"/>
          <w:color w:val="000000" w:themeColor="text1"/>
          <w:szCs w:val="21"/>
        </w:rPr>
        <w:t>上，美联储以给足市场期待的</w:t>
      </w:r>
      <w:r>
        <w:rPr>
          <w:rFonts w:eastAsiaTheme="minorEastAsia"/>
          <w:color w:val="000000" w:themeColor="text1"/>
          <w:szCs w:val="21"/>
        </w:rPr>
        <w:t>50BP</w:t>
      </w:r>
      <w:r>
        <w:rPr>
          <w:rFonts w:eastAsiaTheme="minorEastAsia"/>
          <w:color w:val="000000" w:themeColor="text1"/>
          <w:szCs w:val="21"/>
        </w:rPr>
        <w:t>开启本轮降息周期，</w:t>
      </w:r>
      <w:proofErr w:type="gramStart"/>
      <w:r>
        <w:rPr>
          <w:rFonts w:eastAsiaTheme="minorEastAsia"/>
          <w:color w:val="000000" w:themeColor="text1"/>
          <w:szCs w:val="21"/>
        </w:rPr>
        <w:t>10</w:t>
      </w:r>
      <w:r>
        <w:rPr>
          <w:rFonts w:eastAsiaTheme="minorEastAsia"/>
          <w:color w:val="000000" w:themeColor="text1"/>
          <w:szCs w:val="21"/>
        </w:rPr>
        <w:t>年期美债</w:t>
      </w:r>
      <w:proofErr w:type="gramEnd"/>
      <w:r>
        <w:rPr>
          <w:rFonts w:eastAsiaTheme="minorEastAsia"/>
          <w:color w:val="000000" w:themeColor="text1"/>
          <w:szCs w:val="21"/>
        </w:rPr>
        <w:t>收益率降</w:t>
      </w:r>
      <w:r>
        <w:rPr>
          <w:rFonts w:eastAsiaTheme="minorEastAsia"/>
          <w:color w:val="000000" w:themeColor="text1"/>
          <w:szCs w:val="21"/>
        </w:rPr>
        <w:t>58BP</w:t>
      </w:r>
      <w:r>
        <w:rPr>
          <w:rFonts w:eastAsiaTheme="minorEastAsia"/>
          <w:color w:val="000000" w:themeColor="text1"/>
          <w:szCs w:val="21"/>
        </w:rPr>
        <w:t>至</w:t>
      </w:r>
      <w:r>
        <w:rPr>
          <w:rFonts w:eastAsiaTheme="minorEastAsia"/>
          <w:color w:val="000000" w:themeColor="text1"/>
          <w:szCs w:val="21"/>
        </w:rPr>
        <w:t>3.79%</w:t>
      </w:r>
      <w:r>
        <w:rPr>
          <w:rFonts w:eastAsiaTheme="minorEastAsia"/>
          <w:color w:val="000000" w:themeColor="text1"/>
          <w:szCs w:val="21"/>
        </w:rPr>
        <w:t>。</w:t>
      </w:r>
    </w:p>
    <w:p w14:paraId="52D9900F"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从全球宏观变化来讲，</w:t>
      </w:r>
      <w:r>
        <w:rPr>
          <w:rFonts w:eastAsiaTheme="minorEastAsia"/>
          <w:color w:val="000000" w:themeColor="text1"/>
          <w:szCs w:val="21"/>
        </w:rPr>
        <w:t>9</w:t>
      </w:r>
      <w:r>
        <w:rPr>
          <w:rFonts w:eastAsiaTheme="minorEastAsia"/>
          <w:color w:val="000000" w:themeColor="text1"/>
          <w:szCs w:val="21"/>
        </w:rPr>
        <w:t>月份美联储开启本轮首次降息，且幅度为超出部分市场参与者预期的</w:t>
      </w:r>
      <w:r>
        <w:rPr>
          <w:rFonts w:eastAsiaTheme="minorEastAsia"/>
          <w:color w:val="000000" w:themeColor="text1"/>
          <w:szCs w:val="21"/>
        </w:rPr>
        <w:t>50BP</w:t>
      </w:r>
      <w:r>
        <w:rPr>
          <w:rFonts w:eastAsiaTheme="minorEastAsia"/>
          <w:color w:val="000000" w:themeColor="text1"/>
          <w:szCs w:val="21"/>
        </w:rPr>
        <w:t>。美联储的货币宽松操作开启，美元指数走弱，有利于新兴市场流动性环境的改善。三季度以来，离岸人民币兑美元升值幅度在</w:t>
      </w:r>
      <w:r>
        <w:rPr>
          <w:rFonts w:eastAsiaTheme="minorEastAsia"/>
          <w:color w:val="000000" w:themeColor="text1"/>
          <w:szCs w:val="21"/>
        </w:rPr>
        <w:t>4%</w:t>
      </w:r>
      <w:r>
        <w:rPr>
          <w:rFonts w:eastAsiaTheme="minorEastAsia"/>
          <w:color w:val="000000" w:themeColor="text1"/>
          <w:szCs w:val="21"/>
        </w:rPr>
        <w:t>左右，国内资产对全球投资者的吸引力也有所上升；港股市场更为受益于美联储降息周期的启动。国内宏观方面，</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w:t>
      </w:r>
      <w:proofErr w:type="gramStart"/>
      <w:r>
        <w:rPr>
          <w:rFonts w:eastAsiaTheme="minorEastAsia"/>
          <w:color w:val="000000" w:themeColor="text1"/>
          <w:szCs w:val="21"/>
        </w:rPr>
        <w:t>办记者</w:t>
      </w:r>
      <w:proofErr w:type="gramEnd"/>
      <w:r>
        <w:rPr>
          <w:rFonts w:eastAsiaTheme="minorEastAsia"/>
          <w:color w:val="000000" w:themeColor="text1"/>
          <w:szCs w:val="21"/>
        </w:rPr>
        <w:t>发布会与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日政治局会议讨论经济议题共同</w:t>
      </w:r>
      <w:proofErr w:type="gramStart"/>
      <w:r>
        <w:rPr>
          <w:rFonts w:eastAsiaTheme="minorEastAsia"/>
          <w:color w:val="000000" w:themeColor="text1"/>
          <w:szCs w:val="21"/>
        </w:rPr>
        <w:t>释放出稳股市</w:t>
      </w:r>
      <w:proofErr w:type="gramEnd"/>
      <w:r>
        <w:rPr>
          <w:rFonts w:eastAsiaTheme="minorEastAsia"/>
          <w:color w:val="000000" w:themeColor="text1"/>
          <w:szCs w:val="21"/>
        </w:rPr>
        <w:t>，稳房市，</w:t>
      </w:r>
      <w:proofErr w:type="gramStart"/>
      <w:r>
        <w:rPr>
          <w:rFonts w:eastAsiaTheme="minorEastAsia"/>
          <w:color w:val="000000" w:themeColor="text1"/>
          <w:szCs w:val="21"/>
        </w:rPr>
        <w:t>稳经济</w:t>
      </w:r>
      <w:proofErr w:type="gramEnd"/>
      <w:r>
        <w:rPr>
          <w:rFonts w:eastAsiaTheme="minorEastAsia"/>
          <w:color w:val="000000" w:themeColor="text1"/>
          <w:szCs w:val="21"/>
        </w:rPr>
        <w:t>的信号。结合内外因素的有利变化，我们在组合资产配置层面适当提升风险偏好。后续我们会关注政策兑现程度，进一步评估政策对经济的影响，进而调整投资组合的结构。我们现在已经</w:t>
      </w:r>
      <w:proofErr w:type="gramStart"/>
      <w:r>
        <w:rPr>
          <w:rFonts w:eastAsiaTheme="minorEastAsia"/>
          <w:color w:val="000000" w:themeColor="text1"/>
          <w:szCs w:val="21"/>
        </w:rPr>
        <w:t>看到降准降息</w:t>
      </w:r>
      <w:proofErr w:type="gramEnd"/>
      <w:r>
        <w:rPr>
          <w:rFonts w:eastAsiaTheme="minorEastAsia"/>
          <w:color w:val="000000" w:themeColor="text1"/>
          <w:szCs w:val="21"/>
        </w:rPr>
        <w:t>的兑现，十一之后我们会关注机构互换便利工具落地，地方债以及国债加速发行，已确认经济基本面是否会出现实质改善，这也将决定内需消费和传统投资相关行业的改善力度。同时，与中长期经济结构调整方向相匹配的科技成长方向，也有望受益于相关产业的支持性政策。</w:t>
      </w:r>
    </w:p>
    <w:p w14:paraId="7F786FF4"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对于国内债券来讲，托底经济增长的政策在发力中，内外利差仍为负值，国内债相对</w:t>
      </w:r>
      <w:r>
        <w:rPr>
          <w:rFonts w:eastAsiaTheme="minorEastAsia"/>
          <w:color w:val="000000" w:themeColor="text1"/>
          <w:szCs w:val="21"/>
        </w:rPr>
        <w:t>A</w:t>
      </w:r>
      <w:r>
        <w:rPr>
          <w:rFonts w:eastAsiaTheme="minorEastAsia"/>
          <w:color w:val="000000" w:themeColor="text1"/>
          <w:szCs w:val="21"/>
        </w:rPr>
        <w:t>股股息率所反映的估值亦较贵。但考虑到当前处在地方政府化</w:t>
      </w:r>
      <w:proofErr w:type="gramStart"/>
      <w:r>
        <w:rPr>
          <w:rFonts w:eastAsiaTheme="minorEastAsia"/>
          <w:color w:val="000000" w:themeColor="text1"/>
          <w:szCs w:val="21"/>
        </w:rPr>
        <w:t>债进程</w:t>
      </w:r>
      <w:proofErr w:type="gramEnd"/>
      <w:r>
        <w:rPr>
          <w:rFonts w:eastAsiaTheme="minorEastAsia"/>
          <w:color w:val="000000" w:themeColor="text1"/>
          <w:szCs w:val="21"/>
        </w:rPr>
        <w:t>中、实际利率高位下，货币政策为支持性的基调，国内债券的下行风险相对可控。考虑当前进入新</w:t>
      </w:r>
      <w:proofErr w:type="gramStart"/>
      <w:r>
        <w:rPr>
          <w:rFonts w:eastAsiaTheme="minorEastAsia"/>
          <w:color w:val="000000" w:themeColor="text1"/>
          <w:szCs w:val="21"/>
        </w:rPr>
        <w:t>一轮稳增长</w:t>
      </w:r>
      <w:proofErr w:type="gramEnd"/>
      <w:r>
        <w:rPr>
          <w:rFonts w:eastAsiaTheme="minorEastAsia"/>
          <w:color w:val="000000" w:themeColor="text1"/>
          <w:szCs w:val="21"/>
        </w:rPr>
        <w:t>政策验证期，长久期利率的波动或有上升，后续关注中短债策略为主。</w:t>
      </w:r>
    </w:p>
    <w:p w14:paraId="4A6BE20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海外方面，市场预期美国经济软着陆，美股盈利增长或支撑当前的估值水平。随美联储降息落地，美债在货币政策宽松周期中将受益，收益率下行也有利于美股估值的维持，尤其是大盘风格。</w:t>
      </w:r>
    </w:p>
    <w:p w14:paraId="27CBAA5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B51DBF6"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本报告期摩根锦程稳健养老一年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:4.54%</w:t>
      </w:r>
      <w:r>
        <w:rPr>
          <w:rFonts w:eastAsiaTheme="minorEastAsia"/>
          <w:color w:val="000000" w:themeColor="text1"/>
          <w:szCs w:val="21"/>
        </w:rPr>
        <w:t>，同期业绩比较基准收益率为</w:t>
      </w:r>
      <w:r>
        <w:rPr>
          <w:rFonts w:eastAsiaTheme="minorEastAsia"/>
          <w:color w:val="000000" w:themeColor="text1"/>
          <w:szCs w:val="21"/>
        </w:rPr>
        <w:t>:4.20%</w:t>
      </w:r>
    </w:p>
    <w:p w14:paraId="1E7053D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摩根锦程稳健养老一年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:4.63%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:4.20%</w:t>
      </w:r>
      <w:r w:rsidRPr="00B27A29">
        <w:rPr>
          <w:rFonts w:eastAsiaTheme="minorEastAsia"/>
          <w:color w:val="000000" w:themeColor="text1"/>
          <w:szCs w:val="21"/>
        </w:rPr>
        <w:t>。</w:t>
      </w:r>
    </w:p>
    <w:p w14:paraId="564D5963" w14:textId="77777777" w:rsidR="005E6DF3" w:rsidRPr="00B27A29" w:rsidRDefault="005E6DF3">
      <w:pPr>
        <w:spacing w:line="360" w:lineRule="auto"/>
        <w:ind w:firstLineChars="200" w:firstLine="420"/>
        <w:rPr>
          <w:rFonts w:eastAsiaTheme="minorEastAsia"/>
          <w:color w:val="000000" w:themeColor="text1"/>
          <w:szCs w:val="21"/>
        </w:rPr>
      </w:pPr>
    </w:p>
    <w:p w14:paraId="706B159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728078A" w14:textId="77777777" w:rsidR="00921BE1" w:rsidRDefault="005B6EF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14:paraId="35B61046"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14:paraId="249B30C9" w14:textId="77777777" w:rsidR="005E6DF3" w:rsidRPr="00B27A29" w:rsidRDefault="005E6DF3">
      <w:pPr>
        <w:spacing w:line="360" w:lineRule="auto"/>
        <w:ind w:firstLineChars="200" w:firstLine="420"/>
        <w:rPr>
          <w:rFonts w:eastAsiaTheme="minorEastAsia"/>
          <w:color w:val="000000" w:themeColor="text1"/>
          <w:szCs w:val="21"/>
        </w:rPr>
      </w:pPr>
    </w:p>
    <w:p w14:paraId="70AB635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7A0DDB29" w14:textId="77777777"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14:paraId="2D1396B8" w14:textId="77777777" w:rsidTr="00342FE7">
        <w:tc>
          <w:tcPr>
            <w:tcW w:w="720" w:type="dxa"/>
            <w:vAlign w:val="center"/>
          </w:tcPr>
          <w:p w14:paraId="009DB1B4"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3CB6F8F8"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527A0CDF"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2F4CB6F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14:paraId="2B2B4B1A" w14:textId="77777777" w:rsidTr="00342FE7">
        <w:tc>
          <w:tcPr>
            <w:tcW w:w="720" w:type="dxa"/>
            <w:vAlign w:val="center"/>
          </w:tcPr>
          <w:p w14:paraId="6389CFC8"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38F51BAD"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2E33848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970103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2571573" w14:textId="77777777" w:rsidTr="00342FE7">
        <w:tc>
          <w:tcPr>
            <w:tcW w:w="720" w:type="dxa"/>
            <w:vAlign w:val="center"/>
          </w:tcPr>
          <w:p w14:paraId="36ECE99B"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39CAABE3"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2F30EF5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35BC311"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9550382" w14:textId="77777777" w:rsidTr="00342FE7">
        <w:tc>
          <w:tcPr>
            <w:tcW w:w="720" w:type="dxa"/>
            <w:vAlign w:val="center"/>
          </w:tcPr>
          <w:p w14:paraId="11DED86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2D2102E5"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6678E15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35,077,500.76</w:t>
            </w:r>
          </w:p>
        </w:tc>
        <w:tc>
          <w:tcPr>
            <w:tcW w:w="2801" w:type="dxa"/>
            <w:vAlign w:val="center"/>
          </w:tcPr>
          <w:p w14:paraId="466A5BE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94.02</w:t>
            </w:r>
          </w:p>
        </w:tc>
      </w:tr>
      <w:tr w:rsidR="006336AE" w:rsidRPr="007B5F21" w14:paraId="01D4A609" w14:textId="77777777" w:rsidTr="00342FE7">
        <w:tc>
          <w:tcPr>
            <w:tcW w:w="720" w:type="dxa"/>
            <w:vAlign w:val="center"/>
          </w:tcPr>
          <w:p w14:paraId="4D749AD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0D64493A"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5B59EEDD"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1,124,296.44</w:t>
            </w:r>
          </w:p>
        </w:tc>
        <w:tc>
          <w:tcPr>
            <w:tcW w:w="2801" w:type="dxa"/>
            <w:vAlign w:val="center"/>
          </w:tcPr>
          <w:p w14:paraId="242D885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3.01</w:t>
            </w:r>
          </w:p>
        </w:tc>
      </w:tr>
      <w:tr w:rsidR="006336AE" w:rsidRPr="007B5F21" w14:paraId="592C7BDD" w14:textId="77777777" w:rsidTr="00342FE7">
        <w:tc>
          <w:tcPr>
            <w:tcW w:w="720" w:type="dxa"/>
            <w:vAlign w:val="center"/>
          </w:tcPr>
          <w:p w14:paraId="55F269BB"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4FCF0932"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54A0A0F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1,124,296.44</w:t>
            </w:r>
          </w:p>
        </w:tc>
        <w:tc>
          <w:tcPr>
            <w:tcW w:w="2801" w:type="dxa"/>
            <w:vAlign w:val="center"/>
          </w:tcPr>
          <w:p w14:paraId="314C5A2F"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3.01</w:t>
            </w:r>
          </w:p>
        </w:tc>
      </w:tr>
      <w:tr w:rsidR="006336AE" w:rsidRPr="007B5F21" w14:paraId="0F520A49" w14:textId="77777777" w:rsidTr="00342FE7">
        <w:tc>
          <w:tcPr>
            <w:tcW w:w="720" w:type="dxa"/>
            <w:vAlign w:val="center"/>
          </w:tcPr>
          <w:p w14:paraId="1A98AF5E"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6E8C7A12" w14:textId="77777777"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1E33E4F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47E3F59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57C98BC0" w14:textId="77777777" w:rsidTr="00342FE7">
        <w:tc>
          <w:tcPr>
            <w:tcW w:w="720" w:type="dxa"/>
            <w:vAlign w:val="center"/>
          </w:tcPr>
          <w:p w14:paraId="5961573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065C3B91" w14:textId="77777777"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1B65E7F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F7FE03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13DB9F9C" w14:textId="77777777" w:rsidTr="00342FE7">
        <w:tc>
          <w:tcPr>
            <w:tcW w:w="720" w:type="dxa"/>
            <w:vAlign w:val="center"/>
          </w:tcPr>
          <w:p w14:paraId="6A03228F"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1551B1AD"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552" w:type="dxa"/>
            <w:vAlign w:val="center"/>
          </w:tcPr>
          <w:p w14:paraId="7A19F8A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164674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4FB8EE66" w14:textId="77777777" w:rsidTr="00342FE7">
        <w:tc>
          <w:tcPr>
            <w:tcW w:w="720" w:type="dxa"/>
            <w:vAlign w:val="center"/>
          </w:tcPr>
          <w:p w14:paraId="6B86E4B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3100E712"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0AAD660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92EB3E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54D3133" w14:textId="77777777" w:rsidTr="00342FE7">
        <w:tc>
          <w:tcPr>
            <w:tcW w:w="720" w:type="dxa"/>
            <w:vAlign w:val="center"/>
          </w:tcPr>
          <w:p w14:paraId="049EA975"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55D79E48"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4BE0138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E595CE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4CF9C9C3" w14:textId="77777777" w:rsidTr="00342FE7">
        <w:tc>
          <w:tcPr>
            <w:tcW w:w="720" w:type="dxa"/>
            <w:vAlign w:val="center"/>
          </w:tcPr>
          <w:p w14:paraId="2D656F5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276CE8D2"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182C8B1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1,089,935.52</w:t>
            </w:r>
          </w:p>
        </w:tc>
        <w:tc>
          <w:tcPr>
            <w:tcW w:w="2801" w:type="dxa"/>
            <w:vAlign w:val="center"/>
          </w:tcPr>
          <w:p w14:paraId="7FDFEFA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2.92</w:t>
            </w:r>
          </w:p>
        </w:tc>
      </w:tr>
      <w:tr w:rsidR="006336AE" w:rsidRPr="007B5F21" w14:paraId="035A3B93" w14:textId="77777777" w:rsidTr="00342FE7">
        <w:tc>
          <w:tcPr>
            <w:tcW w:w="720" w:type="dxa"/>
            <w:vAlign w:val="center"/>
          </w:tcPr>
          <w:p w14:paraId="25BE0D7E"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0718517A"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4AFA595C"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15,932.85</w:t>
            </w:r>
          </w:p>
        </w:tc>
        <w:tc>
          <w:tcPr>
            <w:tcW w:w="2801" w:type="dxa"/>
            <w:vAlign w:val="center"/>
          </w:tcPr>
          <w:p w14:paraId="0143066D"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0.04</w:t>
            </w:r>
          </w:p>
        </w:tc>
      </w:tr>
      <w:tr w:rsidR="006336AE" w:rsidRPr="007B5F21" w14:paraId="66B7E742" w14:textId="77777777" w:rsidTr="00342FE7">
        <w:tc>
          <w:tcPr>
            <w:tcW w:w="720" w:type="dxa"/>
            <w:vAlign w:val="center"/>
          </w:tcPr>
          <w:p w14:paraId="37AC1DD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6100AEBA"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723C0151"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37,307,665.57</w:t>
            </w:r>
          </w:p>
        </w:tc>
        <w:tc>
          <w:tcPr>
            <w:tcW w:w="2801" w:type="dxa"/>
            <w:vAlign w:val="center"/>
          </w:tcPr>
          <w:p w14:paraId="030B61E9"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382FB0FC" w14:textId="77777777"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14:paraId="18A5948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233EF45A"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4130F23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0DC919CD"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76EF7D93"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5CB161C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68362064" w14:textId="77777777">
        <w:tc>
          <w:tcPr>
            <w:tcW w:w="817" w:type="dxa"/>
            <w:vAlign w:val="center"/>
          </w:tcPr>
          <w:p w14:paraId="1C0095A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5D7A5F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3A9EE8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7D45576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w:t>
            </w:r>
            <w:r w:rsidRPr="00B27A29">
              <w:rPr>
                <w:rFonts w:eastAsiaTheme="minorEastAsia"/>
                <w:color w:val="000000" w:themeColor="text1"/>
                <w:szCs w:val="21"/>
              </w:rPr>
              <w:lastRenderedPageBreak/>
              <w:t>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511B680A" w14:textId="77777777">
        <w:tc>
          <w:tcPr>
            <w:tcW w:w="817" w:type="dxa"/>
            <w:vAlign w:val="center"/>
          </w:tcPr>
          <w:p w14:paraId="7F859BC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260" w:type="dxa"/>
            <w:vAlign w:val="center"/>
          </w:tcPr>
          <w:p w14:paraId="43B6205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D04B8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1,124,296.44</w:t>
            </w:r>
          </w:p>
        </w:tc>
        <w:tc>
          <w:tcPr>
            <w:tcW w:w="1616" w:type="dxa"/>
            <w:vAlign w:val="center"/>
          </w:tcPr>
          <w:p w14:paraId="793068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w:t>
            </w:r>
          </w:p>
        </w:tc>
      </w:tr>
      <w:tr w:rsidR="005E6DF3" w:rsidRPr="00B27A29" w14:paraId="4F2F5DB2" w14:textId="77777777">
        <w:tc>
          <w:tcPr>
            <w:tcW w:w="817" w:type="dxa"/>
            <w:vAlign w:val="center"/>
          </w:tcPr>
          <w:p w14:paraId="237321E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12E92FD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16DDA5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0184C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4F4F9D" w14:textId="77777777">
        <w:tc>
          <w:tcPr>
            <w:tcW w:w="817" w:type="dxa"/>
            <w:vAlign w:val="center"/>
          </w:tcPr>
          <w:p w14:paraId="672A5F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5F9D1DF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299450D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9EF4C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B4B3B6" w14:textId="77777777">
        <w:tc>
          <w:tcPr>
            <w:tcW w:w="817" w:type="dxa"/>
            <w:vAlign w:val="center"/>
          </w:tcPr>
          <w:p w14:paraId="79ADF680"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21D67CB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3C7C62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AE58F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19489C" w14:textId="77777777">
        <w:tc>
          <w:tcPr>
            <w:tcW w:w="817" w:type="dxa"/>
            <w:vAlign w:val="center"/>
          </w:tcPr>
          <w:p w14:paraId="665F087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66D46B4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E25AA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613E3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F0FFB8" w14:textId="77777777">
        <w:tc>
          <w:tcPr>
            <w:tcW w:w="817" w:type="dxa"/>
            <w:vAlign w:val="center"/>
          </w:tcPr>
          <w:p w14:paraId="190372C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3456D13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01A45F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9DD7C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8BD50C" w14:textId="77777777">
        <w:tc>
          <w:tcPr>
            <w:tcW w:w="817" w:type="dxa"/>
            <w:vAlign w:val="center"/>
          </w:tcPr>
          <w:p w14:paraId="188F1E7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459134B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6EA131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8F957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4EA361" w14:textId="77777777">
        <w:tc>
          <w:tcPr>
            <w:tcW w:w="817" w:type="dxa"/>
            <w:vAlign w:val="center"/>
          </w:tcPr>
          <w:p w14:paraId="1F7907B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012A204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4825C0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B4969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FBDC2A" w14:textId="77777777">
        <w:tc>
          <w:tcPr>
            <w:tcW w:w="817" w:type="dxa"/>
            <w:vAlign w:val="center"/>
          </w:tcPr>
          <w:p w14:paraId="35DEB3D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3BA6968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00E974D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7340D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F944E5" w14:textId="77777777">
        <w:tc>
          <w:tcPr>
            <w:tcW w:w="817" w:type="dxa"/>
            <w:vAlign w:val="center"/>
          </w:tcPr>
          <w:p w14:paraId="533A14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7626086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2C1E08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7484E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D75EAB" w14:textId="77777777">
        <w:tc>
          <w:tcPr>
            <w:tcW w:w="817" w:type="dxa"/>
            <w:vAlign w:val="center"/>
          </w:tcPr>
          <w:p w14:paraId="34D4D35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63BC9BC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55B00B3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1,124,296.44</w:t>
            </w:r>
          </w:p>
        </w:tc>
        <w:tc>
          <w:tcPr>
            <w:tcW w:w="1616" w:type="dxa"/>
            <w:vAlign w:val="center"/>
          </w:tcPr>
          <w:p w14:paraId="5DAAF7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w:t>
            </w:r>
          </w:p>
        </w:tc>
      </w:tr>
    </w:tbl>
    <w:p w14:paraId="1B578A0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620D92B0" w14:textId="77777777">
        <w:tc>
          <w:tcPr>
            <w:tcW w:w="1504" w:type="dxa"/>
            <w:vAlign w:val="center"/>
          </w:tcPr>
          <w:p w14:paraId="085637F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6EACA80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70B8384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66545E0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4DA70E3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1CD993F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21BE1" w14:paraId="63E743EF" w14:textId="77777777">
        <w:tc>
          <w:tcPr>
            <w:tcW w:w="1504" w:type="dxa"/>
            <w:vAlign w:val="center"/>
          </w:tcPr>
          <w:p w14:paraId="3DC159BB" w14:textId="77777777" w:rsidR="00921BE1" w:rsidRDefault="005B6EF0">
            <w:pPr>
              <w:jc w:val="center"/>
            </w:pPr>
            <w:r>
              <w:rPr>
                <w:rFonts w:eastAsiaTheme="minorEastAsia"/>
                <w:color w:val="000000" w:themeColor="text1"/>
                <w:szCs w:val="21"/>
              </w:rPr>
              <w:t>1</w:t>
            </w:r>
          </w:p>
        </w:tc>
        <w:tc>
          <w:tcPr>
            <w:tcW w:w="1504" w:type="dxa"/>
            <w:vAlign w:val="center"/>
          </w:tcPr>
          <w:p w14:paraId="3D9C3513" w14:textId="77777777" w:rsidR="00921BE1" w:rsidRDefault="005B6EF0">
            <w:pPr>
              <w:jc w:val="center"/>
            </w:pPr>
            <w:r>
              <w:rPr>
                <w:rFonts w:eastAsiaTheme="minorEastAsia"/>
                <w:color w:val="000000" w:themeColor="text1"/>
                <w:szCs w:val="21"/>
              </w:rPr>
              <w:t>019727</w:t>
            </w:r>
          </w:p>
        </w:tc>
        <w:tc>
          <w:tcPr>
            <w:tcW w:w="1504" w:type="dxa"/>
            <w:vAlign w:val="center"/>
          </w:tcPr>
          <w:p w14:paraId="2CACE116" w14:textId="77777777" w:rsidR="00921BE1" w:rsidRDefault="005B6EF0">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14:paraId="7F43D1E5" w14:textId="77777777" w:rsidR="00921BE1" w:rsidRDefault="005B6EF0">
            <w:pPr>
              <w:jc w:val="right"/>
            </w:pPr>
            <w:r>
              <w:rPr>
                <w:rFonts w:eastAsiaTheme="minorEastAsia"/>
                <w:color w:val="000000" w:themeColor="text1"/>
                <w:szCs w:val="21"/>
              </w:rPr>
              <w:t>11,000</w:t>
            </w:r>
          </w:p>
        </w:tc>
        <w:tc>
          <w:tcPr>
            <w:tcW w:w="1503" w:type="dxa"/>
            <w:vAlign w:val="center"/>
          </w:tcPr>
          <w:p w14:paraId="67D83447" w14:textId="77777777" w:rsidR="00921BE1" w:rsidRDefault="005B6EF0">
            <w:pPr>
              <w:jc w:val="right"/>
            </w:pPr>
            <w:r>
              <w:rPr>
                <w:rFonts w:eastAsiaTheme="minorEastAsia"/>
                <w:color w:val="000000" w:themeColor="text1"/>
                <w:szCs w:val="21"/>
              </w:rPr>
              <w:t>1,124,296.44</w:t>
            </w:r>
          </w:p>
        </w:tc>
        <w:tc>
          <w:tcPr>
            <w:tcW w:w="1503" w:type="dxa"/>
            <w:vAlign w:val="center"/>
          </w:tcPr>
          <w:p w14:paraId="6C5A6BD2" w14:textId="77777777" w:rsidR="00921BE1" w:rsidRDefault="005B6EF0">
            <w:pPr>
              <w:jc w:val="right"/>
            </w:pPr>
            <w:r>
              <w:rPr>
                <w:rFonts w:eastAsiaTheme="minorEastAsia"/>
                <w:color w:val="000000" w:themeColor="text1"/>
                <w:szCs w:val="21"/>
              </w:rPr>
              <w:t>3.03</w:t>
            </w:r>
          </w:p>
        </w:tc>
      </w:tr>
    </w:tbl>
    <w:p w14:paraId="3A26105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14E0F1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0AA56FE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07C37BA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716BF4C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559B910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C187045"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097EB0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F20047F"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4A59424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14:paraId="5D502B8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7A1D6EB"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6BED428"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21DDD3C1"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33EB1E6" w14:textId="77777777">
        <w:tc>
          <w:tcPr>
            <w:tcW w:w="1110" w:type="dxa"/>
            <w:vAlign w:val="center"/>
          </w:tcPr>
          <w:p w14:paraId="5611690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74F8250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EB1BA2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2BB70FE" w14:textId="77777777">
        <w:tc>
          <w:tcPr>
            <w:tcW w:w="1110" w:type="dxa"/>
            <w:vAlign w:val="center"/>
          </w:tcPr>
          <w:p w14:paraId="073B8EA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2DCB58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382C9E2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540.63</w:t>
            </w:r>
          </w:p>
        </w:tc>
      </w:tr>
      <w:tr w:rsidR="005E6DF3" w:rsidRPr="00B27A29" w14:paraId="24597CD7" w14:textId="77777777">
        <w:tc>
          <w:tcPr>
            <w:tcW w:w="1110" w:type="dxa"/>
            <w:vAlign w:val="center"/>
          </w:tcPr>
          <w:p w14:paraId="0BEA96A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1A2E22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0CAEFA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06CB252" w14:textId="77777777">
        <w:tc>
          <w:tcPr>
            <w:tcW w:w="1110" w:type="dxa"/>
            <w:vAlign w:val="center"/>
          </w:tcPr>
          <w:p w14:paraId="1817186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490FE82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024A1DF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27.99</w:t>
            </w:r>
          </w:p>
        </w:tc>
      </w:tr>
      <w:tr w:rsidR="005E6DF3" w:rsidRPr="00B27A29" w14:paraId="3CFC5062" w14:textId="77777777">
        <w:tc>
          <w:tcPr>
            <w:tcW w:w="1110" w:type="dxa"/>
            <w:vAlign w:val="center"/>
          </w:tcPr>
          <w:p w14:paraId="1501DDF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3AD25F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249681B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0466B45" w14:textId="77777777">
        <w:tc>
          <w:tcPr>
            <w:tcW w:w="1110" w:type="dxa"/>
            <w:vAlign w:val="center"/>
          </w:tcPr>
          <w:p w14:paraId="36A48AD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16ECEF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305CAE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15,358.59</w:t>
            </w:r>
          </w:p>
        </w:tc>
      </w:tr>
      <w:tr w:rsidR="005E6DF3" w:rsidRPr="00B27A29" w14:paraId="48A63ADF" w14:textId="77777777">
        <w:tc>
          <w:tcPr>
            <w:tcW w:w="1110" w:type="dxa"/>
            <w:vAlign w:val="center"/>
          </w:tcPr>
          <w:p w14:paraId="688DFE1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A58E7B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FBEE00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5.64</w:t>
            </w:r>
          </w:p>
        </w:tc>
      </w:tr>
      <w:tr w:rsidR="005E6DF3" w:rsidRPr="00B27A29" w14:paraId="17ED4FBE" w14:textId="77777777">
        <w:tc>
          <w:tcPr>
            <w:tcW w:w="1110" w:type="dxa"/>
            <w:vAlign w:val="center"/>
          </w:tcPr>
          <w:p w14:paraId="2C2D694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52CDB0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4DC712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85BE5F" w14:textId="77777777">
        <w:tc>
          <w:tcPr>
            <w:tcW w:w="1110" w:type="dxa"/>
            <w:vAlign w:val="center"/>
          </w:tcPr>
          <w:p w14:paraId="0618E17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38DBFD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7004498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B6C7D12" w14:textId="77777777">
        <w:tc>
          <w:tcPr>
            <w:tcW w:w="1110" w:type="dxa"/>
            <w:vAlign w:val="center"/>
          </w:tcPr>
          <w:p w14:paraId="78E525F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09ED69E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404137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15,932.85</w:t>
            </w:r>
          </w:p>
        </w:tc>
      </w:tr>
    </w:tbl>
    <w:p w14:paraId="6C0713A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6689A7A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9F1EF0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616B20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5BD5EB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CE8926A" w14:textId="77777777"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14:paraId="7145BBDB" w14:textId="77777777" w:rsidR="00C45886" w:rsidRDefault="00C45886" w:rsidP="00C45886">
      <w:pPr>
        <w:spacing w:before="29" w:line="288" w:lineRule="auto"/>
        <w:ind w:firstLineChars="200" w:firstLine="480"/>
        <w:rPr>
          <w:color w:val="000000"/>
          <w:sz w:val="24"/>
        </w:rPr>
      </w:pPr>
    </w:p>
    <w:p w14:paraId="1B44A81D" w14:textId="77777777" w:rsidR="00C45886" w:rsidRDefault="00C45886" w:rsidP="00C45886">
      <w:pPr>
        <w:spacing w:before="29" w:line="288" w:lineRule="auto"/>
        <w:ind w:firstLineChars="200" w:firstLine="480"/>
        <w:rPr>
          <w:color w:val="000000"/>
          <w:sz w:val="24"/>
        </w:rPr>
      </w:pPr>
    </w:p>
    <w:p w14:paraId="33F21536" w14:textId="77777777"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692486B1" w14:textId="77777777"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14:paraId="6DECC909" w14:textId="77777777" w:rsidTr="00342FE7">
        <w:tc>
          <w:tcPr>
            <w:tcW w:w="452" w:type="pct"/>
            <w:vAlign w:val="center"/>
          </w:tcPr>
          <w:p w14:paraId="3950187B"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50C7FAE7"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22F1500E"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1E98DE4A"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69946F02"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7E738D6B"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32053F14"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0E51A9D3"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921BE1" w14:paraId="200B957D" w14:textId="77777777">
        <w:tc>
          <w:tcPr>
            <w:tcW w:w="817" w:type="dxa"/>
            <w:vAlign w:val="center"/>
          </w:tcPr>
          <w:p w14:paraId="2FE93FC1" w14:textId="77777777" w:rsidR="00921BE1" w:rsidRDefault="005B6EF0">
            <w:pPr>
              <w:jc w:val="center"/>
            </w:pPr>
            <w:r>
              <w:rPr>
                <w:sz w:val="24"/>
              </w:rPr>
              <w:t>1</w:t>
            </w:r>
          </w:p>
        </w:tc>
        <w:tc>
          <w:tcPr>
            <w:tcW w:w="1133" w:type="dxa"/>
            <w:vAlign w:val="center"/>
          </w:tcPr>
          <w:p w14:paraId="223F8EBB" w14:textId="77777777" w:rsidR="00921BE1" w:rsidRDefault="005B6EF0">
            <w:pPr>
              <w:jc w:val="center"/>
            </w:pPr>
            <w:r>
              <w:rPr>
                <w:sz w:val="24"/>
              </w:rPr>
              <w:t>968050</w:t>
            </w:r>
          </w:p>
        </w:tc>
        <w:tc>
          <w:tcPr>
            <w:tcW w:w="1135" w:type="dxa"/>
            <w:vAlign w:val="center"/>
          </w:tcPr>
          <w:p w14:paraId="7B535793" w14:textId="77777777" w:rsidR="00921BE1" w:rsidRDefault="005B6EF0">
            <w:pPr>
              <w:jc w:val="center"/>
            </w:pPr>
            <w:r>
              <w:rPr>
                <w:sz w:val="24"/>
              </w:rPr>
              <w:t>摩根国际债券人民币对冲累计</w:t>
            </w:r>
          </w:p>
        </w:tc>
        <w:tc>
          <w:tcPr>
            <w:tcW w:w="1135" w:type="dxa"/>
            <w:vAlign w:val="center"/>
          </w:tcPr>
          <w:p w14:paraId="475392B8" w14:textId="77777777" w:rsidR="00921BE1" w:rsidRDefault="005B6EF0">
            <w:pPr>
              <w:jc w:val="center"/>
            </w:pPr>
            <w:r>
              <w:rPr>
                <w:sz w:val="24"/>
              </w:rPr>
              <w:t>契约型开放式</w:t>
            </w:r>
          </w:p>
        </w:tc>
        <w:tc>
          <w:tcPr>
            <w:tcW w:w="1133" w:type="dxa"/>
            <w:vAlign w:val="center"/>
          </w:tcPr>
          <w:p w14:paraId="6C308178" w14:textId="77777777" w:rsidR="00921BE1" w:rsidRDefault="005B6EF0">
            <w:pPr>
              <w:jc w:val="center"/>
            </w:pPr>
            <w:r>
              <w:rPr>
                <w:sz w:val="24"/>
              </w:rPr>
              <w:t>278,089.88</w:t>
            </w:r>
          </w:p>
        </w:tc>
        <w:tc>
          <w:tcPr>
            <w:tcW w:w="1276" w:type="dxa"/>
            <w:vAlign w:val="center"/>
          </w:tcPr>
          <w:p w14:paraId="1BE3D6A0" w14:textId="77777777" w:rsidR="00921BE1" w:rsidRDefault="005B6EF0">
            <w:pPr>
              <w:jc w:val="center"/>
            </w:pPr>
            <w:r>
              <w:rPr>
                <w:sz w:val="24"/>
              </w:rPr>
              <w:t>3,025,617.89</w:t>
            </w:r>
          </w:p>
        </w:tc>
        <w:tc>
          <w:tcPr>
            <w:tcW w:w="1135" w:type="dxa"/>
            <w:vAlign w:val="center"/>
          </w:tcPr>
          <w:p w14:paraId="0EAD7FAF" w14:textId="77777777" w:rsidR="00921BE1" w:rsidRDefault="005B6EF0">
            <w:pPr>
              <w:jc w:val="center"/>
            </w:pPr>
            <w:r>
              <w:rPr>
                <w:sz w:val="24"/>
              </w:rPr>
              <w:t>8.14%</w:t>
            </w:r>
          </w:p>
        </w:tc>
        <w:tc>
          <w:tcPr>
            <w:tcW w:w="1272" w:type="dxa"/>
            <w:vAlign w:val="center"/>
          </w:tcPr>
          <w:p w14:paraId="310821F6" w14:textId="77777777" w:rsidR="00921BE1" w:rsidRDefault="005B6EF0">
            <w:pPr>
              <w:jc w:val="center"/>
            </w:pPr>
            <w:r>
              <w:rPr>
                <w:sz w:val="24"/>
              </w:rPr>
              <w:t>是</w:t>
            </w:r>
          </w:p>
        </w:tc>
      </w:tr>
      <w:tr w:rsidR="00921BE1" w14:paraId="79CD5612" w14:textId="77777777">
        <w:tc>
          <w:tcPr>
            <w:tcW w:w="817" w:type="dxa"/>
            <w:vAlign w:val="center"/>
          </w:tcPr>
          <w:p w14:paraId="77729BF2" w14:textId="77777777" w:rsidR="00921BE1" w:rsidRDefault="005B6EF0">
            <w:pPr>
              <w:jc w:val="center"/>
            </w:pPr>
            <w:r>
              <w:rPr>
                <w:sz w:val="24"/>
              </w:rPr>
              <w:t>2</w:t>
            </w:r>
          </w:p>
        </w:tc>
        <w:tc>
          <w:tcPr>
            <w:tcW w:w="1133" w:type="dxa"/>
            <w:vAlign w:val="center"/>
          </w:tcPr>
          <w:p w14:paraId="02D59452" w14:textId="77777777" w:rsidR="00921BE1" w:rsidRDefault="005B6EF0">
            <w:pPr>
              <w:jc w:val="center"/>
            </w:pPr>
            <w:r>
              <w:rPr>
                <w:sz w:val="24"/>
              </w:rPr>
              <w:t>531028</w:t>
            </w:r>
          </w:p>
        </w:tc>
        <w:tc>
          <w:tcPr>
            <w:tcW w:w="1135" w:type="dxa"/>
            <w:vAlign w:val="center"/>
          </w:tcPr>
          <w:p w14:paraId="56A7B593" w14:textId="77777777" w:rsidR="00921BE1" w:rsidRDefault="005B6EF0">
            <w:pPr>
              <w:jc w:val="center"/>
            </w:pPr>
            <w:r>
              <w:rPr>
                <w:sz w:val="24"/>
              </w:rPr>
              <w:t>建信短</w:t>
            </w:r>
            <w:proofErr w:type="gramStart"/>
            <w:r>
              <w:rPr>
                <w:sz w:val="24"/>
              </w:rPr>
              <w:t>债</w:t>
            </w:r>
            <w:proofErr w:type="gramEnd"/>
            <w:r>
              <w:rPr>
                <w:sz w:val="24"/>
              </w:rPr>
              <w:t>债券</w:t>
            </w:r>
            <w:r>
              <w:rPr>
                <w:sz w:val="24"/>
              </w:rPr>
              <w:t>A</w:t>
            </w:r>
          </w:p>
        </w:tc>
        <w:tc>
          <w:tcPr>
            <w:tcW w:w="1135" w:type="dxa"/>
            <w:vAlign w:val="center"/>
          </w:tcPr>
          <w:p w14:paraId="7AEDB38D" w14:textId="77777777" w:rsidR="00921BE1" w:rsidRDefault="005B6EF0">
            <w:pPr>
              <w:jc w:val="center"/>
            </w:pPr>
            <w:r>
              <w:rPr>
                <w:sz w:val="24"/>
              </w:rPr>
              <w:t>契约型开放式</w:t>
            </w:r>
          </w:p>
        </w:tc>
        <w:tc>
          <w:tcPr>
            <w:tcW w:w="1133" w:type="dxa"/>
            <w:vAlign w:val="center"/>
          </w:tcPr>
          <w:p w14:paraId="0C0E0F54" w14:textId="77777777" w:rsidR="00921BE1" w:rsidRDefault="005B6EF0">
            <w:pPr>
              <w:jc w:val="center"/>
            </w:pPr>
            <w:r>
              <w:rPr>
                <w:sz w:val="24"/>
              </w:rPr>
              <w:t>2,046,574.46</w:t>
            </w:r>
          </w:p>
        </w:tc>
        <w:tc>
          <w:tcPr>
            <w:tcW w:w="1276" w:type="dxa"/>
            <w:vAlign w:val="center"/>
          </w:tcPr>
          <w:p w14:paraId="126EBA99" w14:textId="77777777" w:rsidR="00921BE1" w:rsidRDefault="005B6EF0">
            <w:pPr>
              <w:jc w:val="center"/>
            </w:pPr>
            <w:r>
              <w:rPr>
                <w:sz w:val="24"/>
              </w:rPr>
              <w:t>2,315,903.66</w:t>
            </w:r>
          </w:p>
        </w:tc>
        <w:tc>
          <w:tcPr>
            <w:tcW w:w="1135" w:type="dxa"/>
            <w:vAlign w:val="center"/>
          </w:tcPr>
          <w:p w14:paraId="3CF93216" w14:textId="77777777" w:rsidR="00921BE1" w:rsidRDefault="005B6EF0">
            <w:pPr>
              <w:jc w:val="center"/>
            </w:pPr>
            <w:r>
              <w:rPr>
                <w:sz w:val="24"/>
              </w:rPr>
              <w:t>6.23%</w:t>
            </w:r>
          </w:p>
        </w:tc>
        <w:tc>
          <w:tcPr>
            <w:tcW w:w="1272" w:type="dxa"/>
            <w:vAlign w:val="center"/>
          </w:tcPr>
          <w:p w14:paraId="3F0339CD" w14:textId="77777777" w:rsidR="00921BE1" w:rsidRDefault="005B6EF0">
            <w:pPr>
              <w:jc w:val="center"/>
            </w:pPr>
            <w:r>
              <w:rPr>
                <w:sz w:val="24"/>
              </w:rPr>
              <w:t>否</w:t>
            </w:r>
          </w:p>
        </w:tc>
      </w:tr>
      <w:tr w:rsidR="00921BE1" w14:paraId="4955AD51" w14:textId="77777777">
        <w:tc>
          <w:tcPr>
            <w:tcW w:w="817" w:type="dxa"/>
            <w:vAlign w:val="center"/>
          </w:tcPr>
          <w:p w14:paraId="556BE042" w14:textId="77777777" w:rsidR="00921BE1" w:rsidRDefault="005B6EF0">
            <w:pPr>
              <w:jc w:val="center"/>
            </w:pPr>
            <w:r>
              <w:rPr>
                <w:sz w:val="24"/>
              </w:rPr>
              <w:t>3</w:t>
            </w:r>
          </w:p>
        </w:tc>
        <w:tc>
          <w:tcPr>
            <w:tcW w:w="1133" w:type="dxa"/>
            <w:vAlign w:val="center"/>
          </w:tcPr>
          <w:p w14:paraId="26871739" w14:textId="77777777" w:rsidR="00921BE1" w:rsidRDefault="005B6EF0">
            <w:pPr>
              <w:jc w:val="center"/>
            </w:pPr>
            <w:r>
              <w:rPr>
                <w:sz w:val="24"/>
              </w:rPr>
              <w:t>380009</w:t>
            </w:r>
          </w:p>
        </w:tc>
        <w:tc>
          <w:tcPr>
            <w:tcW w:w="1135" w:type="dxa"/>
            <w:vAlign w:val="center"/>
          </w:tcPr>
          <w:p w14:paraId="2792B7FB" w14:textId="77777777" w:rsidR="00921BE1" w:rsidRDefault="005B6EF0">
            <w:pPr>
              <w:jc w:val="center"/>
            </w:pPr>
            <w:r>
              <w:rPr>
                <w:sz w:val="24"/>
              </w:rPr>
              <w:t>中银添利债券发起</w:t>
            </w:r>
            <w:r>
              <w:rPr>
                <w:sz w:val="24"/>
              </w:rPr>
              <w:t>A</w:t>
            </w:r>
          </w:p>
        </w:tc>
        <w:tc>
          <w:tcPr>
            <w:tcW w:w="1135" w:type="dxa"/>
            <w:vAlign w:val="center"/>
          </w:tcPr>
          <w:p w14:paraId="42A8DC98" w14:textId="77777777" w:rsidR="00921BE1" w:rsidRDefault="005B6EF0">
            <w:pPr>
              <w:jc w:val="center"/>
            </w:pPr>
            <w:r>
              <w:rPr>
                <w:sz w:val="24"/>
              </w:rPr>
              <w:t>契约型开放式</w:t>
            </w:r>
          </w:p>
        </w:tc>
        <w:tc>
          <w:tcPr>
            <w:tcW w:w="1133" w:type="dxa"/>
            <w:vAlign w:val="center"/>
          </w:tcPr>
          <w:p w14:paraId="632386D6" w14:textId="77777777" w:rsidR="00921BE1" w:rsidRDefault="005B6EF0">
            <w:pPr>
              <w:jc w:val="center"/>
            </w:pPr>
            <w:r>
              <w:rPr>
                <w:sz w:val="24"/>
              </w:rPr>
              <w:t>1,583,092.59</w:t>
            </w:r>
          </w:p>
        </w:tc>
        <w:tc>
          <w:tcPr>
            <w:tcW w:w="1276" w:type="dxa"/>
            <w:vAlign w:val="center"/>
          </w:tcPr>
          <w:p w14:paraId="64F8B4DA" w14:textId="77777777" w:rsidR="00921BE1" w:rsidRDefault="005B6EF0">
            <w:pPr>
              <w:jc w:val="center"/>
            </w:pPr>
            <w:r>
              <w:rPr>
                <w:sz w:val="24"/>
              </w:rPr>
              <w:t>2,216,329.63</w:t>
            </w:r>
          </w:p>
        </w:tc>
        <w:tc>
          <w:tcPr>
            <w:tcW w:w="1135" w:type="dxa"/>
            <w:vAlign w:val="center"/>
          </w:tcPr>
          <w:p w14:paraId="343F0BBA" w14:textId="77777777" w:rsidR="00921BE1" w:rsidRDefault="005B6EF0">
            <w:pPr>
              <w:jc w:val="center"/>
            </w:pPr>
            <w:r>
              <w:rPr>
                <w:sz w:val="24"/>
              </w:rPr>
              <w:t>5.96%</w:t>
            </w:r>
          </w:p>
        </w:tc>
        <w:tc>
          <w:tcPr>
            <w:tcW w:w="1272" w:type="dxa"/>
            <w:vAlign w:val="center"/>
          </w:tcPr>
          <w:p w14:paraId="71B1B410" w14:textId="77777777" w:rsidR="00921BE1" w:rsidRDefault="005B6EF0">
            <w:pPr>
              <w:jc w:val="center"/>
            </w:pPr>
            <w:r>
              <w:rPr>
                <w:sz w:val="24"/>
              </w:rPr>
              <w:t>否</w:t>
            </w:r>
          </w:p>
        </w:tc>
      </w:tr>
      <w:tr w:rsidR="00921BE1" w14:paraId="5272EEDB" w14:textId="77777777">
        <w:tc>
          <w:tcPr>
            <w:tcW w:w="817" w:type="dxa"/>
            <w:vAlign w:val="center"/>
          </w:tcPr>
          <w:p w14:paraId="76E6DEA7" w14:textId="77777777" w:rsidR="00921BE1" w:rsidRDefault="005B6EF0">
            <w:pPr>
              <w:jc w:val="center"/>
            </w:pPr>
            <w:r>
              <w:rPr>
                <w:sz w:val="24"/>
              </w:rPr>
              <w:t>4</w:t>
            </w:r>
          </w:p>
        </w:tc>
        <w:tc>
          <w:tcPr>
            <w:tcW w:w="1133" w:type="dxa"/>
            <w:vAlign w:val="center"/>
          </w:tcPr>
          <w:p w14:paraId="11F8B1E5" w14:textId="77777777" w:rsidR="00921BE1" w:rsidRDefault="005B6EF0">
            <w:pPr>
              <w:jc w:val="center"/>
            </w:pPr>
            <w:r>
              <w:rPr>
                <w:sz w:val="24"/>
              </w:rPr>
              <w:t>002702</w:t>
            </w:r>
          </w:p>
        </w:tc>
        <w:tc>
          <w:tcPr>
            <w:tcW w:w="1135" w:type="dxa"/>
            <w:vAlign w:val="center"/>
          </w:tcPr>
          <w:p w14:paraId="0CCD502C" w14:textId="77777777" w:rsidR="00921BE1" w:rsidRDefault="005B6EF0">
            <w:pPr>
              <w:jc w:val="center"/>
            </w:pPr>
            <w:proofErr w:type="gramStart"/>
            <w:r>
              <w:rPr>
                <w:sz w:val="24"/>
              </w:rPr>
              <w:t>东方红汇阳债券</w:t>
            </w:r>
            <w:proofErr w:type="gramEnd"/>
            <w:r>
              <w:rPr>
                <w:sz w:val="24"/>
              </w:rPr>
              <w:t>C</w:t>
            </w:r>
          </w:p>
        </w:tc>
        <w:tc>
          <w:tcPr>
            <w:tcW w:w="1135" w:type="dxa"/>
            <w:vAlign w:val="center"/>
          </w:tcPr>
          <w:p w14:paraId="3B896161" w14:textId="77777777" w:rsidR="00921BE1" w:rsidRDefault="005B6EF0">
            <w:pPr>
              <w:jc w:val="center"/>
            </w:pPr>
            <w:r>
              <w:rPr>
                <w:sz w:val="24"/>
              </w:rPr>
              <w:t>契约型开放式</w:t>
            </w:r>
          </w:p>
        </w:tc>
        <w:tc>
          <w:tcPr>
            <w:tcW w:w="1133" w:type="dxa"/>
            <w:vAlign w:val="center"/>
          </w:tcPr>
          <w:p w14:paraId="2069A553" w14:textId="77777777" w:rsidR="00921BE1" w:rsidRDefault="005B6EF0">
            <w:pPr>
              <w:jc w:val="center"/>
            </w:pPr>
            <w:r>
              <w:rPr>
                <w:sz w:val="24"/>
              </w:rPr>
              <w:t>1,933,402.20</w:t>
            </w:r>
          </w:p>
        </w:tc>
        <w:tc>
          <w:tcPr>
            <w:tcW w:w="1276" w:type="dxa"/>
            <w:vAlign w:val="center"/>
          </w:tcPr>
          <w:p w14:paraId="0FF827E3" w14:textId="77777777" w:rsidR="00921BE1" w:rsidRDefault="005B6EF0">
            <w:pPr>
              <w:jc w:val="center"/>
            </w:pPr>
            <w:r>
              <w:rPr>
                <w:sz w:val="24"/>
              </w:rPr>
              <w:t>2,127,322.44</w:t>
            </w:r>
          </w:p>
        </w:tc>
        <w:tc>
          <w:tcPr>
            <w:tcW w:w="1135" w:type="dxa"/>
            <w:vAlign w:val="center"/>
          </w:tcPr>
          <w:p w14:paraId="3E1EF4EC" w14:textId="77777777" w:rsidR="00921BE1" w:rsidRDefault="005B6EF0">
            <w:pPr>
              <w:jc w:val="center"/>
            </w:pPr>
            <w:r>
              <w:rPr>
                <w:sz w:val="24"/>
              </w:rPr>
              <w:t>5.72%</w:t>
            </w:r>
          </w:p>
        </w:tc>
        <w:tc>
          <w:tcPr>
            <w:tcW w:w="1272" w:type="dxa"/>
            <w:vAlign w:val="center"/>
          </w:tcPr>
          <w:p w14:paraId="44A6EA2F" w14:textId="77777777" w:rsidR="00921BE1" w:rsidRDefault="005B6EF0">
            <w:pPr>
              <w:jc w:val="center"/>
            </w:pPr>
            <w:r>
              <w:rPr>
                <w:sz w:val="24"/>
              </w:rPr>
              <w:t>否</w:t>
            </w:r>
          </w:p>
        </w:tc>
      </w:tr>
      <w:tr w:rsidR="00921BE1" w14:paraId="37EA6F12" w14:textId="77777777">
        <w:tc>
          <w:tcPr>
            <w:tcW w:w="817" w:type="dxa"/>
            <w:vAlign w:val="center"/>
          </w:tcPr>
          <w:p w14:paraId="1E4222F9" w14:textId="77777777" w:rsidR="00921BE1" w:rsidRDefault="005B6EF0">
            <w:pPr>
              <w:jc w:val="center"/>
            </w:pPr>
            <w:r>
              <w:rPr>
                <w:sz w:val="24"/>
              </w:rPr>
              <w:t>5</w:t>
            </w:r>
          </w:p>
        </w:tc>
        <w:tc>
          <w:tcPr>
            <w:tcW w:w="1133" w:type="dxa"/>
            <w:vAlign w:val="center"/>
          </w:tcPr>
          <w:p w14:paraId="6A447502" w14:textId="77777777" w:rsidR="00921BE1" w:rsidRDefault="005B6EF0">
            <w:pPr>
              <w:jc w:val="center"/>
            </w:pPr>
            <w:r>
              <w:rPr>
                <w:sz w:val="24"/>
              </w:rPr>
              <w:t>519782</w:t>
            </w:r>
          </w:p>
        </w:tc>
        <w:tc>
          <w:tcPr>
            <w:tcW w:w="1135" w:type="dxa"/>
            <w:vAlign w:val="center"/>
          </w:tcPr>
          <w:p w14:paraId="5F49C3A9" w14:textId="77777777" w:rsidR="00921BE1" w:rsidRDefault="005B6EF0">
            <w:pPr>
              <w:jc w:val="center"/>
            </w:pPr>
            <w:proofErr w:type="gramStart"/>
            <w:r>
              <w:rPr>
                <w:sz w:val="24"/>
              </w:rPr>
              <w:t>交银裕隆</w:t>
            </w:r>
            <w:proofErr w:type="gramEnd"/>
            <w:r>
              <w:rPr>
                <w:sz w:val="24"/>
              </w:rPr>
              <w:t>纯</w:t>
            </w:r>
            <w:proofErr w:type="gramStart"/>
            <w:r>
              <w:rPr>
                <w:sz w:val="24"/>
              </w:rPr>
              <w:t>债</w:t>
            </w:r>
            <w:proofErr w:type="gramEnd"/>
            <w:r>
              <w:rPr>
                <w:sz w:val="24"/>
              </w:rPr>
              <w:t>债券</w:t>
            </w:r>
            <w:r>
              <w:rPr>
                <w:sz w:val="24"/>
              </w:rPr>
              <w:t>A</w:t>
            </w:r>
          </w:p>
        </w:tc>
        <w:tc>
          <w:tcPr>
            <w:tcW w:w="1135" w:type="dxa"/>
            <w:vAlign w:val="center"/>
          </w:tcPr>
          <w:p w14:paraId="2BE426DA" w14:textId="77777777" w:rsidR="00921BE1" w:rsidRDefault="005B6EF0">
            <w:pPr>
              <w:jc w:val="center"/>
            </w:pPr>
            <w:r>
              <w:rPr>
                <w:sz w:val="24"/>
              </w:rPr>
              <w:t>契约型开放式</w:t>
            </w:r>
          </w:p>
        </w:tc>
        <w:tc>
          <w:tcPr>
            <w:tcW w:w="1133" w:type="dxa"/>
            <w:vAlign w:val="center"/>
          </w:tcPr>
          <w:p w14:paraId="6AB347B8" w14:textId="77777777" w:rsidR="00921BE1" w:rsidRDefault="005B6EF0">
            <w:pPr>
              <w:jc w:val="center"/>
            </w:pPr>
            <w:r>
              <w:rPr>
                <w:sz w:val="24"/>
              </w:rPr>
              <w:t>1,502,245.15</w:t>
            </w:r>
          </w:p>
        </w:tc>
        <w:tc>
          <w:tcPr>
            <w:tcW w:w="1276" w:type="dxa"/>
            <w:vAlign w:val="center"/>
          </w:tcPr>
          <w:p w14:paraId="7AD34577" w14:textId="77777777" w:rsidR="00921BE1" w:rsidRDefault="005B6EF0">
            <w:pPr>
              <w:jc w:val="center"/>
            </w:pPr>
            <w:r>
              <w:rPr>
                <w:sz w:val="24"/>
              </w:rPr>
              <w:t>2,063,934.61</w:t>
            </w:r>
          </w:p>
        </w:tc>
        <w:tc>
          <w:tcPr>
            <w:tcW w:w="1135" w:type="dxa"/>
            <w:vAlign w:val="center"/>
          </w:tcPr>
          <w:p w14:paraId="161CEE74" w14:textId="77777777" w:rsidR="00921BE1" w:rsidRDefault="005B6EF0">
            <w:pPr>
              <w:jc w:val="center"/>
            </w:pPr>
            <w:r>
              <w:rPr>
                <w:sz w:val="24"/>
              </w:rPr>
              <w:t>5.55%</w:t>
            </w:r>
          </w:p>
        </w:tc>
        <w:tc>
          <w:tcPr>
            <w:tcW w:w="1272" w:type="dxa"/>
            <w:vAlign w:val="center"/>
          </w:tcPr>
          <w:p w14:paraId="6EF4944E" w14:textId="77777777" w:rsidR="00921BE1" w:rsidRDefault="005B6EF0">
            <w:pPr>
              <w:jc w:val="center"/>
            </w:pPr>
            <w:r>
              <w:rPr>
                <w:sz w:val="24"/>
              </w:rPr>
              <w:t>否</w:t>
            </w:r>
          </w:p>
        </w:tc>
      </w:tr>
      <w:tr w:rsidR="00921BE1" w14:paraId="27D27CBC" w14:textId="77777777">
        <w:tc>
          <w:tcPr>
            <w:tcW w:w="817" w:type="dxa"/>
            <w:vAlign w:val="center"/>
          </w:tcPr>
          <w:p w14:paraId="37B3CD65" w14:textId="77777777" w:rsidR="00921BE1" w:rsidRDefault="005B6EF0">
            <w:pPr>
              <w:jc w:val="center"/>
            </w:pPr>
            <w:r>
              <w:rPr>
                <w:sz w:val="24"/>
              </w:rPr>
              <w:t>6</w:t>
            </w:r>
          </w:p>
        </w:tc>
        <w:tc>
          <w:tcPr>
            <w:tcW w:w="1133" w:type="dxa"/>
            <w:vAlign w:val="center"/>
          </w:tcPr>
          <w:p w14:paraId="07DB7CF4" w14:textId="77777777" w:rsidR="00921BE1" w:rsidRDefault="005B6EF0">
            <w:pPr>
              <w:jc w:val="center"/>
            </w:pPr>
            <w:r>
              <w:rPr>
                <w:sz w:val="24"/>
              </w:rPr>
              <w:t>000107</w:t>
            </w:r>
          </w:p>
        </w:tc>
        <w:tc>
          <w:tcPr>
            <w:tcW w:w="1135" w:type="dxa"/>
            <w:vAlign w:val="center"/>
          </w:tcPr>
          <w:p w14:paraId="0A554747" w14:textId="77777777" w:rsidR="00921BE1" w:rsidRDefault="005B6EF0">
            <w:pPr>
              <w:jc w:val="center"/>
            </w:pPr>
            <w:r>
              <w:rPr>
                <w:sz w:val="24"/>
              </w:rPr>
              <w:t>富国</w:t>
            </w:r>
            <w:proofErr w:type="gramStart"/>
            <w:r>
              <w:rPr>
                <w:sz w:val="24"/>
              </w:rPr>
              <w:t>稳健增强</w:t>
            </w:r>
            <w:proofErr w:type="gramEnd"/>
            <w:r>
              <w:rPr>
                <w:sz w:val="24"/>
              </w:rPr>
              <w:t>债券</w:t>
            </w:r>
            <w:r>
              <w:rPr>
                <w:sz w:val="24"/>
              </w:rPr>
              <w:t>A/B</w:t>
            </w:r>
          </w:p>
        </w:tc>
        <w:tc>
          <w:tcPr>
            <w:tcW w:w="1135" w:type="dxa"/>
            <w:vAlign w:val="center"/>
          </w:tcPr>
          <w:p w14:paraId="049C2FD6" w14:textId="77777777" w:rsidR="00921BE1" w:rsidRDefault="005B6EF0">
            <w:pPr>
              <w:jc w:val="center"/>
            </w:pPr>
            <w:r>
              <w:rPr>
                <w:sz w:val="24"/>
              </w:rPr>
              <w:t>契约型开放式</w:t>
            </w:r>
          </w:p>
        </w:tc>
        <w:tc>
          <w:tcPr>
            <w:tcW w:w="1133" w:type="dxa"/>
            <w:vAlign w:val="center"/>
          </w:tcPr>
          <w:p w14:paraId="76E3CB54" w14:textId="77777777" w:rsidR="00921BE1" w:rsidRDefault="005B6EF0">
            <w:pPr>
              <w:jc w:val="center"/>
            </w:pPr>
            <w:r>
              <w:rPr>
                <w:sz w:val="24"/>
              </w:rPr>
              <w:t>1,254,949.61</w:t>
            </w:r>
          </w:p>
        </w:tc>
        <w:tc>
          <w:tcPr>
            <w:tcW w:w="1276" w:type="dxa"/>
            <w:vAlign w:val="center"/>
          </w:tcPr>
          <w:p w14:paraId="1BFC4443" w14:textId="77777777" w:rsidR="00921BE1" w:rsidRDefault="005B6EF0">
            <w:pPr>
              <w:jc w:val="center"/>
            </w:pPr>
            <w:r>
              <w:rPr>
                <w:sz w:val="24"/>
              </w:rPr>
              <w:t>1,595,040.95</w:t>
            </w:r>
          </w:p>
        </w:tc>
        <w:tc>
          <w:tcPr>
            <w:tcW w:w="1135" w:type="dxa"/>
            <w:vAlign w:val="center"/>
          </w:tcPr>
          <w:p w14:paraId="37D383CD" w14:textId="77777777" w:rsidR="00921BE1" w:rsidRDefault="005B6EF0">
            <w:pPr>
              <w:jc w:val="center"/>
            </w:pPr>
            <w:r>
              <w:rPr>
                <w:sz w:val="24"/>
              </w:rPr>
              <w:t>4.29%</w:t>
            </w:r>
          </w:p>
        </w:tc>
        <w:tc>
          <w:tcPr>
            <w:tcW w:w="1272" w:type="dxa"/>
            <w:vAlign w:val="center"/>
          </w:tcPr>
          <w:p w14:paraId="4874118F" w14:textId="77777777" w:rsidR="00921BE1" w:rsidRDefault="005B6EF0">
            <w:pPr>
              <w:jc w:val="center"/>
            </w:pPr>
            <w:r>
              <w:rPr>
                <w:sz w:val="24"/>
              </w:rPr>
              <w:t>否</w:t>
            </w:r>
          </w:p>
        </w:tc>
      </w:tr>
      <w:tr w:rsidR="00921BE1" w14:paraId="72B05F97" w14:textId="77777777">
        <w:tc>
          <w:tcPr>
            <w:tcW w:w="817" w:type="dxa"/>
            <w:vAlign w:val="center"/>
          </w:tcPr>
          <w:p w14:paraId="5107ED58" w14:textId="77777777" w:rsidR="00921BE1" w:rsidRDefault="005B6EF0">
            <w:pPr>
              <w:jc w:val="center"/>
            </w:pPr>
            <w:r>
              <w:rPr>
                <w:sz w:val="24"/>
              </w:rPr>
              <w:t>7</w:t>
            </w:r>
          </w:p>
        </w:tc>
        <w:tc>
          <w:tcPr>
            <w:tcW w:w="1133" w:type="dxa"/>
            <w:vAlign w:val="center"/>
          </w:tcPr>
          <w:p w14:paraId="382939E3" w14:textId="77777777" w:rsidR="00921BE1" w:rsidRDefault="005B6EF0">
            <w:pPr>
              <w:jc w:val="center"/>
            </w:pPr>
            <w:r>
              <w:rPr>
                <w:sz w:val="24"/>
              </w:rPr>
              <w:t>009100</w:t>
            </w:r>
          </w:p>
        </w:tc>
        <w:tc>
          <w:tcPr>
            <w:tcW w:w="1135" w:type="dxa"/>
            <w:vAlign w:val="center"/>
          </w:tcPr>
          <w:p w14:paraId="209E890A" w14:textId="77777777" w:rsidR="00921BE1" w:rsidRDefault="005B6EF0">
            <w:pPr>
              <w:jc w:val="center"/>
            </w:pPr>
            <w:r>
              <w:rPr>
                <w:sz w:val="24"/>
              </w:rPr>
              <w:t>安信稳健增利混合</w:t>
            </w:r>
            <w:r>
              <w:rPr>
                <w:sz w:val="24"/>
              </w:rPr>
              <w:t>A</w:t>
            </w:r>
          </w:p>
        </w:tc>
        <w:tc>
          <w:tcPr>
            <w:tcW w:w="1135" w:type="dxa"/>
            <w:vAlign w:val="center"/>
          </w:tcPr>
          <w:p w14:paraId="7CFC1AB9" w14:textId="77777777" w:rsidR="00921BE1" w:rsidRDefault="005B6EF0">
            <w:pPr>
              <w:jc w:val="center"/>
            </w:pPr>
            <w:r>
              <w:rPr>
                <w:sz w:val="24"/>
              </w:rPr>
              <w:t>契约型开放式</w:t>
            </w:r>
          </w:p>
        </w:tc>
        <w:tc>
          <w:tcPr>
            <w:tcW w:w="1133" w:type="dxa"/>
            <w:vAlign w:val="center"/>
          </w:tcPr>
          <w:p w14:paraId="6E9A2018" w14:textId="77777777" w:rsidR="00921BE1" w:rsidRDefault="005B6EF0">
            <w:pPr>
              <w:jc w:val="center"/>
            </w:pPr>
            <w:r>
              <w:rPr>
                <w:sz w:val="24"/>
              </w:rPr>
              <w:t>1,158,907.87</w:t>
            </w:r>
          </w:p>
        </w:tc>
        <w:tc>
          <w:tcPr>
            <w:tcW w:w="1276" w:type="dxa"/>
            <w:vAlign w:val="center"/>
          </w:tcPr>
          <w:p w14:paraId="29CE2059" w14:textId="77777777" w:rsidR="00921BE1" w:rsidRDefault="005B6EF0">
            <w:pPr>
              <w:jc w:val="center"/>
            </w:pPr>
            <w:r>
              <w:rPr>
                <w:sz w:val="24"/>
              </w:rPr>
              <w:t>1,550,039.28</w:t>
            </w:r>
          </w:p>
        </w:tc>
        <w:tc>
          <w:tcPr>
            <w:tcW w:w="1135" w:type="dxa"/>
            <w:vAlign w:val="center"/>
          </w:tcPr>
          <w:p w14:paraId="63BBB1E6" w14:textId="77777777" w:rsidR="00921BE1" w:rsidRDefault="005B6EF0">
            <w:pPr>
              <w:jc w:val="center"/>
            </w:pPr>
            <w:r>
              <w:rPr>
                <w:sz w:val="24"/>
              </w:rPr>
              <w:t>4.17%</w:t>
            </w:r>
          </w:p>
        </w:tc>
        <w:tc>
          <w:tcPr>
            <w:tcW w:w="1272" w:type="dxa"/>
            <w:vAlign w:val="center"/>
          </w:tcPr>
          <w:p w14:paraId="32A4ADE8" w14:textId="77777777" w:rsidR="00921BE1" w:rsidRDefault="005B6EF0">
            <w:pPr>
              <w:jc w:val="center"/>
            </w:pPr>
            <w:r>
              <w:rPr>
                <w:sz w:val="24"/>
              </w:rPr>
              <w:t>否</w:t>
            </w:r>
          </w:p>
        </w:tc>
      </w:tr>
      <w:tr w:rsidR="00921BE1" w14:paraId="546029E4" w14:textId="77777777">
        <w:tc>
          <w:tcPr>
            <w:tcW w:w="817" w:type="dxa"/>
            <w:vAlign w:val="center"/>
          </w:tcPr>
          <w:p w14:paraId="73501A8A" w14:textId="77777777" w:rsidR="00921BE1" w:rsidRDefault="005B6EF0">
            <w:pPr>
              <w:jc w:val="center"/>
            </w:pPr>
            <w:r>
              <w:rPr>
                <w:sz w:val="24"/>
              </w:rPr>
              <w:t>8</w:t>
            </w:r>
          </w:p>
        </w:tc>
        <w:tc>
          <w:tcPr>
            <w:tcW w:w="1133" w:type="dxa"/>
            <w:vAlign w:val="center"/>
          </w:tcPr>
          <w:p w14:paraId="6317158B" w14:textId="77777777" w:rsidR="00921BE1" w:rsidRDefault="005B6EF0">
            <w:pPr>
              <w:jc w:val="center"/>
            </w:pPr>
            <w:r>
              <w:rPr>
                <w:sz w:val="24"/>
              </w:rPr>
              <w:t>000385</w:t>
            </w:r>
          </w:p>
        </w:tc>
        <w:tc>
          <w:tcPr>
            <w:tcW w:w="1135" w:type="dxa"/>
            <w:vAlign w:val="center"/>
          </w:tcPr>
          <w:p w14:paraId="07A2679E" w14:textId="77777777" w:rsidR="00921BE1" w:rsidRDefault="005B6EF0">
            <w:pPr>
              <w:jc w:val="center"/>
            </w:pPr>
            <w:r>
              <w:rPr>
                <w:sz w:val="24"/>
              </w:rPr>
              <w:t>景顺长城景颐双利债券</w:t>
            </w:r>
            <w:r>
              <w:rPr>
                <w:sz w:val="24"/>
              </w:rPr>
              <w:t>A</w:t>
            </w:r>
            <w:r>
              <w:rPr>
                <w:sz w:val="24"/>
              </w:rPr>
              <w:t>类</w:t>
            </w:r>
          </w:p>
        </w:tc>
        <w:tc>
          <w:tcPr>
            <w:tcW w:w="1135" w:type="dxa"/>
            <w:vAlign w:val="center"/>
          </w:tcPr>
          <w:p w14:paraId="7C6DBE02" w14:textId="77777777" w:rsidR="00921BE1" w:rsidRDefault="005B6EF0">
            <w:pPr>
              <w:jc w:val="center"/>
            </w:pPr>
            <w:r>
              <w:rPr>
                <w:sz w:val="24"/>
              </w:rPr>
              <w:t>契约型开放式</w:t>
            </w:r>
          </w:p>
        </w:tc>
        <w:tc>
          <w:tcPr>
            <w:tcW w:w="1133" w:type="dxa"/>
            <w:vAlign w:val="center"/>
          </w:tcPr>
          <w:p w14:paraId="191F59FA" w14:textId="77777777" w:rsidR="00921BE1" w:rsidRDefault="005B6EF0">
            <w:pPr>
              <w:jc w:val="center"/>
            </w:pPr>
            <w:r>
              <w:rPr>
                <w:sz w:val="24"/>
              </w:rPr>
              <w:t>873,183.80</w:t>
            </w:r>
          </w:p>
        </w:tc>
        <w:tc>
          <w:tcPr>
            <w:tcW w:w="1276" w:type="dxa"/>
            <w:vAlign w:val="center"/>
          </w:tcPr>
          <w:p w14:paraId="62CB7A0D" w14:textId="77777777" w:rsidR="00921BE1" w:rsidRDefault="005B6EF0">
            <w:pPr>
              <w:jc w:val="center"/>
            </w:pPr>
            <w:r>
              <w:rPr>
                <w:sz w:val="24"/>
              </w:rPr>
              <w:t>1,487,905.20</w:t>
            </w:r>
          </w:p>
        </w:tc>
        <w:tc>
          <w:tcPr>
            <w:tcW w:w="1135" w:type="dxa"/>
            <w:vAlign w:val="center"/>
          </w:tcPr>
          <w:p w14:paraId="33162156" w14:textId="77777777" w:rsidR="00921BE1" w:rsidRDefault="005B6EF0">
            <w:pPr>
              <w:jc w:val="center"/>
            </w:pPr>
            <w:r>
              <w:rPr>
                <w:sz w:val="24"/>
              </w:rPr>
              <w:t>4.00%</w:t>
            </w:r>
          </w:p>
        </w:tc>
        <w:tc>
          <w:tcPr>
            <w:tcW w:w="1272" w:type="dxa"/>
            <w:vAlign w:val="center"/>
          </w:tcPr>
          <w:p w14:paraId="7309A732" w14:textId="77777777" w:rsidR="00921BE1" w:rsidRDefault="005B6EF0">
            <w:pPr>
              <w:jc w:val="center"/>
            </w:pPr>
            <w:r>
              <w:rPr>
                <w:sz w:val="24"/>
              </w:rPr>
              <w:t>否</w:t>
            </w:r>
          </w:p>
        </w:tc>
      </w:tr>
      <w:tr w:rsidR="00921BE1" w14:paraId="60E8BA7F" w14:textId="77777777">
        <w:tc>
          <w:tcPr>
            <w:tcW w:w="817" w:type="dxa"/>
            <w:vAlign w:val="center"/>
          </w:tcPr>
          <w:p w14:paraId="0833EC12" w14:textId="77777777" w:rsidR="00921BE1" w:rsidRDefault="005B6EF0">
            <w:pPr>
              <w:jc w:val="center"/>
            </w:pPr>
            <w:r>
              <w:rPr>
                <w:sz w:val="24"/>
              </w:rPr>
              <w:t>9</w:t>
            </w:r>
          </w:p>
        </w:tc>
        <w:tc>
          <w:tcPr>
            <w:tcW w:w="1133" w:type="dxa"/>
            <w:vAlign w:val="center"/>
          </w:tcPr>
          <w:p w14:paraId="4AF412A7" w14:textId="77777777" w:rsidR="00921BE1" w:rsidRDefault="005B6EF0">
            <w:pPr>
              <w:jc w:val="center"/>
            </w:pPr>
            <w:r>
              <w:rPr>
                <w:sz w:val="24"/>
              </w:rPr>
              <w:t>100018</w:t>
            </w:r>
          </w:p>
        </w:tc>
        <w:tc>
          <w:tcPr>
            <w:tcW w:w="1135" w:type="dxa"/>
            <w:vAlign w:val="center"/>
          </w:tcPr>
          <w:p w14:paraId="107C7FA4" w14:textId="77777777" w:rsidR="00921BE1" w:rsidRDefault="005B6EF0">
            <w:pPr>
              <w:jc w:val="center"/>
            </w:pPr>
            <w:r>
              <w:rPr>
                <w:sz w:val="24"/>
              </w:rPr>
              <w:t>富国天利增长债券</w:t>
            </w:r>
            <w:r>
              <w:rPr>
                <w:sz w:val="24"/>
              </w:rPr>
              <w:t>A/B</w:t>
            </w:r>
          </w:p>
        </w:tc>
        <w:tc>
          <w:tcPr>
            <w:tcW w:w="1135" w:type="dxa"/>
            <w:vAlign w:val="center"/>
          </w:tcPr>
          <w:p w14:paraId="13396A6E" w14:textId="77777777" w:rsidR="00921BE1" w:rsidRDefault="005B6EF0">
            <w:pPr>
              <w:jc w:val="center"/>
            </w:pPr>
            <w:r>
              <w:rPr>
                <w:sz w:val="24"/>
              </w:rPr>
              <w:t>契约型开放式</w:t>
            </w:r>
          </w:p>
        </w:tc>
        <w:tc>
          <w:tcPr>
            <w:tcW w:w="1133" w:type="dxa"/>
            <w:vAlign w:val="center"/>
          </w:tcPr>
          <w:p w14:paraId="1CB4CC1D" w14:textId="77777777" w:rsidR="00921BE1" w:rsidRDefault="005B6EF0">
            <w:pPr>
              <w:jc w:val="center"/>
            </w:pPr>
            <w:r>
              <w:rPr>
                <w:sz w:val="24"/>
              </w:rPr>
              <w:t>1,082,589.63</w:t>
            </w:r>
          </w:p>
        </w:tc>
        <w:tc>
          <w:tcPr>
            <w:tcW w:w="1276" w:type="dxa"/>
            <w:vAlign w:val="center"/>
          </w:tcPr>
          <w:p w14:paraId="5F073951" w14:textId="77777777" w:rsidR="00921BE1" w:rsidRDefault="005B6EF0">
            <w:pPr>
              <w:jc w:val="center"/>
            </w:pPr>
            <w:r>
              <w:rPr>
                <w:sz w:val="24"/>
              </w:rPr>
              <w:t>1,457,057.38</w:t>
            </w:r>
          </w:p>
        </w:tc>
        <w:tc>
          <w:tcPr>
            <w:tcW w:w="1135" w:type="dxa"/>
            <w:vAlign w:val="center"/>
          </w:tcPr>
          <w:p w14:paraId="332ECEE3" w14:textId="77777777" w:rsidR="00921BE1" w:rsidRDefault="005B6EF0">
            <w:pPr>
              <w:jc w:val="center"/>
            </w:pPr>
            <w:r>
              <w:rPr>
                <w:sz w:val="24"/>
              </w:rPr>
              <w:t>3.92%</w:t>
            </w:r>
          </w:p>
        </w:tc>
        <w:tc>
          <w:tcPr>
            <w:tcW w:w="1272" w:type="dxa"/>
            <w:vAlign w:val="center"/>
          </w:tcPr>
          <w:p w14:paraId="25C3BAF9" w14:textId="77777777" w:rsidR="00921BE1" w:rsidRDefault="005B6EF0">
            <w:pPr>
              <w:jc w:val="center"/>
            </w:pPr>
            <w:r>
              <w:rPr>
                <w:sz w:val="24"/>
              </w:rPr>
              <w:t>否</w:t>
            </w:r>
          </w:p>
        </w:tc>
      </w:tr>
      <w:tr w:rsidR="00921BE1" w14:paraId="6EE3F055" w14:textId="77777777">
        <w:tc>
          <w:tcPr>
            <w:tcW w:w="817" w:type="dxa"/>
            <w:vAlign w:val="center"/>
          </w:tcPr>
          <w:p w14:paraId="5B478462" w14:textId="77777777" w:rsidR="00921BE1" w:rsidRDefault="005B6EF0">
            <w:pPr>
              <w:jc w:val="center"/>
            </w:pPr>
            <w:r>
              <w:rPr>
                <w:sz w:val="24"/>
              </w:rPr>
              <w:t>10</w:t>
            </w:r>
          </w:p>
        </w:tc>
        <w:tc>
          <w:tcPr>
            <w:tcW w:w="1133" w:type="dxa"/>
            <w:vAlign w:val="center"/>
          </w:tcPr>
          <w:p w14:paraId="61AE932B" w14:textId="77777777" w:rsidR="00921BE1" w:rsidRDefault="005B6EF0">
            <w:pPr>
              <w:jc w:val="center"/>
            </w:pPr>
            <w:r>
              <w:rPr>
                <w:sz w:val="24"/>
              </w:rPr>
              <w:t>004585</w:t>
            </w:r>
          </w:p>
        </w:tc>
        <w:tc>
          <w:tcPr>
            <w:tcW w:w="1135" w:type="dxa"/>
            <w:vAlign w:val="center"/>
          </w:tcPr>
          <w:p w14:paraId="0150C439" w14:textId="77777777" w:rsidR="00921BE1" w:rsidRDefault="005B6EF0">
            <w:pPr>
              <w:jc w:val="center"/>
            </w:pPr>
            <w:proofErr w:type="gramStart"/>
            <w:r>
              <w:rPr>
                <w:sz w:val="24"/>
              </w:rPr>
              <w:t>鹏扬汇</w:t>
            </w:r>
            <w:proofErr w:type="gramEnd"/>
            <w:r>
              <w:rPr>
                <w:sz w:val="24"/>
              </w:rPr>
              <w:t>利债券</w:t>
            </w:r>
            <w:r>
              <w:rPr>
                <w:sz w:val="24"/>
              </w:rPr>
              <w:t>A</w:t>
            </w:r>
          </w:p>
        </w:tc>
        <w:tc>
          <w:tcPr>
            <w:tcW w:w="1135" w:type="dxa"/>
            <w:vAlign w:val="center"/>
          </w:tcPr>
          <w:p w14:paraId="12846BE4" w14:textId="77777777" w:rsidR="00921BE1" w:rsidRDefault="005B6EF0">
            <w:pPr>
              <w:jc w:val="center"/>
            </w:pPr>
            <w:r>
              <w:rPr>
                <w:sz w:val="24"/>
              </w:rPr>
              <w:t>契约型开放式</w:t>
            </w:r>
          </w:p>
        </w:tc>
        <w:tc>
          <w:tcPr>
            <w:tcW w:w="1133" w:type="dxa"/>
            <w:vAlign w:val="center"/>
          </w:tcPr>
          <w:p w14:paraId="7D2BD19B" w14:textId="77777777" w:rsidR="00921BE1" w:rsidRDefault="005B6EF0">
            <w:pPr>
              <w:jc w:val="center"/>
            </w:pPr>
            <w:r>
              <w:rPr>
                <w:sz w:val="24"/>
              </w:rPr>
              <w:t>1,109,102.99</w:t>
            </w:r>
          </w:p>
        </w:tc>
        <w:tc>
          <w:tcPr>
            <w:tcW w:w="1276" w:type="dxa"/>
            <w:vAlign w:val="center"/>
          </w:tcPr>
          <w:p w14:paraId="15153377" w14:textId="77777777" w:rsidR="00921BE1" w:rsidRDefault="005B6EF0">
            <w:pPr>
              <w:jc w:val="center"/>
            </w:pPr>
            <w:r>
              <w:rPr>
                <w:sz w:val="24"/>
              </w:rPr>
              <w:t>1,229,329.75</w:t>
            </w:r>
          </w:p>
        </w:tc>
        <w:tc>
          <w:tcPr>
            <w:tcW w:w="1135" w:type="dxa"/>
            <w:vAlign w:val="center"/>
          </w:tcPr>
          <w:p w14:paraId="696419BF" w14:textId="77777777" w:rsidR="00921BE1" w:rsidRDefault="005B6EF0">
            <w:pPr>
              <w:jc w:val="center"/>
            </w:pPr>
            <w:r>
              <w:rPr>
                <w:sz w:val="24"/>
              </w:rPr>
              <w:t>3.31%</w:t>
            </w:r>
          </w:p>
        </w:tc>
        <w:tc>
          <w:tcPr>
            <w:tcW w:w="1272" w:type="dxa"/>
            <w:vAlign w:val="center"/>
          </w:tcPr>
          <w:p w14:paraId="403C9319" w14:textId="77777777" w:rsidR="00921BE1" w:rsidRDefault="005B6EF0">
            <w:pPr>
              <w:jc w:val="center"/>
            </w:pPr>
            <w:r>
              <w:rPr>
                <w:sz w:val="24"/>
              </w:rPr>
              <w:t>否</w:t>
            </w:r>
          </w:p>
        </w:tc>
      </w:tr>
    </w:tbl>
    <w:p w14:paraId="3987ED4F"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lastRenderedPageBreak/>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14:paraId="084B766F" w14:textId="77777777" w:rsidTr="00342FE7">
        <w:tc>
          <w:tcPr>
            <w:tcW w:w="3012" w:type="dxa"/>
            <w:vAlign w:val="center"/>
          </w:tcPr>
          <w:p w14:paraId="2EA7B010" w14:textId="77777777"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14:paraId="721A30C6" w14:textId="77777777" w:rsidR="00C45886" w:rsidRPr="00575270" w:rsidRDefault="00C45886" w:rsidP="00342FE7">
            <w:pPr>
              <w:spacing w:line="276" w:lineRule="auto"/>
              <w:jc w:val="center"/>
              <w:rPr>
                <w:sz w:val="24"/>
              </w:rPr>
            </w:pPr>
            <w:r w:rsidRPr="00575270">
              <w:rPr>
                <w:sz w:val="24"/>
              </w:rPr>
              <w:t>本期费用</w:t>
            </w:r>
          </w:p>
        </w:tc>
        <w:tc>
          <w:tcPr>
            <w:tcW w:w="3012" w:type="dxa"/>
            <w:vAlign w:val="center"/>
          </w:tcPr>
          <w:p w14:paraId="71CE0966" w14:textId="77777777"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14:paraId="2D00C972" w14:textId="77777777" w:rsidTr="00342FE7">
        <w:tc>
          <w:tcPr>
            <w:tcW w:w="3012" w:type="dxa"/>
            <w:vAlign w:val="center"/>
          </w:tcPr>
          <w:p w14:paraId="520B34D9"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14:paraId="12F74F56"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c>
          <w:tcPr>
            <w:tcW w:w="3012" w:type="dxa"/>
            <w:vAlign w:val="center"/>
          </w:tcPr>
          <w:p w14:paraId="34AB5C4D"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60332525" w14:textId="77777777" w:rsidTr="00342FE7">
        <w:tc>
          <w:tcPr>
            <w:tcW w:w="3012" w:type="dxa"/>
            <w:vAlign w:val="center"/>
          </w:tcPr>
          <w:p w14:paraId="123CDB3B"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14:paraId="43B31E7B"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750.72</w:t>
            </w:r>
          </w:p>
        </w:tc>
        <w:tc>
          <w:tcPr>
            <w:tcW w:w="3012" w:type="dxa"/>
            <w:vAlign w:val="center"/>
          </w:tcPr>
          <w:p w14:paraId="49A5296D"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435CA96C" w14:textId="77777777" w:rsidTr="00342FE7">
        <w:tc>
          <w:tcPr>
            <w:tcW w:w="3012" w:type="dxa"/>
            <w:vAlign w:val="center"/>
          </w:tcPr>
          <w:p w14:paraId="2524E186"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14:paraId="12EC866F"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2,854.12</w:t>
            </w:r>
          </w:p>
        </w:tc>
        <w:tc>
          <w:tcPr>
            <w:tcW w:w="3012" w:type="dxa"/>
            <w:vAlign w:val="center"/>
          </w:tcPr>
          <w:p w14:paraId="16EDFF02" w14:textId="5EA50179" w:rsidR="00C45886" w:rsidRPr="00575270" w:rsidRDefault="00804ABD" w:rsidP="00342FE7">
            <w:pPr>
              <w:adjustRightInd w:val="0"/>
              <w:snapToGrid w:val="0"/>
              <w:spacing w:beforeLines="50" w:before="156" w:line="276" w:lineRule="auto"/>
              <w:jc w:val="right"/>
              <w:rPr>
                <w:rFonts w:eastAsiaTheme="minorEastAsia"/>
                <w:color w:val="000000" w:themeColor="text1"/>
                <w:sz w:val="24"/>
              </w:rPr>
            </w:pPr>
            <w:r w:rsidRPr="00804ABD">
              <w:rPr>
                <w:rFonts w:eastAsiaTheme="minorEastAsia"/>
                <w:color w:val="000000" w:themeColor="text1"/>
                <w:sz w:val="24"/>
              </w:rPr>
              <w:t>5.52</w:t>
            </w:r>
          </w:p>
        </w:tc>
      </w:tr>
      <w:tr w:rsidR="00C45886" w:rsidRPr="00575270" w14:paraId="6B454BC6" w14:textId="77777777" w:rsidTr="00342FE7">
        <w:tc>
          <w:tcPr>
            <w:tcW w:w="3012" w:type="dxa"/>
            <w:vAlign w:val="center"/>
          </w:tcPr>
          <w:p w14:paraId="54DC68D4"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14:paraId="26AE69A1"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53,905.49</w:t>
            </w:r>
          </w:p>
        </w:tc>
        <w:tc>
          <w:tcPr>
            <w:tcW w:w="3012" w:type="dxa"/>
            <w:vAlign w:val="center"/>
          </w:tcPr>
          <w:p w14:paraId="0C170C73" w14:textId="7B3667B4" w:rsidR="00C45886" w:rsidRPr="00575270" w:rsidRDefault="00804ABD" w:rsidP="00342FE7">
            <w:pPr>
              <w:adjustRightInd w:val="0"/>
              <w:snapToGrid w:val="0"/>
              <w:spacing w:beforeLines="50" w:before="156" w:line="276" w:lineRule="auto"/>
              <w:jc w:val="right"/>
              <w:rPr>
                <w:rFonts w:eastAsiaTheme="minorEastAsia"/>
                <w:color w:val="000000" w:themeColor="text1"/>
                <w:sz w:val="24"/>
              </w:rPr>
            </w:pPr>
            <w:r w:rsidRPr="00804ABD">
              <w:rPr>
                <w:rFonts w:eastAsiaTheme="minorEastAsia"/>
                <w:color w:val="000000" w:themeColor="text1"/>
                <w:sz w:val="24"/>
              </w:rPr>
              <w:t>10,320.18</w:t>
            </w:r>
          </w:p>
        </w:tc>
      </w:tr>
      <w:tr w:rsidR="00C45886" w:rsidRPr="00575270" w14:paraId="527A333D" w14:textId="77777777" w:rsidTr="00342FE7">
        <w:tc>
          <w:tcPr>
            <w:tcW w:w="3012" w:type="dxa"/>
            <w:vAlign w:val="center"/>
          </w:tcPr>
          <w:p w14:paraId="5C78ED61"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14:paraId="26378538"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11,812.84</w:t>
            </w:r>
          </w:p>
        </w:tc>
        <w:tc>
          <w:tcPr>
            <w:tcW w:w="3012" w:type="dxa"/>
            <w:vAlign w:val="center"/>
          </w:tcPr>
          <w:p w14:paraId="3AFE8D29" w14:textId="7135620B" w:rsidR="00C45886" w:rsidRPr="00575270" w:rsidRDefault="00804ABD" w:rsidP="00342FE7">
            <w:pPr>
              <w:adjustRightInd w:val="0"/>
              <w:snapToGrid w:val="0"/>
              <w:spacing w:beforeLines="50" w:before="156" w:line="276" w:lineRule="auto"/>
              <w:jc w:val="right"/>
              <w:rPr>
                <w:rFonts w:eastAsiaTheme="minorEastAsia"/>
                <w:color w:val="000000" w:themeColor="text1"/>
                <w:sz w:val="24"/>
              </w:rPr>
            </w:pPr>
            <w:r w:rsidRPr="00804ABD">
              <w:rPr>
                <w:rFonts w:eastAsiaTheme="minorEastAsia"/>
                <w:color w:val="000000" w:themeColor="text1"/>
                <w:sz w:val="24"/>
              </w:rPr>
              <w:t>1,025.23</w:t>
            </w:r>
          </w:p>
        </w:tc>
      </w:tr>
      <w:tr w:rsidR="00921BE1" w14:paraId="0A55F90C" w14:textId="77777777">
        <w:tc>
          <w:tcPr>
            <w:tcW w:w="3012" w:type="dxa"/>
            <w:vAlign w:val="center"/>
          </w:tcPr>
          <w:p w14:paraId="350C80BB" w14:textId="77777777" w:rsidR="00921BE1" w:rsidRDefault="005B6EF0">
            <w:pPr>
              <w:jc w:val="left"/>
            </w:pPr>
            <w:r>
              <w:rPr>
                <w:rFonts w:eastAsiaTheme="minorEastAsia"/>
                <w:color w:val="000000" w:themeColor="text1"/>
                <w:sz w:val="24"/>
              </w:rPr>
              <w:t>当期交易基金产生的交易费（元）</w:t>
            </w:r>
          </w:p>
        </w:tc>
        <w:tc>
          <w:tcPr>
            <w:tcW w:w="3012" w:type="dxa"/>
            <w:vAlign w:val="center"/>
          </w:tcPr>
          <w:p w14:paraId="3BB34A0B" w14:textId="77777777" w:rsidR="00921BE1" w:rsidRDefault="005B6EF0">
            <w:pPr>
              <w:jc w:val="right"/>
            </w:pPr>
            <w:r>
              <w:rPr>
                <w:rFonts w:eastAsiaTheme="minorEastAsia"/>
                <w:color w:val="000000" w:themeColor="text1"/>
                <w:sz w:val="24"/>
              </w:rPr>
              <w:t>40.53</w:t>
            </w:r>
          </w:p>
        </w:tc>
        <w:tc>
          <w:tcPr>
            <w:tcW w:w="3012" w:type="dxa"/>
            <w:vAlign w:val="center"/>
          </w:tcPr>
          <w:p w14:paraId="682C661B" w14:textId="77777777" w:rsidR="00921BE1" w:rsidRDefault="005B6EF0">
            <w:pPr>
              <w:jc w:val="right"/>
            </w:pPr>
            <w:r>
              <w:rPr>
                <w:rFonts w:eastAsiaTheme="minorEastAsia"/>
                <w:color w:val="000000" w:themeColor="text1"/>
                <w:sz w:val="24"/>
              </w:rPr>
              <w:t>-</w:t>
            </w:r>
          </w:p>
        </w:tc>
      </w:tr>
      <w:tr w:rsidR="005B6EF0" w14:paraId="3C6A1679" w14:textId="77777777">
        <w:tc>
          <w:tcPr>
            <w:tcW w:w="3012" w:type="dxa"/>
            <w:vAlign w:val="center"/>
          </w:tcPr>
          <w:p w14:paraId="12238AD5" w14:textId="5C659D64" w:rsidR="005B6EF0" w:rsidRDefault="005B6EF0">
            <w:pPr>
              <w:jc w:val="left"/>
              <w:rPr>
                <w:rFonts w:eastAsiaTheme="minorEastAsia"/>
                <w:color w:val="000000" w:themeColor="text1"/>
                <w:sz w:val="24"/>
              </w:rPr>
            </w:pPr>
            <w:r>
              <w:rPr>
                <w:rFonts w:eastAsiaTheme="minorEastAsia"/>
                <w:color w:val="000000" w:themeColor="text1"/>
                <w:sz w:val="24"/>
              </w:rPr>
              <w:t>当期交易基金产生的</w:t>
            </w:r>
            <w:r>
              <w:rPr>
                <w:rFonts w:eastAsiaTheme="minorEastAsia" w:hint="eastAsia"/>
                <w:color w:val="000000" w:themeColor="text1"/>
                <w:sz w:val="24"/>
              </w:rPr>
              <w:t>转换</w:t>
            </w:r>
            <w:r>
              <w:rPr>
                <w:rFonts w:eastAsiaTheme="minorEastAsia"/>
                <w:color w:val="000000" w:themeColor="text1"/>
                <w:sz w:val="24"/>
              </w:rPr>
              <w:t>费（元）</w:t>
            </w:r>
          </w:p>
        </w:tc>
        <w:tc>
          <w:tcPr>
            <w:tcW w:w="3012" w:type="dxa"/>
            <w:vAlign w:val="center"/>
          </w:tcPr>
          <w:p w14:paraId="7891B83C" w14:textId="0F374B1B" w:rsidR="005B6EF0" w:rsidRDefault="005B6EF0">
            <w:pPr>
              <w:jc w:val="right"/>
              <w:rPr>
                <w:rFonts w:eastAsiaTheme="minorEastAsia"/>
                <w:color w:val="000000" w:themeColor="text1"/>
                <w:sz w:val="24"/>
              </w:rPr>
            </w:pPr>
            <w:r>
              <w:rPr>
                <w:rFonts w:eastAsiaTheme="minorEastAsia" w:hint="eastAsia"/>
                <w:color w:val="000000" w:themeColor="text1"/>
                <w:sz w:val="24"/>
              </w:rPr>
              <w:t>5</w:t>
            </w:r>
            <w:r>
              <w:rPr>
                <w:rFonts w:eastAsiaTheme="minorEastAsia"/>
                <w:color w:val="000000" w:themeColor="text1"/>
                <w:sz w:val="24"/>
              </w:rPr>
              <w:t>66.49</w:t>
            </w:r>
          </w:p>
        </w:tc>
        <w:tc>
          <w:tcPr>
            <w:tcW w:w="3012" w:type="dxa"/>
            <w:vAlign w:val="center"/>
          </w:tcPr>
          <w:p w14:paraId="0955D21B" w14:textId="57490B9F" w:rsidR="005B6EF0" w:rsidRDefault="005B6EF0">
            <w:pPr>
              <w:jc w:val="right"/>
              <w:rPr>
                <w:rFonts w:eastAsiaTheme="minorEastAsia"/>
                <w:color w:val="000000" w:themeColor="text1"/>
                <w:sz w:val="24"/>
              </w:rPr>
            </w:pPr>
            <w:r>
              <w:rPr>
                <w:rFonts w:eastAsiaTheme="minorEastAsia" w:hint="eastAsia"/>
                <w:color w:val="000000" w:themeColor="text1"/>
                <w:sz w:val="24"/>
              </w:rPr>
              <w:t>-</w:t>
            </w:r>
          </w:p>
        </w:tc>
      </w:tr>
    </w:tbl>
    <w:p w14:paraId="1F3FEFAB"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14:paraId="72DA3056" w14:textId="77777777"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14:paraId="377D3C71" w14:textId="77777777" w:rsidR="005E6DF3" w:rsidRPr="00C45886" w:rsidRDefault="005E6DF3">
      <w:pPr>
        <w:spacing w:line="360" w:lineRule="auto"/>
        <w:ind w:firstLineChars="200" w:firstLine="420"/>
        <w:rPr>
          <w:rFonts w:eastAsiaTheme="minorEastAsia"/>
          <w:color w:val="000000" w:themeColor="text1"/>
          <w:szCs w:val="21"/>
        </w:rPr>
      </w:pPr>
    </w:p>
    <w:p w14:paraId="5A8495CA" w14:textId="77777777"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14:paraId="2B733EF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3345EF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F42BE9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3E96067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14:paraId="1C83B14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14:paraId="1FCE1A0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B2BD45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7EDB3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29,355,010.06</w:t>
            </w:r>
          </w:p>
        </w:tc>
        <w:tc>
          <w:tcPr>
            <w:tcW w:w="2367" w:type="dxa"/>
            <w:tcBorders>
              <w:top w:val="single" w:sz="8" w:space="0" w:color="000000"/>
              <w:left w:val="single" w:sz="8" w:space="0" w:color="000000"/>
              <w:bottom w:val="single" w:sz="8" w:space="0" w:color="000000"/>
              <w:right w:val="single" w:sz="8" w:space="0" w:color="000000"/>
            </w:tcBorders>
            <w:vAlign w:val="center"/>
          </w:tcPr>
          <w:p w14:paraId="3CABA46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6,638,445.35</w:t>
            </w:r>
          </w:p>
        </w:tc>
      </w:tr>
      <w:tr w:rsidR="005E6DF3" w:rsidRPr="00B27A29" w14:paraId="14D65F9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0C97F9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D2FD5A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28,087.27</w:t>
            </w:r>
          </w:p>
        </w:tc>
        <w:tc>
          <w:tcPr>
            <w:tcW w:w="2367" w:type="dxa"/>
            <w:tcBorders>
              <w:top w:val="single" w:sz="8" w:space="0" w:color="000000"/>
              <w:left w:val="single" w:sz="8" w:space="0" w:color="000000"/>
              <w:bottom w:val="single" w:sz="8" w:space="0" w:color="000000"/>
              <w:right w:val="single" w:sz="8" w:space="0" w:color="000000"/>
            </w:tcBorders>
            <w:vAlign w:val="center"/>
          </w:tcPr>
          <w:p w14:paraId="7F23A0A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172,524.13</w:t>
            </w:r>
          </w:p>
        </w:tc>
      </w:tr>
      <w:tr w:rsidR="005E6DF3" w:rsidRPr="00B27A29" w14:paraId="0C13022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F1CE2C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2344FA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968,907.08</w:t>
            </w:r>
          </w:p>
        </w:tc>
        <w:tc>
          <w:tcPr>
            <w:tcW w:w="2367" w:type="dxa"/>
            <w:tcBorders>
              <w:top w:val="single" w:sz="8" w:space="0" w:color="000000"/>
              <w:left w:val="single" w:sz="8" w:space="0" w:color="000000"/>
              <w:bottom w:val="single" w:sz="8" w:space="0" w:color="000000"/>
              <w:right w:val="single" w:sz="8" w:space="0" w:color="000000"/>
            </w:tcBorders>
            <w:vAlign w:val="center"/>
          </w:tcPr>
          <w:p w14:paraId="7BE144A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183,537.39</w:t>
            </w:r>
          </w:p>
        </w:tc>
      </w:tr>
      <w:tr w:rsidR="005E6DF3" w:rsidRPr="00B27A29" w14:paraId="53DE739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0472D9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5AE0C3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117A9E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4518D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8052BD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96EC11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28,414,190.25</w:t>
            </w:r>
          </w:p>
        </w:tc>
        <w:tc>
          <w:tcPr>
            <w:tcW w:w="2367" w:type="dxa"/>
            <w:tcBorders>
              <w:top w:val="single" w:sz="8" w:space="0" w:color="000000"/>
              <w:left w:val="single" w:sz="8" w:space="0" w:color="000000"/>
              <w:bottom w:val="single" w:sz="8" w:space="0" w:color="000000"/>
              <w:right w:val="single" w:sz="8" w:space="0" w:color="000000"/>
            </w:tcBorders>
            <w:vAlign w:val="center"/>
          </w:tcPr>
          <w:p w14:paraId="48F2C38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6,627,432.09</w:t>
            </w:r>
          </w:p>
        </w:tc>
      </w:tr>
    </w:tbl>
    <w:p w14:paraId="09D7E746" w14:textId="77777777"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lastRenderedPageBreak/>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w:t>
      </w:r>
      <w:proofErr w:type="gramStart"/>
      <w:r w:rsidR="005C671B" w:rsidRPr="00B27A29">
        <w:rPr>
          <w:color w:val="000000"/>
          <w:sz w:val="21"/>
          <w:szCs w:val="21"/>
          <w:shd w:val="clear" w:color="auto" w:fill="FFFFFF"/>
        </w:rPr>
        <w:t>固有资金</w:t>
      </w:r>
      <w:proofErr w:type="gramEnd"/>
      <w:r w:rsidR="005C671B" w:rsidRPr="00B27A29">
        <w:rPr>
          <w:color w:val="000000"/>
          <w:sz w:val="21"/>
          <w:szCs w:val="21"/>
          <w:shd w:val="clear" w:color="auto" w:fill="FFFFFF"/>
        </w:rPr>
        <w:t>投资本基金情况</w:t>
      </w:r>
    </w:p>
    <w:p w14:paraId="3AD02E1D" w14:textId="77777777"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14:paraId="5F85E58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EC34176"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13B3286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B21DDC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3D45AD0D"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350CA770"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14:paraId="418033C0"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基金合同</w:t>
      </w:r>
    </w:p>
    <w:p w14:paraId="6E4E3233"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托管协议</w:t>
      </w:r>
    </w:p>
    <w:p w14:paraId="48E8CC7B"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25F97190"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6D8663D9"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57B1610F" w14:textId="77777777" w:rsidR="00921BE1" w:rsidRDefault="005B6EF0">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4AE5659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5D768C2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27EC50A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2FDFA46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31B3266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0D4806D" w14:textId="77777777" w:rsidR="005E6DF3" w:rsidRPr="00B27A29" w:rsidRDefault="005E6DF3">
      <w:pPr>
        <w:spacing w:line="360" w:lineRule="auto"/>
        <w:ind w:left="840"/>
        <w:jc w:val="right"/>
        <w:rPr>
          <w:rFonts w:eastAsiaTheme="minorEastAsia"/>
          <w:color w:val="000000" w:themeColor="text1"/>
          <w:szCs w:val="21"/>
        </w:rPr>
      </w:pPr>
    </w:p>
    <w:p w14:paraId="334FB4FC" w14:textId="77777777" w:rsidR="005E6DF3" w:rsidRPr="00B27A29" w:rsidRDefault="005E6DF3">
      <w:pPr>
        <w:spacing w:line="360" w:lineRule="auto"/>
        <w:ind w:left="840"/>
        <w:jc w:val="center"/>
        <w:rPr>
          <w:rFonts w:eastAsiaTheme="minorEastAsia"/>
          <w:b/>
          <w:color w:val="000000" w:themeColor="text1"/>
          <w:szCs w:val="21"/>
        </w:rPr>
      </w:pPr>
    </w:p>
    <w:p w14:paraId="13DEE3CB"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68D597B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937F" w14:textId="77777777" w:rsidR="00045D1A" w:rsidRDefault="00045D1A">
      <w:r>
        <w:separator/>
      </w:r>
    </w:p>
  </w:endnote>
  <w:endnote w:type="continuationSeparator" w:id="0">
    <w:p w14:paraId="10413145" w14:textId="77777777"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8773"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5886">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45886">
      <w:rPr>
        <w:noProof/>
        <w:kern w:val="0"/>
        <w:szCs w:val="21"/>
      </w:rPr>
      <w:t>30</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88A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4387324"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D0B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45886">
      <w:rPr>
        <w:rStyle w:val="af6"/>
        <w:noProof/>
      </w:rPr>
      <w:t>25</w:t>
    </w:r>
    <w:r>
      <w:rPr>
        <w:rStyle w:val="af6"/>
      </w:rPr>
      <w:fldChar w:fldCharType="end"/>
    </w:r>
  </w:p>
  <w:p w14:paraId="23B07984"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1DFB" w14:textId="77777777" w:rsidR="00045D1A" w:rsidRDefault="00045D1A">
      <w:r>
        <w:separator/>
      </w:r>
    </w:p>
  </w:footnote>
  <w:footnote w:type="continuationSeparator" w:id="0">
    <w:p w14:paraId="65D1036F" w14:textId="77777777"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2E45" w14:textId="77777777" w:rsidR="005C671B" w:rsidRDefault="005C671B">
    <w:pPr>
      <w:pStyle w:val="af"/>
      <w:pBdr>
        <w:bottom w:val="single" w:sz="6" w:space="0" w:color="auto"/>
      </w:pBdr>
      <w:jc w:val="right"/>
    </w:pPr>
    <w:r>
      <w:t>摩根锦程稳健养老目标一年持有期混合型基金中基金</w:t>
    </w:r>
    <w:r>
      <w:t>(FOF)2024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B6EF0"/>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0A4B"/>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4AB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1BE1"/>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518B"/>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C59752"/>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2F0B1E6-01B0-4820-BC37-348B886871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37</TotalTime>
  <Pages>15</Pages>
  <Words>1320</Words>
  <Characters>7525</Characters>
  <Application>Microsoft Office Word</Application>
  <DocSecurity>0</DocSecurity>
  <Lines>62</Lines>
  <Paragraphs>17</Paragraphs>
  <ScaleCrop>false</ScaleCrop>
  <Company>TRT. Ltd. Co.</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229</cp:revision>
  <cp:lastPrinted>2007-07-19T00:46:00Z</cp:lastPrinted>
  <dcterms:created xsi:type="dcterms:W3CDTF">2013-06-21T06:56:00Z</dcterms:created>
  <dcterms:modified xsi:type="dcterms:W3CDTF">2024-10-24T05:52:00Z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