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摩根瑞盛</w:t>
      </w:r>
      <w:r w:rsidRPr="005B5C10">
        <w:rPr>
          <w:rFonts w:eastAsiaTheme="minorEastAsia"/>
          <w:b/>
          <w:color w:val="000000" w:themeColor="text1"/>
          <w:sz w:val="36"/>
          <w:szCs w:val="36"/>
        </w:rPr>
        <w:t>87</w:t>
      </w:r>
      <w:r w:rsidRPr="005B5C10">
        <w:rPr>
          <w:rFonts w:eastAsiaTheme="minorEastAsia"/>
          <w:b/>
          <w:color w:val="000000" w:themeColor="text1"/>
          <w:sz w:val="36"/>
          <w:szCs w:val="36"/>
        </w:rPr>
        <w:t>个月定期开放债券型证券投资基金</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年中期报告</w:t>
      </w:r>
    </w:p>
    <w:p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2023</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bookmarkStart w:id="0" w:name="_GoBack"/>
      <w:bookmarkEnd w:id="0"/>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jc w:val="center"/>
        <w:rPr>
          <w:rFonts w:eastAsiaTheme="minorEastAsia"/>
          <w:b/>
          <w:color w:val="000000" w:themeColor="text1"/>
          <w:szCs w:val="21"/>
        </w:rPr>
      </w:pPr>
    </w:p>
    <w:p w:rsidR="006B65E1" w:rsidRPr="005B5C10" w:rsidRDefault="006B65E1">
      <w:pPr>
        <w:spacing w:line="360" w:lineRule="auto"/>
        <w:rPr>
          <w:rFonts w:eastAsiaTheme="minorEastAsia"/>
          <w:b/>
          <w:color w:val="000000" w:themeColor="text1"/>
          <w:szCs w:val="21"/>
        </w:rPr>
      </w:pP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基金托管人：兴业银行股份有限公司</w:t>
      </w:r>
    </w:p>
    <w:p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报告送出日期：二〇二三年八月三十一日</w:t>
      </w:r>
    </w:p>
    <w:p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4286584"/>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1"/>
      <w:bookmarkEnd w:id="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 w:name="_Toc144286585"/>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3"/>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rsidR="00CD439D" w:rsidRDefault="00BF413F">
      <w:pPr>
        <w:pStyle w:val="1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44286584" w:history="1">
        <w:r w:rsidR="00CD439D" w:rsidRPr="00150E1C">
          <w:rPr>
            <w:rStyle w:val="aff"/>
            <w:b/>
            <w:bCs/>
            <w:noProof/>
          </w:rPr>
          <w:t xml:space="preserve">1  </w:t>
        </w:r>
        <w:r w:rsidR="00CD439D" w:rsidRPr="00150E1C">
          <w:rPr>
            <w:rStyle w:val="aff"/>
            <w:b/>
            <w:bCs/>
            <w:noProof/>
          </w:rPr>
          <w:t>重要提示及目录</w:t>
        </w:r>
        <w:r w:rsidR="00CD439D">
          <w:rPr>
            <w:noProof/>
            <w:webHidden/>
          </w:rPr>
          <w:tab/>
        </w:r>
        <w:r w:rsidR="00CD439D">
          <w:rPr>
            <w:noProof/>
            <w:webHidden/>
          </w:rPr>
          <w:fldChar w:fldCharType="begin"/>
        </w:r>
        <w:r w:rsidR="00CD439D">
          <w:rPr>
            <w:noProof/>
            <w:webHidden/>
          </w:rPr>
          <w:instrText xml:space="preserve"> PAGEREF _Toc144286584 \h </w:instrText>
        </w:r>
        <w:r w:rsidR="00CD439D">
          <w:rPr>
            <w:noProof/>
            <w:webHidden/>
          </w:rPr>
        </w:r>
        <w:r w:rsidR="00CD439D">
          <w:rPr>
            <w:noProof/>
            <w:webHidden/>
          </w:rPr>
          <w:fldChar w:fldCharType="separate"/>
        </w:r>
        <w:r w:rsidR="00CD439D">
          <w:rPr>
            <w:noProof/>
            <w:webHidden/>
          </w:rPr>
          <w:t>2</w:t>
        </w:r>
        <w:r w:rsidR="00CD439D">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85" w:history="1">
        <w:r w:rsidRPr="00150E1C">
          <w:rPr>
            <w:rStyle w:val="aff"/>
            <w:noProof/>
          </w:rPr>
          <w:t xml:space="preserve">1.1 </w:t>
        </w:r>
        <w:r w:rsidRPr="00150E1C">
          <w:rPr>
            <w:rStyle w:val="aff"/>
            <w:noProof/>
          </w:rPr>
          <w:t>重要提示</w:t>
        </w:r>
        <w:r>
          <w:rPr>
            <w:noProof/>
            <w:webHidden/>
          </w:rPr>
          <w:tab/>
        </w:r>
        <w:r>
          <w:rPr>
            <w:noProof/>
            <w:webHidden/>
          </w:rPr>
          <w:fldChar w:fldCharType="begin"/>
        </w:r>
        <w:r>
          <w:rPr>
            <w:noProof/>
            <w:webHidden/>
          </w:rPr>
          <w:instrText xml:space="preserve"> PAGEREF _Toc144286585 \h </w:instrText>
        </w:r>
        <w:r>
          <w:rPr>
            <w:noProof/>
            <w:webHidden/>
          </w:rPr>
        </w:r>
        <w:r>
          <w:rPr>
            <w:noProof/>
            <w:webHidden/>
          </w:rPr>
          <w:fldChar w:fldCharType="separate"/>
        </w:r>
        <w:r>
          <w:rPr>
            <w:noProof/>
            <w:webHidden/>
          </w:rPr>
          <w:t>2</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586" w:history="1">
        <w:r w:rsidRPr="00150E1C">
          <w:rPr>
            <w:rStyle w:val="aff"/>
            <w:b/>
            <w:bCs/>
            <w:noProof/>
          </w:rPr>
          <w:t xml:space="preserve">2  </w:t>
        </w:r>
        <w:r w:rsidRPr="00150E1C">
          <w:rPr>
            <w:rStyle w:val="aff"/>
            <w:b/>
            <w:bCs/>
            <w:noProof/>
          </w:rPr>
          <w:t>基金简介</w:t>
        </w:r>
        <w:r>
          <w:rPr>
            <w:noProof/>
            <w:webHidden/>
          </w:rPr>
          <w:tab/>
        </w:r>
        <w:r>
          <w:rPr>
            <w:noProof/>
            <w:webHidden/>
          </w:rPr>
          <w:fldChar w:fldCharType="begin"/>
        </w:r>
        <w:r>
          <w:rPr>
            <w:noProof/>
            <w:webHidden/>
          </w:rPr>
          <w:instrText xml:space="preserve"> PAGEREF _Toc144286586 \h </w:instrText>
        </w:r>
        <w:r>
          <w:rPr>
            <w:noProof/>
            <w:webHidden/>
          </w:rPr>
        </w:r>
        <w:r>
          <w:rPr>
            <w:noProof/>
            <w:webHidden/>
          </w:rPr>
          <w:fldChar w:fldCharType="separate"/>
        </w:r>
        <w:r>
          <w:rPr>
            <w:noProof/>
            <w:webHidden/>
          </w:rPr>
          <w:t>5</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87" w:history="1">
        <w:r w:rsidRPr="00150E1C">
          <w:rPr>
            <w:rStyle w:val="aff"/>
            <w:noProof/>
          </w:rPr>
          <w:t xml:space="preserve">2.1 </w:t>
        </w:r>
        <w:r w:rsidRPr="00150E1C">
          <w:rPr>
            <w:rStyle w:val="aff"/>
            <w:noProof/>
          </w:rPr>
          <w:t>基金基本情况</w:t>
        </w:r>
        <w:r>
          <w:rPr>
            <w:noProof/>
            <w:webHidden/>
          </w:rPr>
          <w:tab/>
        </w:r>
        <w:r>
          <w:rPr>
            <w:noProof/>
            <w:webHidden/>
          </w:rPr>
          <w:fldChar w:fldCharType="begin"/>
        </w:r>
        <w:r>
          <w:rPr>
            <w:noProof/>
            <w:webHidden/>
          </w:rPr>
          <w:instrText xml:space="preserve"> PAGEREF _Toc144286587 \h </w:instrText>
        </w:r>
        <w:r>
          <w:rPr>
            <w:noProof/>
            <w:webHidden/>
          </w:rPr>
        </w:r>
        <w:r>
          <w:rPr>
            <w:noProof/>
            <w:webHidden/>
          </w:rPr>
          <w:fldChar w:fldCharType="separate"/>
        </w:r>
        <w:r>
          <w:rPr>
            <w:noProof/>
            <w:webHidden/>
          </w:rPr>
          <w:t>5</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88" w:history="1">
        <w:r w:rsidRPr="00150E1C">
          <w:rPr>
            <w:rStyle w:val="aff"/>
            <w:noProof/>
          </w:rPr>
          <w:t xml:space="preserve">2.2 </w:t>
        </w:r>
        <w:r w:rsidRPr="00150E1C">
          <w:rPr>
            <w:rStyle w:val="aff"/>
            <w:noProof/>
          </w:rPr>
          <w:t>基金产品说明</w:t>
        </w:r>
        <w:r>
          <w:rPr>
            <w:noProof/>
            <w:webHidden/>
          </w:rPr>
          <w:tab/>
        </w:r>
        <w:r>
          <w:rPr>
            <w:noProof/>
            <w:webHidden/>
          </w:rPr>
          <w:fldChar w:fldCharType="begin"/>
        </w:r>
        <w:r>
          <w:rPr>
            <w:noProof/>
            <w:webHidden/>
          </w:rPr>
          <w:instrText xml:space="preserve"> PAGEREF _Toc144286588 \h </w:instrText>
        </w:r>
        <w:r>
          <w:rPr>
            <w:noProof/>
            <w:webHidden/>
          </w:rPr>
        </w:r>
        <w:r>
          <w:rPr>
            <w:noProof/>
            <w:webHidden/>
          </w:rPr>
          <w:fldChar w:fldCharType="separate"/>
        </w:r>
        <w:r>
          <w:rPr>
            <w:noProof/>
            <w:webHidden/>
          </w:rPr>
          <w:t>5</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89" w:history="1">
        <w:r w:rsidRPr="00150E1C">
          <w:rPr>
            <w:rStyle w:val="aff"/>
            <w:noProof/>
          </w:rPr>
          <w:t xml:space="preserve">2.3 </w:t>
        </w:r>
        <w:r w:rsidRPr="00150E1C">
          <w:rPr>
            <w:rStyle w:val="aff"/>
            <w:noProof/>
          </w:rPr>
          <w:t>基金管理人和基金托管人</w:t>
        </w:r>
        <w:r>
          <w:rPr>
            <w:noProof/>
            <w:webHidden/>
          </w:rPr>
          <w:tab/>
        </w:r>
        <w:r>
          <w:rPr>
            <w:noProof/>
            <w:webHidden/>
          </w:rPr>
          <w:fldChar w:fldCharType="begin"/>
        </w:r>
        <w:r>
          <w:rPr>
            <w:noProof/>
            <w:webHidden/>
          </w:rPr>
          <w:instrText xml:space="preserve"> PAGEREF _Toc144286589 \h </w:instrText>
        </w:r>
        <w:r>
          <w:rPr>
            <w:noProof/>
            <w:webHidden/>
          </w:rPr>
        </w:r>
        <w:r>
          <w:rPr>
            <w:noProof/>
            <w:webHidden/>
          </w:rPr>
          <w:fldChar w:fldCharType="separate"/>
        </w:r>
        <w:r>
          <w:rPr>
            <w:noProof/>
            <w:webHidden/>
          </w:rPr>
          <w:t>5</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0" w:history="1">
        <w:r w:rsidRPr="00150E1C">
          <w:rPr>
            <w:rStyle w:val="aff"/>
            <w:noProof/>
          </w:rPr>
          <w:t xml:space="preserve">2.4 </w:t>
        </w:r>
        <w:r w:rsidRPr="00150E1C">
          <w:rPr>
            <w:rStyle w:val="aff"/>
            <w:noProof/>
          </w:rPr>
          <w:t>信息披露方式</w:t>
        </w:r>
        <w:r>
          <w:rPr>
            <w:noProof/>
            <w:webHidden/>
          </w:rPr>
          <w:tab/>
        </w:r>
        <w:r>
          <w:rPr>
            <w:noProof/>
            <w:webHidden/>
          </w:rPr>
          <w:fldChar w:fldCharType="begin"/>
        </w:r>
        <w:r>
          <w:rPr>
            <w:noProof/>
            <w:webHidden/>
          </w:rPr>
          <w:instrText xml:space="preserve"> PAGEREF _Toc144286590 \h </w:instrText>
        </w:r>
        <w:r>
          <w:rPr>
            <w:noProof/>
            <w:webHidden/>
          </w:rPr>
        </w:r>
        <w:r>
          <w:rPr>
            <w:noProof/>
            <w:webHidden/>
          </w:rPr>
          <w:fldChar w:fldCharType="separate"/>
        </w:r>
        <w:r>
          <w:rPr>
            <w:noProof/>
            <w:webHidden/>
          </w:rPr>
          <w:t>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1" w:history="1">
        <w:r w:rsidRPr="00150E1C">
          <w:rPr>
            <w:rStyle w:val="aff"/>
            <w:noProof/>
          </w:rPr>
          <w:t xml:space="preserve">2.5 </w:t>
        </w:r>
        <w:r w:rsidRPr="00150E1C">
          <w:rPr>
            <w:rStyle w:val="aff"/>
            <w:noProof/>
          </w:rPr>
          <w:t>其他相关资料</w:t>
        </w:r>
        <w:r>
          <w:rPr>
            <w:noProof/>
            <w:webHidden/>
          </w:rPr>
          <w:tab/>
        </w:r>
        <w:r>
          <w:rPr>
            <w:noProof/>
            <w:webHidden/>
          </w:rPr>
          <w:fldChar w:fldCharType="begin"/>
        </w:r>
        <w:r>
          <w:rPr>
            <w:noProof/>
            <w:webHidden/>
          </w:rPr>
          <w:instrText xml:space="preserve"> PAGEREF _Toc144286591 \h </w:instrText>
        </w:r>
        <w:r>
          <w:rPr>
            <w:noProof/>
            <w:webHidden/>
          </w:rPr>
        </w:r>
        <w:r>
          <w:rPr>
            <w:noProof/>
            <w:webHidden/>
          </w:rPr>
          <w:fldChar w:fldCharType="separate"/>
        </w:r>
        <w:r>
          <w:rPr>
            <w:noProof/>
            <w:webHidden/>
          </w:rPr>
          <w:t>6</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592" w:history="1">
        <w:r w:rsidRPr="00150E1C">
          <w:rPr>
            <w:rStyle w:val="aff"/>
            <w:b/>
            <w:bCs/>
            <w:noProof/>
          </w:rPr>
          <w:t xml:space="preserve">3  </w:t>
        </w:r>
        <w:r w:rsidRPr="00150E1C">
          <w:rPr>
            <w:rStyle w:val="aff"/>
            <w:b/>
            <w:bCs/>
            <w:noProof/>
          </w:rPr>
          <w:t>主要财务指标和基金净值表现</w:t>
        </w:r>
        <w:r>
          <w:rPr>
            <w:noProof/>
            <w:webHidden/>
          </w:rPr>
          <w:tab/>
        </w:r>
        <w:r>
          <w:rPr>
            <w:noProof/>
            <w:webHidden/>
          </w:rPr>
          <w:fldChar w:fldCharType="begin"/>
        </w:r>
        <w:r>
          <w:rPr>
            <w:noProof/>
            <w:webHidden/>
          </w:rPr>
          <w:instrText xml:space="preserve"> PAGEREF _Toc144286592 \h </w:instrText>
        </w:r>
        <w:r>
          <w:rPr>
            <w:noProof/>
            <w:webHidden/>
          </w:rPr>
        </w:r>
        <w:r>
          <w:rPr>
            <w:noProof/>
            <w:webHidden/>
          </w:rPr>
          <w:fldChar w:fldCharType="separate"/>
        </w:r>
        <w:r>
          <w:rPr>
            <w:noProof/>
            <w:webHidden/>
          </w:rPr>
          <w:t>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3" w:history="1">
        <w:r w:rsidRPr="00150E1C">
          <w:rPr>
            <w:rStyle w:val="aff"/>
            <w:noProof/>
          </w:rPr>
          <w:t xml:space="preserve">3.1 </w:t>
        </w:r>
        <w:r w:rsidRPr="00150E1C">
          <w:rPr>
            <w:rStyle w:val="aff"/>
            <w:noProof/>
          </w:rPr>
          <w:t>主要会计数据和财务指标</w:t>
        </w:r>
        <w:r>
          <w:rPr>
            <w:noProof/>
            <w:webHidden/>
          </w:rPr>
          <w:tab/>
        </w:r>
        <w:r>
          <w:rPr>
            <w:noProof/>
            <w:webHidden/>
          </w:rPr>
          <w:fldChar w:fldCharType="begin"/>
        </w:r>
        <w:r>
          <w:rPr>
            <w:noProof/>
            <w:webHidden/>
          </w:rPr>
          <w:instrText xml:space="preserve"> PAGEREF _Toc144286593 \h </w:instrText>
        </w:r>
        <w:r>
          <w:rPr>
            <w:noProof/>
            <w:webHidden/>
          </w:rPr>
        </w:r>
        <w:r>
          <w:rPr>
            <w:noProof/>
            <w:webHidden/>
          </w:rPr>
          <w:fldChar w:fldCharType="separate"/>
        </w:r>
        <w:r>
          <w:rPr>
            <w:noProof/>
            <w:webHidden/>
          </w:rPr>
          <w:t>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4" w:history="1">
        <w:r w:rsidRPr="00150E1C">
          <w:rPr>
            <w:rStyle w:val="aff"/>
            <w:noProof/>
          </w:rPr>
          <w:t xml:space="preserve">3.2 </w:t>
        </w:r>
        <w:r w:rsidRPr="00150E1C">
          <w:rPr>
            <w:rStyle w:val="aff"/>
            <w:noProof/>
          </w:rPr>
          <w:t>基金净值表现</w:t>
        </w:r>
        <w:r>
          <w:rPr>
            <w:noProof/>
            <w:webHidden/>
          </w:rPr>
          <w:tab/>
        </w:r>
        <w:r>
          <w:rPr>
            <w:noProof/>
            <w:webHidden/>
          </w:rPr>
          <w:fldChar w:fldCharType="begin"/>
        </w:r>
        <w:r>
          <w:rPr>
            <w:noProof/>
            <w:webHidden/>
          </w:rPr>
          <w:instrText xml:space="preserve"> PAGEREF _Toc144286594 \h </w:instrText>
        </w:r>
        <w:r>
          <w:rPr>
            <w:noProof/>
            <w:webHidden/>
          </w:rPr>
        </w:r>
        <w:r>
          <w:rPr>
            <w:noProof/>
            <w:webHidden/>
          </w:rPr>
          <w:fldChar w:fldCharType="separate"/>
        </w:r>
        <w:r>
          <w:rPr>
            <w:noProof/>
            <w:webHidden/>
          </w:rPr>
          <w:t>7</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595" w:history="1">
        <w:r w:rsidRPr="00150E1C">
          <w:rPr>
            <w:rStyle w:val="aff"/>
            <w:b/>
            <w:bCs/>
            <w:noProof/>
          </w:rPr>
          <w:t xml:space="preserve">4  </w:t>
        </w:r>
        <w:r w:rsidRPr="00150E1C">
          <w:rPr>
            <w:rStyle w:val="aff"/>
            <w:b/>
            <w:bCs/>
            <w:noProof/>
          </w:rPr>
          <w:t>管理人报告</w:t>
        </w:r>
        <w:r>
          <w:rPr>
            <w:noProof/>
            <w:webHidden/>
          </w:rPr>
          <w:tab/>
        </w:r>
        <w:r>
          <w:rPr>
            <w:noProof/>
            <w:webHidden/>
          </w:rPr>
          <w:fldChar w:fldCharType="begin"/>
        </w:r>
        <w:r>
          <w:rPr>
            <w:noProof/>
            <w:webHidden/>
          </w:rPr>
          <w:instrText xml:space="preserve"> PAGEREF _Toc144286595 \h </w:instrText>
        </w:r>
        <w:r>
          <w:rPr>
            <w:noProof/>
            <w:webHidden/>
          </w:rPr>
        </w:r>
        <w:r>
          <w:rPr>
            <w:noProof/>
            <w:webHidden/>
          </w:rPr>
          <w:fldChar w:fldCharType="separate"/>
        </w:r>
        <w:r>
          <w:rPr>
            <w:noProof/>
            <w:webHidden/>
          </w:rPr>
          <w:t>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6" w:history="1">
        <w:r w:rsidRPr="00150E1C">
          <w:rPr>
            <w:rStyle w:val="aff"/>
            <w:noProof/>
          </w:rPr>
          <w:t xml:space="preserve">4.1 </w:t>
        </w:r>
        <w:r w:rsidRPr="00150E1C">
          <w:rPr>
            <w:rStyle w:val="aff"/>
            <w:noProof/>
          </w:rPr>
          <w:t>基金管理人及基金经理情况</w:t>
        </w:r>
        <w:r>
          <w:rPr>
            <w:noProof/>
            <w:webHidden/>
          </w:rPr>
          <w:tab/>
        </w:r>
        <w:r>
          <w:rPr>
            <w:noProof/>
            <w:webHidden/>
          </w:rPr>
          <w:fldChar w:fldCharType="begin"/>
        </w:r>
        <w:r>
          <w:rPr>
            <w:noProof/>
            <w:webHidden/>
          </w:rPr>
          <w:instrText xml:space="preserve"> PAGEREF _Toc144286596 \h </w:instrText>
        </w:r>
        <w:r>
          <w:rPr>
            <w:noProof/>
            <w:webHidden/>
          </w:rPr>
        </w:r>
        <w:r>
          <w:rPr>
            <w:noProof/>
            <w:webHidden/>
          </w:rPr>
          <w:fldChar w:fldCharType="separate"/>
        </w:r>
        <w:r>
          <w:rPr>
            <w:noProof/>
            <w:webHidden/>
          </w:rPr>
          <w:t>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7" w:history="1">
        <w:r w:rsidRPr="00150E1C">
          <w:rPr>
            <w:rStyle w:val="aff"/>
            <w:noProof/>
          </w:rPr>
          <w:t xml:space="preserve">4.2 </w:t>
        </w:r>
        <w:r w:rsidRPr="00150E1C">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_Toc144286597 \h </w:instrText>
        </w:r>
        <w:r>
          <w:rPr>
            <w:noProof/>
            <w:webHidden/>
          </w:rPr>
        </w:r>
        <w:r>
          <w:rPr>
            <w:noProof/>
            <w:webHidden/>
          </w:rPr>
          <w:fldChar w:fldCharType="separate"/>
        </w:r>
        <w:r>
          <w:rPr>
            <w:noProof/>
            <w:webHidden/>
          </w:rPr>
          <w:t>10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8" w:history="1">
        <w:r w:rsidRPr="00150E1C">
          <w:rPr>
            <w:rStyle w:val="aff"/>
            <w:noProof/>
          </w:rPr>
          <w:t xml:space="preserve">4.3 </w:t>
        </w:r>
        <w:r w:rsidRPr="00150E1C">
          <w:rPr>
            <w:rStyle w:val="aff"/>
            <w:noProof/>
          </w:rPr>
          <w:t>管理人对报告期内公平交易情况的专项说明</w:t>
        </w:r>
        <w:r>
          <w:rPr>
            <w:noProof/>
            <w:webHidden/>
          </w:rPr>
          <w:tab/>
        </w:r>
        <w:r>
          <w:rPr>
            <w:noProof/>
            <w:webHidden/>
          </w:rPr>
          <w:fldChar w:fldCharType="begin"/>
        </w:r>
        <w:r>
          <w:rPr>
            <w:noProof/>
            <w:webHidden/>
          </w:rPr>
          <w:instrText xml:space="preserve"> PAGEREF _Toc144286598 \h </w:instrText>
        </w:r>
        <w:r>
          <w:rPr>
            <w:noProof/>
            <w:webHidden/>
          </w:rPr>
        </w:r>
        <w:r>
          <w:rPr>
            <w:noProof/>
            <w:webHidden/>
          </w:rPr>
          <w:fldChar w:fldCharType="separate"/>
        </w:r>
        <w:r>
          <w:rPr>
            <w:noProof/>
            <w:webHidden/>
          </w:rPr>
          <w:t>10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599" w:history="1">
        <w:r w:rsidRPr="00150E1C">
          <w:rPr>
            <w:rStyle w:val="aff"/>
            <w:noProof/>
          </w:rPr>
          <w:t xml:space="preserve">4.4 </w:t>
        </w:r>
        <w:r w:rsidRPr="00150E1C">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_Toc144286599 \h </w:instrText>
        </w:r>
        <w:r>
          <w:rPr>
            <w:noProof/>
            <w:webHidden/>
          </w:rPr>
        </w:r>
        <w:r>
          <w:rPr>
            <w:noProof/>
            <w:webHidden/>
          </w:rPr>
          <w:fldChar w:fldCharType="separate"/>
        </w:r>
        <w:r>
          <w:rPr>
            <w:noProof/>
            <w:webHidden/>
          </w:rPr>
          <w:t>11</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0" w:history="1">
        <w:r w:rsidRPr="00150E1C">
          <w:rPr>
            <w:rStyle w:val="aff"/>
            <w:noProof/>
          </w:rPr>
          <w:t xml:space="preserve">4.5 </w:t>
        </w:r>
        <w:r w:rsidRPr="00150E1C">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_Toc144286600 \h </w:instrText>
        </w:r>
        <w:r>
          <w:rPr>
            <w:noProof/>
            <w:webHidden/>
          </w:rPr>
        </w:r>
        <w:r>
          <w:rPr>
            <w:noProof/>
            <w:webHidden/>
          </w:rPr>
          <w:fldChar w:fldCharType="separate"/>
        </w:r>
        <w:r>
          <w:rPr>
            <w:noProof/>
            <w:webHidden/>
          </w:rPr>
          <w:t>12</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1" w:history="1">
        <w:r w:rsidRPr="00150E1C">
          <w:rPr>
            <w:rStyle w:val="aff"/>
            <w:noProof/>
          </w:rPr>
          <w:t xml:space="preserve">4.6 </w:t>
        </w:r>
        <w:r w:rsidRPr="00150E1C">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_Toc144286601 \h </w:instrText>
        </w:r>
        <w:r>
          <w:rPr>
            <w:noProof/>
            <w:webHidden/>
          </w:rPr>
        </w:r>
        <w:r>
          <w:rPr>
            <w:noProof/>
            <w:webHidden/>
          </w:rPr>
          <w:fldChar w:fldCharType="separate"/>
        </w:r>
        <w:r>
          <w:rPr>
            <w:noProof/>
            <w:webHidden/>
          </w:rPr>
          <w:t>12</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2" w:history="1">
        <w:r w:rsidRPr="00150E1C">
          <w:rPr>
            <w:rStyle w:val="aff"/>
            <w:noProof/>
          </w:rPr>
          <w:t xml:space="preserve">4.7 </w:t>
        </w:r>
        <w:r w:rsidRPr="00150E1C">
          <w:rPr>
            <w:rStyle w:val="aff"/>
            <w:noProof/>
          </w:rPr>
          <w:t>管理人对报告期内基金利润分配情况的说明</w:t>
        </w:r>
        <w:r>
          <w:rPr>
            <w:noProof/>
            <w:webHidden/>
          </w:rPr>
          <w:tab/>
        </w:r>
        <w:r>
          <w:rPr>
            <w:noProof/>
            <w:webHidden/>
          </w:rPr>
          <w:fldChar w:fldCharType="begin"/>
        </w:r>
        <w:r>
          <w:rPr>
            <w:noProof/>
            <w:webHidden/>
          </w:rPr>
          <w:instrText xml:space="preserve"> PAGEREF _Toc144286602 \h </w:instrText>
        </w:r>
        <w:r>
          <w:rPr>
            <w:noProof/>
            <w:webHidden/>
          </w:rPr>
        </w:r>
        <w:r>
          <w:rPr>
            <w:noProof/>
            <w:webHidden/>
          </w:rPr>
          <w:fldChar w:fldCharType="separate"/>
        </w:r>
        <w:r>
          <w:rPr>
            <w:noProof/>
            <w:webHidden/>
          </w:rPr>
          <w:t>12</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3" w:history="1">
        <w:r w:rsidRPr="00150E1C">
          <w:rPr>
            <w:rStyle w:val="aff"/>
            <w:noProof/>
          </w:rPr>
          <w:t xml:space="preserve">4.8 </w:t>
        </w:r>
        <w:r w:rsidRPr="00150E1C">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_Toc144286603 \h </w:instrText>
        </w:r>
        <w:r>
          <w:rPr>
            <w:noProof/>
            <w:webHidden/>
          </w:rPr>
        </w:r>
        <w:r>
          <w:rPr>
            <w:noProof/>
            <w:webHidden/>
          </w:rPr>
          <w:fldChar w:fldCharType="separate"/>
        </w:r>
        <w:r>
          <w:rPr>
            <w:noProof/>
            <w:webHidden/>
          </w:rPr>
          <w:t>12</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04" w:history="1">
        <w:r w:rsidRPr="00150E1C">
          <w:rPr>
            <w:rStyle w:val="aff"/>
            <w:b/>
            <w:bCs/>
            <w:noProof/>
          </w:rPr>
          <w:t xml:space="preserve">5  </w:t>
        </w:r>
        <w:r w:rsidRPr="00150E1C">
          <w:rPr>
            <w:rStyle w:val="aff"/>
            <w:b/>
            <w:bCs/>
            <w:noProof/>
          </w:rPr>
          <w:t>托管人报告</w:t>
        </w:r>
        <w:r>
          <w:rPr>
            <w:noProof/>
            <w:webHidden/>
          </w:rPr>
          <w:tab/>
        </w:r>
        <w:r>
          <w:rPr>
            <w:noProof/>
            <w:webHidden/>
          </w:rPr>
          <w:fldChar w:fldCharType="begin"/>
        </w:r>
        <w:r>
          <w:rPr>
            <w:noProof/>
            <w:webHidden/>
          </w:rPr>
          <w:instrText xml:space="preserve"> PAGEREF _Toc144286604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5" w:history="1">
        <w:r w:rsidRPr="00150E1C">
          <w:rPr>
            <w:rStyle w:val="aff"/>
            <w:noProof/>
          </w:rPr>
          <w:t xml:space="preserve">5.1 </w:t>
        </w:r>
        <w:r w:rsidRPr="00150E1C">
          <w:rPr>
            <w:rStyle w:val="aff"/>
            <w:noProof/>
          </w:rPr>
          <w:t>报告期内本基金托管人遵规守信情况声明</w:t>
        </w:r>
        <w:r>
          <w:rPr>
            <w:noProof/>
            <w:webHidden/>
          </w:rPr>
          <w:tab/>
        </w:r>
        <w:r>
          <w:rPr>
            <w:noProof/>
            <w:webHidden/>
          </w:rPr>
          <w:fldChar w:fldCharType="begin"/>
        </w:r>
        <w:r>
          <w:rPr>
            <w:noProof/>
            <w:webHidden/>
          </w:rPr>
          <w:instrText xml:space="preserve"> PAGEREF _Toc144286605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6" w:history="1">
        <w:r w:rsidRPr="00150E1C">
          <w:rPr>
            <w:rStyle w:val="aff"/>
            <w:noProof/>
          </w:rPr>
          <w:t xml:space="preserve">5.2 </w:t>
        </w:r>
        <w:r w:rsidRPr="00150E1C">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_Toc144286606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7" w:history="1">
        <w:r w:rsidRPr="00150E1C">
          <w:rPr>
            <w:rStyle w:val="aff"/>
            <w:noProof/>
          </w:rPr>
          <w:t xml:space="preserve">5.3 </w:t>
        </w:r>
        <w:r w:rsidRPr="00150E1C">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_Toc144286607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08" w:history="1">
        <w:r w:rsidRPr="00150E1C">
          <w:rPr>
            <w:rStyle w:val="aff"/>
            <w:b/>
            <w:bCs/>
            <w:noProof/>
          </w:rPr>
          <w:t xml:space="preserve">6  </w:t>
        </w:r>
        <w:r w:rsidRPr="00150E1C">
          <w:rPr>
            <w:rStyle w:val="aff"/>
            <w:b/>
            <w:bCs/>
            <w:noProof/>
          </w:rPr>
          <w:t>半年度财务会计报告（未经审计）</w:t>
        </w:r>
        <w:r>
          <w:rPr>
            <w:noProof/>
            <w:webHidden/>
          </w:rPr>
          <w:tab/>
        </w:r>
        <w:r>
          <w:rPr>
            <w:noProof/>
            <w:webHidden/>
          </w:rPr>
          <w:fldChar w:fldCharType="begin"/>
        </w:r>
        <w:r>
          <w:rPr>
            <w:noProof/>
            <w:webHidden/>
          </w:rPr>
          <w:instrText xml:space="preserve"> PAGEREF _Toc144286608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09" w:history="1">
        <w:r w:rsidRPr="00150E1C">
          <w:rPr>
            <w:rStyle w:val="aff"/>
            <w:noProof/>
          </w:rPr>
          <w:t xml:space="preserve">6.1 </w:t>
        </w:r>
        <w:r w:rsidRPr="00150E1C">
          <w:rPr>
            <w:rStyle w:val="aff"/>
            <w:noProof/>
          </w:rPr>
          <w:t>资产负债表</w:t>
        </w:r>
        <w:r>
          <w:rPr>
            <w:noProof/>
            <w:webHidden/>
          </w:rPr>
          <w:tab/>
        </w:r>
        <w:r>
          <w:rPr>
            <w:noProof/>
            <w:webHidden/>
          </w:rPr>
          <w:fldChar w:fldCharType="begin"/>
        </w:r>
        <w:r>
          <w:rPr>
            <w:noProof/>
            <w:webHidden/>
          </w:rPr>
          <w:instrText xml:space="preserve"> PAGEREF _Toc144286609 \h </w:instrText>
        </w:r>
        <w:r>
          <w:rPr>
            <w:noProof/>
            <w:webHidden/>
          </w:rPr>
        </w:r>
        <w:r>
          <w:rPr>
            <w:noProof/>
            <w:webHidden/>
          </w:rPr>
          <w:fldChar w:fldCharType="separate"/>
        </w:r>
        <w:r>
          <w:rPr>
            <w:noProof/>
            <w:webHidden/>
          </w:rPr>
          <w:t>13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0" w:history="1">
        <w:r w:rsidRPr="00150E1C">
          <w:rPr>
            <w:rStyle w:val="aff"/>
            <w:noProof/>
          </w:rPr>
          <w:t xml:space="preserve">6.2 </w:t>
        </w:r>
        <w:r w:rsidRPr="00150E1C">
          <w:rPr>
            <w:rStyle w:val="aff"/>
            <w:noProof/>
          </w:rPr>
          <w:t>利润表</w:t>
        </w:r>
        <w:r>
          <w:rPr>
            <w:noProof/>
            <w:webHidden/>
          </w:rPr>
          <w:tab/>
        </w:r>
        <w:r>
          <w:rPr>
            <w:noProof/>
            <w:webHidden/>
          </w:rPr>
          <w:fldChar w:fldCharType="begin"/>
        </w:r>
        <w:r>
          <w:rPr>
            <w:noProof/>
            <w:webHidden/>
          </w:rPr>
          <w:instrText xml:space="preserve"> PAGEREF _Toc144286610 \h </w:instrText>
        </w:r>
        <w:r>
          <w:rPr>
            <w:noProof/>
            <w:webHidden/>
          </w:rPr>
        </w:r>
        <w:r>
          <w:rPr>
            <w:noProof/>
            <w:webHidden/>
          </w:rPr>
          <w:fldChar w:fldCharType="separate"/>
        </w:r>
        <w:r>
          <w:rPr>
            <w:noProof/>
            <w:webHidden/>
          </w:rPr>
          <w:t>14</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1" w:history="1">
        <w:r w:rsidRPr="00150E1C">
          <w:rPr>
            <w:rStyle w:val="aff"/>
            <w:noProof/>
          </w:rPr>
          <w:t xml:space="preserve">6.3 </w:t>
        </w:r>
        <w:r w:rsidRPr="00150E1C">
          <w:rPr>
            <w:rStyle w:val="aff"/>
            <w:noProof/>
          </w:rPr>
          <w:t>净资产（基金净值）变动表</w:t>
        </w:r>
        <w:r>
          <w:rPr>
            <w:noProof/>
            <w:webHidden/>
          </w:rPr>
          <w:tab/>
        </w:r>
        <w:r>
          <w:rPr>
            <w:noProof/>
            <w:webHidden/>
          </w:rPr>
          <w:fldChar w:fldCharType="begin"/>
        </w:r>
        <w:r>
          <w:rPr>
            <w:noProof/>
            <w:webHidden/>
          </w:rPr>
          <w:instrText xml:space="preserve"> PAGEREF _Toc144286611 \h </w:instrText>
        </w:r>
        <w:r>
          <w:rPr>
            <w:noProof/>
            <w:webHidden/>
          </w:rPr>
        </w:r>
        <w:r>
          <w:rPr>
            <w:noProof/>
            <w:webHidden/>
          </w:rPr>
          <w:fldChar w:fldCharType="separate"/>
        </w:r>
        <w:r>
          <w:rPr>
            <w:noProof/>
            <w:webHidden/>
          </w:rPr>
          <w:t>16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2" w:history="1">
        <w:r w:rsidRPr="00150E1C">
          <w:rPr>
            <w:rStyle w:val="aff"/>
            <w:noProof/>
          </w:rPr>
          <w:t xml:space="preserve">6.4 </w:t>
        </w:r>
        <w:r w:rsidRPr="00150E1C">
          <w:rPr>
            <w:rStyle w:val="aff"/>
            <w:noProof/>
          </w:rPr>
          <w:t>报表附注</w:t>
        </w:r>
        <w:r>
          <w:rPr>
            <w:noProof/>
            <w:webHidden/>
          </w:rPr>
          <w:tab/>
        </w:r>
        <w:r>
          <w:rPr>
            <w:noProof/>
            <w:webHidden/>
          </w:rPr>
          <w:fldChar w:fldCharType="begin"/>
        </w:r>
        <w:r>
          <w:rPr>
            <w:noProof/>
            <w:webHidden/>
          </w:rPr>
          <w:instrText xml:space="preserve"> PAGEREF _Toc144286612 \h </w:instrText>
        </w:r>
        <w:r>
          <w:rPr>
            <w:noProof/>
            <w:webHidden/>
          </w:rPr>
        </w:r>
        <w:r>
          <w:rPr>
            <w:noProof/>
            <w:webHidden/>
          </w:rPr>
          <w:fldChar w:fldCharType="separate"/>
        </w:r>
        <w:r>
          <w:rPr>
            <w:noProof/>
            <w:webHidden/>
          </w:rPr>
          <w:t>17</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13" w:history="1">
        <w:r w:rsidRPr="00150E1C">
          <w:rPr>
            <w:rStyle w:val="aff"/>
            <w:b/>
            <w:bCs/>
            <w:noProof/>
          </w:rPr>
          <w:t xml:space="preserve">7  </w:t>
        </w:r>
        <w:r w:rsidRPr="00150E1C">
          <w:rPr>
            <w:rStyle w:val="aff"/>
            <w:b/>
            <w:bCs/>
            <w:noProof/>
          </w:rPr>
          <w:t>投资组合报告</w:t>
        </w:r>
        <w:r>
          <w:rPr>
            <w:noProof/>
            <w:webHidden/>
          </w:rPr>
          <w:tab/>
        </w:r>
        <w:r>
          <w:rPr>
            <w:noProof/>
            <w:webHidden/>
          </w:rPr>
          <w:fldChar w:fldCharType="begin"/>
        </w:r>
        <w:r>
          <w:rPr>
            <w:noProof/>
            <w:webHidden/>
          </w:rPr>
          <w:instrText xml:space="preserve"> PAGEREF _Toc144286613 \h </w:instrText>
        </w:r>
        <w:r>
          <w:rPr>
            <w:noProof/>
            <w:webHidden/>
          </w:rPr>
        </w:r>
        <w:r>
          <w:rPr>
            <w:noProof/>
            <w:webHidden/>
          </w:rPr>
          <w:fldChar w:fldCharType="separate"/>
        </w:r>
        <w:r>
          <w:rPr>
            <w:noProof/>
            <w:webHidden/>
          </w:rPr>
          <w:t>36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4" w:history="1">
        <w:r w:rsidRPr="00150E1C">
          <w:rPr>
            <w:rStyle w:val="aff"/>
            <w:noProof/>
          </w:rPr>
          <w:t xml:space="preserve">7.1 </w:t>
        </w:r>
        <w:r w:rsidRPr="00150E1C">
          <w:rPr>
            <w:rStyle w:val="aff"/>
            <w:noProof/>
          </w:rPr>
          <w:t>期末基金资产组合情况</w:t>
        </w:r>
        <w:r>
          <w:rPr>
            <w:noProof/>
            <w:webHidden/>
          </w:rPr>
          <w:tab/>
        </w:r>
        <w:r>
          <w:rPr>
            <w:noProof/>
            <w:webHidden/>
          </w:rPr>
          <w:fldChar w:fldCharType="begin"/>
        </w:r>
        <w:r>
          <w:rPr>
            <w:noProof/>
            <w:webHidden/>
          </w:rPr>
          <w:instrText xml:space="preserve"> PAGEREF _Toc144286614 \h </w:instrText>
        </w:r>
        <w:r>
          <w:rPr>
            <w:noProof/>
            <w:webHidden/>
          </w:rPr>
        </w:r>
        <w:r>
          <w:rPr>
            <w:noProof/>
            <w:webHidden/>
          </w:rPr>
          <w:fldChar w:fldCharType="separate"/>
        </w:r>
        <w:r>
          <w:rPr>
            <w:noProof/>
            <w:webHidden/>
          </w:rPr>
          <w:t>36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5" w:history="1">
        <w:r w:rsidRPr="00150E1C">
          <w:rPr>
            <w:rStyle w:val="aff"/>
            <w:noProof/>
          </w:rPr>
          <w:t xml:space="preserve">7.2 </w:t>
        </w:r>
        <w:r w:rsidRPr="00150E1C">
          <w:rPr>
            <w:rStyle w:val="aff"/>
            <w:noProof/>
          </w:rPr>
          <w:t>报告期末按行业分类的股票投资组合</w:t>
        </w:r>
        <w:r>
          <w:rPr>
            <w:noProof/>
            <w:webHidden/>
          </w:rPr>
          <w:tab/>
        </w:r>
        <w:r>
          <w:rPr>
            <w:noProof/>
            <w:webHidden/>
          </w:rPr>
          <w:fldChar w:fldCharType="begin"/>
        </w:r>
        <w:r>
          <w:rPr>
            <w:noProof/>
            <w:webHidden/>
          </w:rPr>
          <w:instrText xml:space="preserve"> PAGEREF _Toc144286615 \h </w:instrText>
        </w:r>
        <w:r>
          <w:rPr>
            <w:noProof/>
            <w:webHidden/>
          </w:rPr>
        </w:r>
        <w:r>
          <w:rPr>
            <w:noProof/>
            <w:webHidden/>
          </w:rPr>
          <w:fldChar w:fldCharType="separate"/>
        </w:r>
        <w:r>
          <w:rPr>
            <w:noProof/>
            <w:webHidden/>
          </w:rPr>
          <w:t>36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6" w:history="1">
        <w:r w:rsidRPr="00150E1C">
          <w:rPr>
            <w:rStyle w:val="aff"/>
            <w:noProof/>
          </w:rPr>
          <w:t xml:space="preserve">7.3 </w:t>
        </w:r>
        <w:r w:rsidRPr="00150E1C">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_Toc144286616 \h </w:instrText>
        </w:r>
        <w:r>
          <w:rPr>
            <w:noProof/>
            <w:webHidden/>
          </w:rPr>
        </w:r>
        <w:r>
          <w:rPr>
            <w:noProof/>
            <w:webHidden/>
          </w:rPr>
          <w:fldChar w:fldCharType="separate"/>
        </w:r>
        <w:r>
          <w:rPr>
            <w:noProof/>
            <w:webHidden/>
          </w:rPr>
          <w:t>36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7" w:history="1">
        <w:r w:rsidRPr="00150E1C">
          <w:rPr>
            <w:rStyle w:val="aff"/>
            <w:noProof/>
          </w:rPr>
          <w:t xml:space="preserve">7.4 </w:t>
        </w:r>
        <w:r w:rsidRPr="00150E1C">
          <w:rPr>
            <w:rStyle w:val="aff"/>
            <w:noProof/>
          </w:rPr>
          <w:t>报告期内股票投资组合的重大变动</w:t>
        </w:r>
        <w:r>
          <w:rPr>
            <w:noProof/>
            <w:webHidden/>
          </w:rPr>
          <w:tab/>
        </w:r>
        <w:r>
          <w:rPr>
            <w:noProof/>
            <w:webHidden/>
          </w:rPr>
          <w:fldChar w:fldCharType="begin"/>
        </w:r>
        <w:r>
          <w:rPr>
            <w:noProof/>
            <w:webHidden/>
          </w:rPr>
          <w:instrText xml:space="preserve"> PAGEREF _Toc144286617 \h </w:instrText>
        </w:r>
        <w:r>
          <w:rPr>
            <w:noProof/>
            <w:webHidden/>
          </w:rPr>
        </w:r>
        <w:r>
          <w:rPr>
            <w:noProof/>
            <w:webHidden/>
          </w:rPr>
          <w:fldChar w:fldCharType="separate"/>
        </w:r>
        <w:r>
          <w:rPr>
            <w:noProof/>
            <w:webHidden/>
          </w:rPr>
          <w:t>36</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8" w:history="1">
        <w:r w:rsidRPr="00150E1C">
          <w:rPr>
            <w:rStyle w:val="aff"/>
            <w:noProof/>
          </w:rPr>
          <w:t xml:space="preserve">7.5 </w:t>
        </w:r>
        <w:r w:rsidRPr="00150E1C">
          <w:rPr>
            <w:rStyle w:val="aff"/>
            <w:noProof/>
          </w:rPr>
          <w:t>期末按债券品种分类的债券投资组合</w:t>
        </w:r>
        <w:r>
          <w:rPr>
            <w:noProof/>
            <w:webHidden/>
          </w:rPr>
          <w:tab/>
        </w:r>
        <w:r>
          <w:rPr>
            <w:noProof/>
            <w:webHidden/>
          </w:rPr>
          <w:fldChar w:fldCharType="begin"/>
        </w:r>
        <w:r>
          <w:rPr>
            <w:noProof/>
            <w:webHidden/>
          </w:rPr>
          <w:instrText xml:space="preserve"> PAGEREF _Toc144286618 \h </w:instrText>
        </w:r>
        <w:r>
          <w:rPr>
            <w:noProof/>
            <w:webHidden/>
          </w:rPr>
        </w:r>
        <w:r>
          <w:rPr>
            <w:noProof/>
            <w:webHidden/>
          </w:rPr>
          <w:fldChar w:fldCharType="separate"/>
        </w:r>
        <w:r>
          <w:rPr>
            <w:noProof/>
            <w:webHidden/>
          </w:rPr>
          <w:t>37</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19" w:history="1">
        <w:r w:rsidRPr="00150E1C">
          <w:rPr>
            <w:rStyle w:val="aff"/>
            <w:noProof/>
          </w:rPr>
          <w:t xml:space="preserve">7.6 </w:t>
        </w:r>
        <w:r w:rsidRPr="00150E1C">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_Toc144286619 \h </w:instrText>
        </w:r>
        <w:r>
          <w:rPr>
            <w:noProof/>
            <w:webHidden/>
          </w:rPr>
        </w:r>
        <w:r>
          <w:rPr>
            <w:noProof/>
            <w:webHidden/>
          </w:rPr>
          <w:fldChar w:fldCharType="separate"/>
        </w:r>
        <w:r>
          <w:rPr>
            <w:noProof/>
            <w:webHidden/>
          </w:rPr>
          <w:t>37</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0" w:history="1">
        <w:r w:rsidRPr="00150E1C">
          <w:rPr>
            <w:rStyle w:val="aff"/>
            <w:noProof/>
          </w:rPr>
          <w:t xml:space="preserve">7.7 </w:t>
        </w:r>
        <w:r w:rsidRPr="00150E1C">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_Toc144286620 \h </w:instrText>
        </w:r>
        <w:r>
          <w:rPr>
            <w:noProof/>
            <w:webHidden/>
          </w:rPr>
        </w:r>
        <w:r>
          <w:rPr>
            <w:noProof/>
            <w:webHidden/>
          </w:rPr>
          <w:fldChar w:fldCharType="separate"/>
        </w:r>
        <w:r>
          <w:rPr>
            <w:noProof/>
            <w:webHidden/>
          </w:rPr>
          <w:t>37</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1" w:history="1">
        <w:r w:rsidRPr="00150E1C">
          <w:rPr>
            <w:rStyle w:val="aff"/>
            <w:noProof/>
          </w:rPr>
          <w:t xml:space="preserve">7.8 </w:t>
        </w:r>
        <w:r w:rsidRPr="00150E1C">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_Toc144286621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2" w:history="1">
        <w:r w:rsidRPr="00150E1C">
          <w:rPr>
            <w:rStyle w:val="aff"/>
            <w:noProof/>
          </w:rPr>
          <w:t xml:space="preserve">7.9 </w:t>
        </w:r>
        <w:r w:rsidRPr="00150E1C">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_Toc144286622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3" w:history="1">
        <w:r w:rsidRPr="00150E1C">
          <w:rPr>
            <w:rStyle w:val="aff"/>
            <w:noProof/>
          </w:rPr>
          <w:t xml:space="preserve">7.10 </w:t>
        </w:r>
        <w:r w:rsidRPr="00150E1C">
          <w:rPr>
            <w:rStyle w:val="aff"/>
            <w:noProof/>
          </w:rPr>
          <w:t>本基金投资股指期货的投资政策</w:t>
        </w:r>
        <w:r>
          <w:rPr>
            <w:noProof/>
            <w:webHidden/>
          </w:rPr>
          <w:tab/>
        </w:r>
        <w:r>
          <w:rPr>
            <w:noProof/>
            <w:webHidden/>
          </w:rPr>
          <w:fldChar w:fldCharType="begin"/>
        </w:r>
        <w:r>
          <w:rPr>
            <w:noProof/>
            <w:webHidden/>
          </w:rPr>
          <w:instrText xml:space="preserve"> PAGEREF _Toc144286623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4" w:history="1">
        <w:r w:rsidRPr="00150E1C">
          <w:rPr>
            <w:rStyle w:val="aff"/>
            <w:noProof/>
          </w:rPr>
          <w:t xml:space="preserve">7.11 </w:t>
        </w:r>
        <w:r w:rsidRPr="00150E1C">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_Toc144286624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5" w:history="1">
        <w:r w:rsidRPr="00150E1C">
          <w:rPr>
            <w:rStyle w:val="aff"/>
            <w:noProof/>
          </w:rPr>
          <w:t xml:space="preserve">7.12 </w:t>
        </w:r>
        <w:r w:rsidRPr="00150E1C">
          <w:rPr>
            <w:rStyle w:val="aff"/>
            <w:noProof/>
          </w:rPr>
          <w:t>本报告期投资基金情况</w:t>
        </w:r>
        <w:r>
          <w:rPr>
            <w:noProof/>
            <w:webHidden/>
          </w:rPr>
          <w:tab/>
        </w:r>
        <w:r>
          <w:rPr>
            <w:noProof/>
            <w:webHidden/>
          </w:rPr>
          <w:fldChar w:fldCharType="begin"/>
        </w:r>
        <w:r>
          <w:rPr>
            <w:noProof/>
            <w:webHidden/>
          </w:rPr>
          <w:instrText xml:space="preserve"> PAGEREF _Toc144286625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6" w:history="1">
        <w:r w:rsidRPr="00150E1C">
          <w:rPr>
            <w:rStyle w:val="aff"/>
            <w:noProof/>
          </w:rPr>
          <w:t xml:space="preserve">7.13 </w:t>
        </w:r>
        <w:r w:rsidRPr="00150E1C">
          <w:rPr>
            <w:rStyle w:val="aff"/>
            <w:noProof/>
          </w:rPr>
          <w:t>投资组合报告附注</w:t>
        </w:r>
        <w:r>
          <w:rPr>
            <w:noProof/>
            <w:webHidden/>
          </w:rPr>
          <w:tab/>
        </w:r>
        <w:r>
          <w:rPr>
            <w:noProof/>
            <w:webHidden/>
          </w:rPr>
          <w:fldChar w:fldCharType="begin"/>
        </w:r>
        <w:r>
          <w:rPr>
            <w:noProof/>
            <w:webHidden/>
          </w:rPr>
          <w:instrText xml:space="preserve"> PAGEREF _Toc144286626 \h </w:instrText>
        </w:r>
        <w:r>
          <w:rPr>
            <w:noProof/>
            <w:webHidden/>
          </w:rPr>
        </w:r>
        <w:r>
          <w:rPr>
            <w:noProof/>
            <w:webHidden/>
          </w:rPr>
          <w:fldChar w:fldCharType="separate"/>
        </w:r>
        <w:r>
          <w:rPr>
            <w:noProof/>
            <w:webHidden/>
          </w:rPr>
          <w:t>38</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27" w:history="1">
        <w:r w:rsidRPr="00150E1C">
          <w:rPr>
            <w:rStyle w:val="aff"/>
            <w:b/>
            <w:bCs/>
            <w:noProof/>
          </w:rPr>
          <w:t xml:space="preserve">8  </w:t>
        </w:r>
        <w:r w:rsidRPr="00150E1C">
          <w:rPr>
            <w:rStyle w:val="aff"/>
            <w:b/>
            <w:bCs/>
            <w:noProof/>
          </w:rPr>
          <w:t>基金份额持有人信息</w:t>
        </w:r>
        <w:r>
          <w:rPr>
            <w:noProof/>
            <w:webHidden/>
          </w:rPr>
          <w:tab/>
        </w:r>
        <w:r>
          <w:rPr>
            <w:noProof/>
            <w:webHidden/>
          </w:rPr>
          <w:fldChar w:fldCharType="begin"/>
        </w:r>
        <w:r>
          <w:rPr>
            <w:noProof/>
            <w:webHidden/>
          </w:rPr>
          <w:instrText xml:space="preserve"> PAGEREF _Toc144286627 \h </w:instrText>
        </w:r>
        <w:r>
          <w:rPr>
            <w:noProof/>
            <w:webHidden/>
          </w:rPr>
        </w:r>
        <w:r>
          <w:rPr>
            <w:noProof/>
            <w:webHidden/>
          </w:rPr>
          <w:fldChar w:fldCharType="separate"/>
        </w:r>
        <w:r>
          <w:rPr>
            <w:noProof/>
            <w:webHidden/>
          </w:rPr>
          <w:t>39</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8" w:history="1">
        <w:r w:rsidRPr="00150E1C">
          <w:rPr>
            <w:rStyle w:val="aff"/>
            <w:noProof/>
          </w:rPr>
          <w:t xml:space="preserve">8.1 </w:t>
        </w:r>
        <w:r w:rsidRPr="00150E1C">
          <w:rPr>
            <w:rStyle w:val="aff"/>
            <w:noProof/>
          </w:rPr>
          <w:t>期末基金份额持有人户数及持有人结构</w:t>
        </w:r>
        <w:r>
          <w:rPr>
            <w:noProof/>
            <w:webHidden/>
          </w:rPr>
          <w:tab/>
        </w:r>
        <w:r>
          <w:rPr>
            <w:noProof/>
            <w:webHidden/>
          </w:rPr>
          <w:fldChar w:fldCharType="begin"/>
        </w:r>
        <w:r>
          <w:rPr>
            <w:noProof/>
            <w:webHidden/>
          </w:rPr>
          <w:instrText xml:space="preserve"> PAGEREF _Toc144286628 \h </w:instrText>
        </w:r>
        <w:r>
          <w:rPr>
            <w:noProof/>
            <w:webHidden/>
          </w:rPr>
        </w:r>
        <w:r>
          <w:rPr>
            <w:noProof/>
            <w:webHidden/>
          </w:rPr>
          <w:fldChar w:fldCharType="separate"/>
        </w:r>
        <w:r>
          <w:rPr>
            <w:noProof/>
            <w:webHidden/>
          </w:rPr>
          <w:t>39</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29" w:history="1">
        <w:r w:rsidRPr="00150E1C">
          <w:rPr>
            <w:rStyle w:val="aff"/>
            <w:noProof/>
          </w:rPr>
          <w:t xml:space="preserve">8.2 </w:t>
        </w:r>
        <w:r w:rsidRPr="00150E1C">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_Toc144286629 \h </w:instrText>
        </w:r>
        <w:r>
          <w:rPr>
            <w:noProof/>
            <w:webHidden/>
          </w:rPr>
        </w:r>
        <w:r>
          <w:rPr>
            <w:noProof/>
            <w:webHidden/>
          </w:rPr>
          <w:fldChar w:fldCharType="separate"/>
        </w:r>
        <w:r>
          <w:rPr>
            <w:noProof/>
            <w:webHidden/>
          </w:rPr>
          <w:t>39</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30" w:history="1">
        <w:r w:rsidRPr="00150E1C">
          <w:rPr>
            <w:rStyle w:val="aff"/>
            <w:b/>
            <w:bCs/>
            <w:noProof/>
          </w:rPr>
          <w:t xml:space="preserve">9  </w:t>
        </w:r>
        <w:r w:rsidRPr="00150E1C">
          <w:rPr>
            <w:rStyle w:val="aff"/>
            <w:b/>
            <w:bCs/>
            <w:noProof/>
          </w:rPr>
          <w:t>开放式基金份额变动</w:t>
        </w:r>
        <w:r>
          <w:rPr>
            <w:noProof/>
            <w:webHidden/>
          </w:rPr>
          <w:tab/>
        </w:r>
        <w:r>
          <w:rPr>
            <w:noProof/>
            <w:webHidden/>
          </w:rPr>
          <w:fldChar w:fldCharType="begin"/>
        </w:r>
        <w:r>
          <w:rPr>
            <w:noProof/>
            <w:webHidden/>
          </w:rPr>
          <w:instrText xml:space="preserve"> PAGEREF _Toc144286630 \h </w:instrText>
        </w:r>
        <w:r>
          <w:rPr>
            <w:noProof/>
            <w:webHidden/>
          </w:rPr>
        </w:r>
        <w:r>
          <w:rPr>
            <w:noProof/>
            <w:webHidden/>
          </w:rPr>
          <w:fldChar w:fldCharType="separate"/>
        </w:r>
        <w:r>
          <w:rPr>
            <w:noProof/>
            <w:webHidden/>
          </w:rPr>
          <w:t>39</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31" w:history="1">
        <w:r w:rsidRPr="00150E1C">
          <w:rPr>
            <w:rStyle w:val="aff"/>
            <w:b/>
            <w:bCs/>
            <w:noProof/>
          </w:rPr>
          <w:t xml:space="preserve">10  </w:t>
        </w:r>
        <w:r w:rsidRPr="00150E1C">
          <w:rPr>
            <w:rStyle w:val="aff"/>
            <w:b/>
            <w:bCs/>
            <w:noProof/>
          </w:rPr>
          <w:t>重大事件揭示</w:t>
        </w:r>
        <w:r>
          <w:rPr>
            <w:noProof/>
            <w:webHidden/>
          </w:rPr>
          <w:tab/>
        </w:r>
        <w:r>
          <w:rPr>
            <w:noProof/>
            <w:webHidden/>
          </w:rPr>
          <w:fldChar w:fldCharType="begin"/>
        </w:r>
        <w:r>
          <w:rPr>
            <w:noProof/>
            <w:webHidden/>
          </w:rPr>
          <w:instrText xml:space="preserve"> PAGEREF _Toc144286631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2" w:history="1">
        <w:r w:rsidRPr="00150E1C">
          <w:rPr>
            <w:rStyle w:val="aff"/>
            <w:noProof/>
          </w:rPr>
          <w:t xml:space="preserve">10.1 </w:t>
        </w:r>
        <w:r w:rsidRPr="00150E1C">
          <w:rPr>
            <w:rStyle w:val="aff"/>
            <w:noProof/>
          </w:rPr>
          <w:t>基金份额持有人大会决议</w:t>
        </w:r>
        <w:r>
          <w:rPr>
            <w:noProof/>
            <w:webHidden/>
          </w:rPr>
          <w:tab/>
        </w:r>
        <w:r>
          <w:rPr>
            <w:noProof/>
            <w:webHidden/>
          </w:rPr>
          <w:fldChar w:fldCharType="begin"/>
        </w:r>
        <w:r>
          <w:rPr>
            <w:noProof/>
            <w:webHidden/>
          </w:rPr>
          <w:instrText xml:space="preserve"> PAGEREF _Toc144286632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3" w:history="1">
        <w:r w:rsidRPr="00150E1C">
          <w:rPr>
            <w:rStyle w:val="aff"/>
            <w:noProof/>
          </w:rPr>
          <w:t xml:space="preserve">10.2 </w:t>
        </w:r>
        <w:r w:rsidRPr="00150E1C">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_Toc144286633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4" w:history="1">
        <w:r w:rsidRPr="00150E1C">
          <w:rPr>
            <w:rStyle w:val="aff"/>
            <w:noProof/>
          </w:rPr>
          <w:t xml:space="preserve">10.3 </w:t>
        </w:r>
        <w:r w:rsidRPr="00150E1C">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_Toc144286634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5" w:history="1">
        <w:r w:rsidRPr="00150E1C">
          <w:rPr>
            <w:rStyle w:val="aff"/>
            <w:noProof/>
          </w:rPr>
          <w:t xml:space="preserve">10.4 </w:t>
        </w:r>
        <w:r w:rsidRPr="00150E1C">
          <w:rPr>
            <w:rStyle w:val="aff"/>
            <w:noProof/>
          </w:rPr>
          <w:t>基金投资策略的改变</w:t>
        </w:r>
        <w:r>
          <w:rPr>
            <w:noProof/>
            <w:webHidden/>
          </w:rPr>
          <w:tab/>
        </w:r>
        <w:r>
          <w:rPr>
            <w:noProof/>
            <w:webHidden/>
          </w:rPr>
          <w:fldChar w:fldCharType="begin"/>
        </w:r>
        <w:r>
          <w:rPr>
            <w:noProof/>
            <w:webHidden/>
          </w:rPr>
          <w:instrText xml:space="preserve"> PAGEREF _Toc144286635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6" w:history="1">
        <w:r w:rsidRPr="00150E1C">
          <w:rPr>
            <w:rStyle w:val="aff"/>
            <w:noProof/>
          </w:rPr>
          <w:t xml:space="preserve">10.5 </w:t>
        </w:r>
        <w:r w:rsidRPr="00150E1C">
          <w:rPr>
            <w:rStyle w:val="aff"/>
            <w:noProof/>
          </w:rPr>
          <w:t>为基金进行审计的会计师事务所情况</w:t>
        </w:r>
        <w:r>
          <w:rPr>
            <w:noProof/>
            <w:webHidden/>
          </w:rPr>
          <w:tab/>
        </w:r>
        <w:r>
          <w:rPr>
            <w:noProof/>
            <w:webHidden/>
          </w:rPr>
          <w:fldChar w:fldCharType="begin"/>
        </w:r>
        <w:r>
          <w:rPr>
            <w:noProof/>
            <w:webHidden/>
          </w:rPr>
          <w:instrText xml:space="preserve"> PAGEREF _Toc144286636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7" w:history="1">
        <w:r w:rsidRPr="00150E1C">
          <w:rPr>
            <w:rStyle w:val="aff"/>
            <w:noProof/>
          </w:rPr>
          <w:t xml:space="preserve">10.6 </w:t>
        </w:r>
        <w:r w:rsidRPr="00150E1C">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_Toc144286637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8" w:history="1">
        <w:r w:rsidRPr="00150E1C">
          <w:rPr>
            <w:rStyle w:val="aff"/>
            <w:noProof/>
          </w:rPr>
          <w:t xml:space="preserve">10.6.1 </w:t>
        </w:r>
        <w:r w:rsidRPr="00150E1C">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_Toc144286638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39" w:history="1">
        <w:r w:rsidRPr="00150E1C">
          <w:rPr>
            <w:rStyle w:val="aff"/>
            <w:noProof/>
          </w:rPr>
          <w:t xml:space="preserve">10.6.2 </w:t>
        </w:r>
        <w:r w:rsidRPr="00150E1C">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_Toc144286639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40" w:history="1">
        <w:r w:rsidRPr="00150E1C">
          <w:rPr>
            <w:rStyle w:val="aff"/>
            <w:noProof/>
          </w:rPr>
          <w:t xml:space="preserve">10.7 </w:t>
        </w:r>
        <w:r w:rsidRPr="00150E1C">
          <w:rPr>
            <w:rStyle w:val="aff"/>
            <w:noProof/>
          </w:rPr>
          <w:t>基金租用证券公司交易单元的有关情况</w:t>
        </w:r>
        <w:r>
          <w:rPr>
            <w:noProof/>
            <w:webHidden/>
          </w:rPr>
          <w:tab/>
        </w:r>
        <w:r>
          <w:rPr>
            <w:noProof/>
            <w:webHidden/>
          </w:rPr>
          <w:fldChar w:fldCharType="begin"/>
        </w:r>
        <w:r>
          <w:rPr>
            <w:noProof/>
            <w:webHidden/>
          </w:rPr>
          <w:instrText xml:space="preserve"> PAGEREF _Toc144286640 \h </w:instrText>
        </w:r>
        <w:r>
          <w:rPr>
            <w:noProof/>
            <w:webHidden/>
          </w:rPr>
        </w:r>
        <w:r>
          <w:rPr>
            <w:noProof/>
            <w:webHidden/>
          </w:rPr>
          <w:fldChar w:fldCharType="separate"/>
        </w:r>
        <w:r>
          <w:rPr>
            <w:noProof/>
            <w:webHidden/>
          </w:rPr>
          <w:t>40</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41" w:history="1">
        <w:r w:rsidRPr="00150E1C">
          <w:rPr>
            <w:rStyle w:val="aff"/>
            <w:noProof/>
          </w:rPr>
          <w:t xml:space="preserve">10.8 </w:t>
        </w:r>
        <w:r w:rsidRPr="00150E1C">
          <w:rPr>
            <w:rStyle w:val="aff"/>
            <w:noProof/>
          </w:rPr>
          <w:t>其他重大事件</w:t>
        </w:r>
        <w:r>
          <w:rPr>
            <w:noProof/>
            <w:webHidden/>
          </w:rPr>
          <w:tab/>
        </w:r>
        <w:r>
          <w:rPr>
            <w:noProof/>
            <w:webHidden/>
          </w:rPr>
          <w:fldChar w:fldCharType="begin"/>
        </w:r>
        <w:r>
          <w:rPr>
            <w:noProof/>
            <w:webHidden/>
          </w:rPr>
          <w:instrText xml:space="preserve"> PAGEREF _Toc144286641 \h </w:instrText>
        </w:r>
        <w:r>
          <w:rPr>
            <w:noProof/>
            <w:webHidden/>
          </w:rPr>
        </w:r>
        <w:r>
          <w:rPr>
            <w:noProof/>
            <w:webHidden/>
          </w:rPr>
          <w:fldChar w:fldCharType="separate"/>
        </w:r>
        <w:r>
          <w:rPr>
            <w:noProof/>
            <w:webHidden/>
          </w:rPr>
          <w:t>41</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42" w:history="1">
        <w:r w:rsidRPr="00150E1C">
          <w:rPr>
            <w:rStyle w:val="aff"/>
            <w:b/>
            <w:bCs/>
            <w:noProof/>
          </w:rPr>
          <w:t xml:space="preserve">11  </w:t>
        </w:r>
        <w:r w:rsidRPr="00150E1C">
          <w:rPr>
            <w:rStyle w:val="aff"/>
            <w:b/>
            <w:bCs/>
            <w:noProof/>
          </w:rPr>
          <w:t>影响投资者决策的其他重要信息</w:t>
        </w:r>
        <w:r>
          <w:rPr>
            <w:noProof/>
            <w:webHidden/>
          </w:rPr>
          <w:tab/>
        </w:r>
        <w:r>
          <w:rPr>
            <w:noProof/>
            <w:webHidden/>
          </w:rPr>
          <w:fldChar w:fldCharType="begin"/>
        </w:r>
        <w:r>
          <w:rPr>
            <w:noProof/>
            <w:webHidden/>
          </w:rPr>
          <w:instrText xml:space="preserve"> PAGEREF _Toc144286642 \h </w:instrText>
        </w:r>
        <w:r>
          <w:rPr>
            <w:noProof/>
            <w:webHidden/>
          </w:rPr>
        </w:r>
        <w:r>
          <w:rPr>
            <w:noProof/>
            <w:webHidden/>
          </w:rPr>
          <w:fldChar w:fldCharType="separate"/>
        </w:r>
        <w:r>
          <w:rPr>
            <w:noProof/>
            <w:webHidden/>
          </w:rPr>
          <w:t>42</w:t>
        </w:r>
        <w:r>
          <w:rPr>
            <w:noProof/>
            <w:webHidden/>
          </w:rPr>
          <w:fldChar w:fldCharType="end"/>
        </w:r>
      </w:hyperlink>
    </w:p>
    <w:p w:rsidR="00CD439D" w:rsidRDefault="00CD439D">
      <w:pPr>
        <w:pStyle w:val="11"/>
        <w:rPr>
          <w:rFonts w:asciiTheme="minorHAnsi" w:eastAsiaTheme="minorEastAsia" w:hAnsiTheme="minorHAnsi" w:cstheme="minorBidi"/>
          <w:noProof/>
          <w:szCs w:val="22"/>
        </w:rPr>
      </w:pPr>
      <w:hyperlink w:anchor="_Toc144286643" w:history="1">
        <w:r w:rsidRPr="00150E1C">
          <w:rPr>
            <w:rStyle w:val="aff"/>
            <w:b/>
            <w:bCs/>
            <w:noProof/>
          </w:rPr>
          <w:t xml:space="preserve">12  </w:t>
        </w:r>
        <w:r w:rsidRPr="00150E1C">
          <w:rPr>
            <w:rStyle w:val="aff"/>
            <w:b/>
            <w:bCs/>
            <w:noProof/>
          </w:rPr>
          <w:t>备查文件目录</w:t>
        </w:r>
        <w:r>
          <w:rPr>
            <w:noProof/>
            <w:webHidden/>
          </w:rPr>
          <w:tab/>
        </w:r>
        <w:r>
          <w:rPr>
            <w:noProof/>
            <w:webHidden/>
          </w:rPr>
          <w:fldChar w:fldCharType="begin"/>
        </w:r>
        <w:r>
          <w:rPr>
            <w:noProof/>
            <w:webHidden/>
          </w:rPr>
          <w:instrText xml:space="preserve"> PAGEREF _Toc144286643 \h </w:instrText>
        </w:r>
        <w:r>
          <w:rPr>
            <w:noProof/>
            <w:webHidden/>
          </w:rPr>
        </w:r>
        <w:r>
          <w:rPr>
            <w:noProof/>
            <w:webHidden/>
          </w:rPr>
          <w:fldChar w:fldCharType="separate"/>
        </w:r>
        <w:r>
          <w:rPr>
            <w:noProof/>
            <w:webHidden/>
          </w:rPr>
          <w:t>42</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44" w:history="1">
        <w:r w:rsidRPr="00150E1C">
          <w:rPr>
            <w:rStyle w:val="aff"/>
            <w:noProof/>
          </w:rPr>
          <w:t xml:space="preserve">12.1 </w:t>
        </w:r>
        <w:r w:rsidRPr="00150E1C">
          <w:rPr>
            <w:rStyle w:val="aff"/>
            <w:noProof/>
          </w:rPr>
          <w:t>备查文件目录</w:t>
        </w:r>
        <w:r>
          <w:rPr>
            <w:noProof/>
            <w:webHidden/>
          </w:rPr>
          <w:tab/>
        </w:r>
        <w:r>
          <w:rPr>
            <w:noProof/>
            <w:webHidden/>
          </w:rPr>
          <w:fldChar w:fldCharType="begin"/>
        </w:r>
        <w:r>
          <w:rPr>
            <w:noProof/>
            <w:webHidden/>
          </w:rPr>
          <w:instrText xml:space="preserve"> PAGEREF _Toc144286644 \h </w:instrText>
        </w:r>
        <w:r>
          <w:rPr>
            <w:noProof/>
            <w:webHidden/>
          </w:rPr>
        </w:r>
        <w:r>
          <w:rPr>
            <w:noProof/>
            <w:webHidden/>
          </w:rPr>
          <w:fldChar w:fldCharType="separate"/>
        </w:r>
        <w:r>
          <w:rPr>
            <w:noProof/>
            <w:webHidden/>
          </w:rPr>
          <w:t>42</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45" w:history="1">
        <w:r w:rsidRPr="00150E1C">
          <w:rPr>
            <w:rStyle w:val="aff"/>
            <w:noProof/>
          </w:rPr>
          <w:t xml:space="preserve">12.2 </w:t>
        </w:r>
        <w:r w:rsidRPr="00150E1C">
          <w:rPr>
            <w:rStyle w:val="aff"/>
            <w:noProof/>
          </w:rPr>
          <w:t>存放地点</w:t>
        </w:r>
        <w:r>
          <w:rPr>
            <w:noProof/>
            <w:webHidden/>
          </w:rPr>
          <w:tab/>
        </w:r>
        <w:r>
          <w:rPr>
            <w:noProof/>
            <w:webHidden/>
          </w:rPr>
          <w:fldChar w:fldCharType="begin"/>
        </w:r>
        <w:r>
          <w:rPr>
            <w:noProof/>
            <w:webHidden/>
          </w:rPr>
          <w:instrText xml:space="preserve"> PAGEREF _Toc144286645 \h </w:instrText>
        </w:r>
        <w:r>
          <w:rPr>
            <w:noProof/>
            <w:webHidden/>
          </w:rPr>
        </w:r>
        <w:r>
          <w:rPr>
            <w:noProof/>
            <w:webHidden/>
          </w:rPr>
          <w:fldChar w:fldCharType="separate"/>
        </w:r>
        <w:r>
          <w:rPr>
            <w:noProof/>
            <w:webHidden/>
          </w:rPr>
          <w:t>43</w:t>
        </w:r>
        <w:r>
          <w:rPr>
            <w:noProof/>
            <w:webHidden/>
          </w:rPr>
          <w:fldChar w:fldCharType="end"/>
        </w:r>
      </w:hyperlink>
    </w:p>
    <w:p w:rsidR="00CD439D" w:rsidRDefault="00CD439D">
      <w:pPr>
        <w:pStyle w:val="23"/>
        <w:rPr>
          <w:rFonts w:asciiTheme="minorHAnsi" w:eastAsiaTheme="minorEastAsia" w:hAnsiTheme="minorHAnsi" w:cstheme="minorBidi"/>
          <w:noProof/>
          <w:kern w:val="2"/>
          <w:szCs w:val="22"/>
        </w:rPr>
      </w:pPr>
      <w:hyperlink w:anchor="_Toc144286646" w:history="1">
        <w:r w:rsidRPr="00150E1C">
          <w:rPr>
            <w:rStyle w:val="aff"/>
            <w:noProof/>
          </w:rPr>
          <w:t xml:space="preserve">12.3 </w:t>
        </w:r>
        <w:r w:rsidRPr="00150E1C">
          <w:rPr>
            <w:rStyle w:val="aff"/>
            <w:noProof/>
          </w:rPr>
          <w:t>查阅方式</w:t>
        </w:r>
        <w:r>
          <w:rPr>
            <w:noProof/>
            <w:webHidden/>
          </w:rPr>
          <w:tab/>
        </w:r>
        <w:r>
          <w:rPr>
            <w:noProof/>
            <w:webHidden/>
          </w:rPr>
          <w:fldChar w:fldCharType="begin"/>
        </w:r>
        <w:r>
          <w:rPr>
            <w:noProof/>
            <w:webHidden/>
          </w:rPr>
          <w:instrText xml:space="preserve"> PAGEREF _Toc144286646 \h </w:instrText>
        </w:r>
        <w:r>
          <w:rPr>
            <w:noProof/>
            <w:webHidden/>
          </w:rPr>
        </w:r>
        <w:r>
          <w:rPr>
            <w:noProof/>
            <w:webHidden/>
          </w:rPr>
          <w:fldChar w:fldCharType="separate"/>
        </w:r>
        <w:r>
          <w:rPr>
            <w:noProof/>
            <w:webHidden/>
          </w:rPr>
          <w:t>43</w:t>
        </w:r>
        <w:r>
          <w:rPr>
            <w:noProof/>
            <w:webHidden/>
          </w:rPr>
          <w:fldChar w:fldCharType="end"/>
        </w:r>
      </w:hyperlink>
    </w:p>
    <w:p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586"/>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4"/>
      <w:bookmarkEnd w:id="5"/>
    </w:p>
    <w:p w:rsidR="006B65E1" w:rsidRPr="005B5C10" w:rsidRDefault="00945F2E">
      <w:pPr>
        <w:pStyle w:val="2"/>
        <w:spacing w:before="0" w:after="0"/>
        <w:rPr>
          <w:rFonts w:ascii="Times New Roman" w:eastAsiaTheme="minorEastAsia" w:hAnsi="Times New Roman"/>
          <w:color w:val="000000" w:themeColor="text1"/>
          <w:sz w:val="21"/>
          <w:szCs w:val="21"/>
        </w:rPr>
      </w:pPr>
      <w:bookmarkStart w:id="6" w:name="_Toc390421229"/>
      <w:bookmarkStart w:id="7" w:name="_Toc144286587"/>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w:t>
            </w:r>
          </w:p>
        </w:tc>
      </w:tr>
      <w:tr w:rsidR="005B5C10" w:rsidRPr="005B5C10">
        <w:tc>
          <w:tcPr>
            <w:tcW w:w="3555"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009895</w:t>
            </w:r>
          </w:p>
        </w:tc>
      </w:tr>
      <w:tr w:rsidR="005B5C10" w:rsidRPr="005B5C10">
        <w:tc>
          <w:tcPr>
            <w:tcW w:w="3555" w:type="dxa"/>
            <w:vAlign w:val="center"/>
          </w:tcPr>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009895</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契约型定期开放式</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兴业银行股份有限公司</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r w:rsidRPr="005B5C10">
              <w:rPr>
                <w:rFonts w:eastAsiaTheme="minorEastAsia"/>
                <w:color w:val="000000" w:themeColor="text1"/>
                <w:szCs w:val="21"/>
              </w:rPr>
              <w:t>份</w:t>
            </w:r>
          </w:p>
        </w:tc>
      </w:tr>
      <w:tr w:rsidR="005B5C10" w:rsidRPr="005B5C10">
        <w:tc>
          <w:tcPr>
            <w:tcW w:w="3555" w:type="dxa"/>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8" w:name="_Toc390421230"/>
      <w:bookmarkStart w:id="9" w:name="_Toc144286588"/>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在严格控制风险的前提下，采用持有到期策略，力争实现长期稳定的投资回报。</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rsidR="00AF52A5" w:rsidRDefault="00DD1EC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、封闭期投资策略</w:t>
            </w:r>
          </w:p>
          <w:p w:rsidR="00AF52A5" w:rsidRDefault="00DD1EC6">
            <w:pPr>
              <w:rPr>
                <w:rFonts w:eastAsiaTheme="minorEastAsia"/>
                <w:color w:val="000000" w:themeColor="text1"/>
                <w:szCs w:val="21"/>
              </w:rPr>
            </w:pPr>
            <w:r>
              <w:rPr>
                <w:rFonts w:eastAsiaTheme="minorEastAsia"/>
                <w:color w:val="000000" w:themeColor="text1"/>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w:t>
            </w:r>
          </w:p>
          <w:p w:rsidR="00AF52A5" w:rsidRDefault="00DD1EC6">
            <w:pPr>
              <w:rPr>
                <w:rFonts w:eastAsiaTheme="minorEastAsia"/>
                <w:color w:val="000000" w:themeColor="text1"/>
                <w:szCs w:val="21"/>
              </w:rPr>
            </w:pPr>
            <w:r>
              <w:rPr>
                <w:rFonts w:eastAsiaTheme="minorEastAsia"/>
                <w:color w:val="000000" w:themeColor="text1"/>
                <w:szCs w:val="21"/>
              </w:rPr>
              <w:t>封闭期具体投资策略包括信用债投资策略、杠杆投资策略、资产支持证券投资策略、封闭期现金管理策略。</w:t>
            </w:r>
          </w:p>
          <w:p w:rsidR="00AF52A5" w:rsidRDefault="00DD1EC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、开放期投资策略</w:t>
            </w:r>
          </w:p>
          <w:p w:rsidR="006B65E1" w:rsidRPr="005B5C10" w:rsidRDefault="00945F2E">
            <w:pPr>
              <w:rPr>
                <w:rFonts w:eastAsiaTheme="minorEastAsia"/>
                <w:color w:val="000000" w:themeColor="text1"/>
                <w:szCs w:val="21"/>
              </w:rPr>
            </w:pPr>
            <w:r w:rsidRPr="005B5C10">
              <w:rPr>
                <w:rFonts w:eastAsiaTheme="minorEastAsia"/>
                <w:color w:val="000000" w:themeColor="text1"/>
                <w:szCs w:val="21"/>
              </w:rPr>
              <w:t>开放期内，将保持资产适当的流动性，以应付当时市场条件下的赎回要求，并降低资产的流动性风险，做好流动性管理。</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在每个封闭期，本基金的业绩比较基准为该封闭期起始日公布的三年定期存款利率（税后）</w:t>
            </w:r>
            <w:r w:rsidRPr="005B5C10">
              <w:rPr>
                <w:rFonts w:eastAsiaTheme="minorEastAsia"/>
                <w:color w:val="000000" w:themeColor="text1"/>
                <w:szCs w:val="21"/>
              </w:rPr>
              <w:t>+1.25%</w:t>
            </w:r>
          </w:p>
        </w:tc>
      </w:tr>
      <w:tr w:rsidR="005B5C10" w:rsidRPr="005B5C10">
        <w:tc>
          <w:tcPr>
            <w:tcW w:w="209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本基金为债券型基金，一般而言，其长期平均风险和预期收益率低于股票型基金、混合型基金，高于货币市场基金。</w:t>
            </w:r>
          </w:p>
        </w:tc>
      </w:tr>
    </w:tbl>
    <w:p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10" w:name="_Toc225498247"/>
      <w:bookmarkStart w:id="11" w:name="_Toc390421231"/>
      <w:bookmarkStart w:id="12" w:name="_Toc144286589"/>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tc>
          <w:tcPr>
            <w:tcW w:w="2631" w:type="dxa"/>
            <w:gridSpan w:val="2"/>
            <w:vAlign w:val="center"/>
          </w:tcPr>
          <w:p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兴业银行股份有限公司</w:t>
            </w:r>
          </w:p>
        </w:tc>
      </w:tr>
      <w:tr w:rsidR="005B5C10" w:rsidRPr="005B5C10">
        <w:tc>
          <w:tcPr>
            <w:tcW w:w="1260" w:type="dxa"/>
            <w:vMerge w:val="restart"/>
            <w:vAlign w:val="center"/>
          </w:tcPr>
          <w:p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龚小武</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021-52629999-212056</w:t>
            </w:r>
          </w:p>
        </w:tc>
      </w:tr>
      <w:tr w:rsidR="005B5C10" w:rsidRPr="005B5C10">
        <w:tc>
          <w:tcPr>
            <w:tcW w:w="1260" w:type="dxa"/>
            <w:vMerge/>
            <w:vAlign w:val="center"/>
          </w:tcPr>
          <w:p w:rsidR="006B65E1" w:rsidRPr="005B5C10" w:rsidRDefault="006B65E1">
            <w:pPr>
              <w:widowControl/>
              <w:jc w:val="left"/>
              <w:rPr>
                <w:rFonts w:eastAsiaTheme="minorEastAsia"/>
                <w:color w:val="000000" w:themeColor="text1"/>
                <w:kern w:val="0"/>
                <w:szCs w:val="21"/>
              </w:rPr>
            </w:pPr>
          </w:p>
        </w:tc>
        <w:tc>
          <w:tcPr>
            <w:tcW w:w="1371"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services@cifm.com</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gongxiaowu@cib.com.cn</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95561</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传真</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021-62159217</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福建省福州市台江区江滨中大道</w:t>
            </w:r>
            <w:r w:rsidRPr="005B5C10">
              <w:rPr>
                <w:rFonts w:eastAsiaTheme="minorEastAsia"/>
                <w:color w:val="000000" w:themeColor="text1"/>
                <w:kern w:val="0"/>
                <w:szCs w:val="21"/>
              </w:rPr>
              <w:t>398</w:t>
            </w:r>
            <w:r w:rsidRPr="005B5C10">
              <w:rPr>
                <w:rFonts w:eastAsiaTheme="minorEastAsia"/>
                <w:color w:val="000000" w:themeColor="text1"/>
                <w:kern w:val="0"/>
                <w:szCs w:val="21"/>
              </w:rPr>
              <w:t>号兴业银行大厦</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中国（上海）自由贸易试验区富城路</w:t>
            </w:r>
            <w:r w:rsidRPr="005B5C10">
              <w:rPr>
                <w:rFonts w:eastAsiaTheme="minorEastAsia"/>
                <w:color w:val="000000" w:themeColor="text1"/>
                <w:kern w:val="0"/>
                <w:szCs w:val="21"/>
              </w:rPr>
              <w:t>99</w:t>
            </w:r>
            <w:r w:rsidRPr="005B5C10">
              <w:rPr>
                <w:rFonts w:eastAsiaTheme="minorEastAsia"/>
                <w:color w:val="000000" w:themeColor="text1"/>
                <w:kern w:val="0"/>
                <w:szCs w:val="21"/>
              </w:rPr>
              <w:t>号震旦国际大楼</w:t>
            </w:r>
            <w:r w:rsidRPr="005B5C10">
              <w:rPr>
                <w:rFonts w:eastAsiaTheme="minorEastAsia"/>
                <w:color w:val="000000" w:themeColor="text1"/>
                <w:kern w:val="0"/>
                <w:szCs w:val="21"/>
              </w:rPr>
              <w:t>25</w:t>
            </w:r>
            <w:r w:rsidRPr="005B5C10">
              <w:rPr>
                <w:rFonts w:eastAsiaTheme="minorEastAsia"/>
                <w:color w:val="000000" w:themeColor="text1"/>
                <w:kern w:val="0"/>
                <w:szCs w:val="21"/>
              </w:rPr>
              <w:t>楼</w:t>
            </w:r>
          </w:p>
        </w:tc>
        <w:tc>
          <w:tcPr>
            <w:tcW w:w="3060" w:type="dxa"/>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上海市浦东新区银城路</w:t>
            </w:r>
            <w:r w:rsidRPr="005B5C10">
              <w:rPr>
                <w:rFonts w:eastAsiaTheme="minorEastAsia"/>
                <w:color w:val="000000" w:themeColor="text1"/>
                <w:kern w:val="0"/>
                <w:szCs w:val="21"/>
              </w:rPr>
              <w:t>167</w:t>
            </w:r>
            <w:r w:rsidRPr="005B5C10">
              <w:rPr>
                <w:rFonts w:eastAsiaTheme="minorEastAsia"/>
                <w:color w:val="000000" w:themeColor="text1"/>
                <w:kern w:val="0"/>
                <w:szCs w:val="21"/>
              </w:rPr>
              <w:t>号</w:t>
            </w:r>
            <w:r w:rsidRPr="005B5C10">
              <w:rPr>
                <w:rFonts w:eastAsiaTheme="minorEastAsia"/>
                <w:color w:val="000000" w:themeColor="text1"/>
                <w:kern w:val="0"/>
                <w:szCs w:val="21"/>
              </w:rPr>
              <w:t>4</w:t>
            </w:r>
            <w:r w:rsidRPr="005B5C10">
              <w:rPr>
                <w:rFonts w:eastAsiaTheme="minorEastAsia"/>
                <w:color w:val="000000" w:themeColor="text1"/>
                <w:kern w:val="0"/>
                <w:szCs w:val="21"/>
              </w:rPr>
              <w:t>楼</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r>
      <w:tr w:rsidR="005B5C10" w:rsidRPr="005B5C10">
        <w:tc>
          <w:tcPr>
            <w:tcW w:w="2631" w:type="dxa"/>
            <w:gridSpan w:val="2"/>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吕家进</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3" w:name="_Toc390421232"/>
      <w:bookmarkStart w:id="14" w:name="_Toc225498248"/>
      <w:bookmarkStart w:id="15" w:name="_Toc144286590"/>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tc>
          <w:tcPr>
            <w:tcW w:w="482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6" w:name="_Toc390421233"/>
      <w:bookmarkStart w:id="17" w:name="_Toc225498249"/>
      <w:bookmarkStart w:id="18" w:name="_Toc144286591"/>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tc>
          <w:tcPr>
            <w:tcW w:w="1951"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tc>
          <w:tcPr>
            <w:tcW w:w="1951"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中国（上海）自由贸易试验区富城路</w:t>
            </w:r>
            <w:r w:rsidRPr="005B5C10">
              <w:rPr>
                <w:rFonts w:eastAsiaTheme="minorEastAsia"/>
                <w:color w:val="000000" w:themeColor="text1"/>
                <w:szCs w:val="21"/>
              </w:rPr>
              <w:t>99</w:t>
            </w:r>
            <w:r w:rsidRPr="005B5C10">
              <w:rPr>
                <w:rFonts w:eastAsiaTheme="minorEastAsia"/>
                <w:color w:val="000000" w:themeColor="text1"/>
                <w:szCs w:val="21"/>
              </w:rPr>
              <w:t>号震旦国际大楼</w:t>
            </w:r>
            <w:r w:rsidRPr="005B5C10">
              <w:rPr>
                <w:rFonts w:eastAsiaTheme="minorEastAsia"/>
                <w:color w:val="000000" w:themeColor="text1"/>
                <w:szCs w:val="21"/>
              </w:rPr>
              <w:t>25</w:t>
            </w:r>
            <w:r w:rsidRPr="005B5C10">
              <w:rPr>
                <w:rFonts w:eastAsiaTheme="minorEastAsia"/>
                <w:color w:val="000000" w:themeColor="text1"/>
                <w:szCs w:val="21"/>
              </w:rPr>
              <w:t>楼</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 w:name="_Toc225498250"/>
      <w:bookmarkStart w:id="20" w:name="_Toc194312019"/>
      <w:bookmarkStart w:id="21" w:name="_Toc193947512"/>
      <w:bookmarkStart w:id="22" w:name="_Toc144286592"/>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9"/>
      <w:bookmarkEnd w:id="22"/>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3" w:name="_Toc286996129"/>
      <w:bookmarkStart w:id="24" w:name="_Toc390421235"/>
      <w:bookmarkStart w:id="25" w:name="_Toc144286593"/>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3"/>
      <w:bookmarkEnd w:id="24"/>
      <w:bookmarkEnd w:id="25"/>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trPr>
          <w:trHeight w:val="487"/>
        </w:trPr>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162,756,106.04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162,756,106.04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0.0204</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1.95%</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1.97%</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454,273,193.77</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0.0569</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8,444,350,893.71</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1.0569</w:t>
            </w:r>
          </w:p>
        </w:tc>
      </w:tr>
      <w:tr w:rsidR="005B5C10" w:rsidRPr="005B5C10">
        <w:tc>
          <w:tcPr>
            <w:tcW w:w="4509"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tc>
          <w:tcPr>
            <w:tcW w:w="450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11.94%</w:t>
            </w:r>
          </w:p>
        </w:tc>
      </w:tr>
    </w:tbl>
    <w:bookmarkEnd w:id="20"/>
    <w:bookmarkEnd w:id="21"/>
    <w:p w:rsidR="00AF52A5" w:rsidRDefault="00DD1E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本期已实现收益指基金本期利息收入、投资收益、其他收入（不含公允价值变动收益）扣除</w:t>
      </w:r>
      <w:r w:rsidRPr="005B5C10">
        <w:rPr>
          <w:rFonts w:eastAsiaTheme="minorEastAsia"/>
          <w:color w:val="000000" w:themeColor="text1"/>
          <w:kern w:val="0"/>
          <w:szCs w:val="21"/>
        </w:rPr>
        <w:lastRenderedPageBreak/>
        <w:t>相关费用后的余额，本期利润为本期已实现收益加上本期公允价值变动收益，由于本基金采用摊余成本法核算，所以，公允价值变动收益为零，本期已实现收益和本期利润的金额相等；</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6" w:name="_Toc390421236"/>
      <w:bookmarkStart w:id="27" w:name="_Toc225498252"/>
      <w:bookmarkStart w:id="28" w:name="_Toc144286594"/>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6"/>
      <w:bookmarkEnd w:id="27"/>
      <w:bookmarkEnd w:id="28"/>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tc>
          <w:tcPr>
            <w:tcW w:w="162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AF52A5">
        <w:tc>
          <w:tcPr>
            <w:tcW w:w="1620" w:type="dxa"/>
            <w:vAlign w:val="center"/>
          </w:tcPr>
          <w:p w:rsidR="00AF52A5" w:rsidRDefault="00DD1EC6">
            <w:pPr>
              <w:jc w:val="left"/>
            </w:pPr>
            <w:r>
              <w:rPr>
                <w:rFonts w:eastAsiaTheme="minorEastAsia"/>
                <w:color w:val="000000" w:themeColor="text1"/>
                <w:szCs w:val="21"/>
              </w:rPr>
              <w:t>过去一个月</w:t>
            </w:r>
          </w:p>
        </w:tc>
        <w:tc>
          <w:tcPr>
            <w:tcW w:w="1350" w:type="dxa"/>
            <w:vAlign w:val="center"/>
          </w:tcPr>
          <w:p w:rsidR="00AF52A5" w:rsidRDefault="00DD1EC6">
            <w:pPr>
              <w:jc w:val="center"/>
            </w:pPr>
            <w:r>
              <w:rPr>
                <w:rFonts w:eastAsiaTheme="minorEastAsia"/>
                <w:color w:val="000000" w:themeColor="text1"/>
                <w:szCs w:val="21"/>
              </w:rPr>
              <w:t>0.34%</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0.33%</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0.00%</w:t>
            </w:r>
          </w:p>
        </w:tc>
      </w:tr>
      <w:tr w:rsidR="00AF52A5">
        <w:tc>
          <w:tcPr>
            <w:tcW w:w="1620" w:type="dxa"/>
            <w:vAlign w:val="center"/>
          </w:tcPr>
          <w:p w:rsidR="00AF52A5" w:rsidRDefault="00DD1EC6">
            <w:pPr>
              <w:jc w:val="left"/>
            </w:pPr>
            <w:r>
              <w:rPr>
                <w:rFonts w:eastAsiaTheme="minorEastAsia"/>
                <w:color w:val="000000" w:themeColor="text1"/>
                <w:szCs w:val="21"/>
              </w:rPr>
              <w:t>过去三个月</w:t>
            </w:r>
          </w:p>
        </w:tc>
        <w:tc>
          <w:tcPr>
            <w:tcW w:w="1350" w:type="dxa"/>
            <w:vAlign w:val="center"/>
          </w:tcPr>
          <w:p w:rsidR="00AF52A5" w:rsidRDefault="00DD1EC6">
            <w:pPr>
              <w:jc w:val="center"/>
            </w:pPr>
            <w:r>
              <w:rPr>
                <w:rFonts w:eastAsiaTheme="minorEastAsia"/>
                <w:color w:val="000000" w:themeColor="text1"/>
                <w:szCs w:val="21"/>
              </w:rPr>
              <w:t>1.01%</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1.01%</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0.00%</w:t>
            </w:r>
          </w:p>
        </w:tc>
        <w:tc>
          <w:tcPr>
            <w:tcW w:w="1350" w:type="dxa"/>
            <w:vAlign w:val="center"/>
          </w:tcPr>
          <w:p w:rsidR="00AF52A5" w:rsidRDefault="00DD1EC6">
            <w:pPr>
              <w:jc w:val="center"/>
            </w:pPr>
            <w:r>
              <w:rPr>
                <w:rFonts w:eastAsiaTheme="minorEastAsia"/>
                <w:color w:val="000000" w:themeColor="text1"/>
                <w:szCs w:val="21"/>
              </w:rPr>
              <w:t>0.00%</w:t>
            </w:r>
          </w:p>
        </w:tc>
      </w:tr>
      <w:tr w:rsidR="00AF52A5">
        <w:tc>
          <w:tcPr>
            <w:tcW w:w="1620" w:type="dxa"/>
            <w:vAlign w:val="center"/>
          </w:tcPr>
          <w:p w:rsidR="00AF52A5" w:rsidRDefault="00DD1EC6">
            <w:pPr>
              <w:jc w:val="left"/>
            </w:pPr>
            <w:r>
              <w:rPr>
                <w:rFonts w:eastAsiaTheme="minorEastAsia"/>
                <w:color w:val="000000" w:themeColor="text1"/>
                <w:szCs w:val="21"/>
              </w:rPr>
              <w:t>过去六个月</w:t>
            </w:r>
          </w:p>
        </w:tc>
        <w:tc>
          <w:tcPr>
            <w:tcW w:w="1350" w:type="dxa"/>
            <w:vAlign w:val="center"/>
          </w:tcPr>
          <w:p w:rsidR="00AF52A5" w:rsidRDefault="00DD1EC6">
            <w:pPr>
              <w:jc w:val="center"/>
            </w:pPr>
            <w:r>
              <w:rPr>
                <w:rFonts w:eastAsiaTheme="minorEastAsia"/>
                <w:color w:val="000000" w:themeColor="text1"/>
                <w:szCs w:val="21"/>
              </w:rPr>
              <w:t>1.97%</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2.01%</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-0.04%</w:t>
            </w:r>
          </w:p>
        </w:tc>
        <w:tc>
          <w:tcPr>
            <w:tcW w:w="1350" w:type="dxa"/>
            <w:vAlign w:val="center"/>
          </w:tcPr>
          <w:p w:rsidR="00AF52A5" w:rsidRDefault="00DD1EC6">
            <w:pPr>
              <w:jc w:val="center"/>
            </w:pPr>
            <w:r>
              <w:rPr>
                <w:rFonts w:eastAsiaTheme="minorEastAsia"/>
                <w:color w:val="000000" w:themeColor="text1"/>
                <w:szCs w:val="21"/>
              </w:rPr>
              <w:t>0.00%</w:t>
            </w:r>
          </w:p>
        </w:tc>
      </w:tr>
      <w:tr w:rsidR="00AF52A5">
        <w:tc>
          <w:tcPr>
            <w:tcW w:w="1620" w:type="dxa"/>
            <w:vAlign w:val="center"/>
          </w:tcPr>
          <w:p w:rsidR="00AF52A5" w:rsidRDefault="00DD1EC6">
            <w:pPr>
              <w:jc w:val="left"/>
            </w:pPr>
            <w:r>
              <w:rPr>
                <w:rFonts w:eastAsiaTheme="minorEastAsia"/>
                <w:color w:val="000000" w:themeColor="text1"/>
                <w:szCs w:val="21"/>
              </w:rPr>
              <w:t>过去一年</w:t>
            </w:r>
          </w:p>
        </w:tc>
        <w:tc>
          <w:tcPr>
            <w:tcW w:w="1350" w:type="dxa"/>
            <w:vAlign w:val="center"/>
          </w:tcPr>
          <w:p w:rsidR="00AF52A5" w:rsidRDefault="00DD1EC6">
            <w:pPr>
              <w:jc w:val="center"/>
            </w:pPr>
            <w:r>
              <w:rPr>
                <w:rFonts w:eastAsiaTheme="minorEastAsia"/>
                <w:color w:val="000000" w:themeColor="text1"/>
                <w:szCs w:val="21"/>
              </w:rPr>
              <w:t>4.18%</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4.06%</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0.12%</w:t>
            </w:r>
          </w:p>
        </w:tc>
        <w:tc>
          <w:tcPr>
            <w:tcW w:w="1350" w:type="dxa"/>
            <w:vAlign w:val="center"/>
          </w:tcPr>
          <w:p w:rsidR="00AF52A5" w:rsidRDefault="00DD1EC6">
            <w:pPr>
              <w:jc w:val="center"/>
            </w:pPr>
            <w:r>
              <w:rPr>
                <w:rFonts w:eastAsiaTheme="minorEastAsia"/>
                <w:color w:val="000000" w:themeColor="text1"/>
                <w:szCs w:val="21"/>
              </w:rPr>
              <w:t>0.00%</w:t>
            </w:r>
          </w:p>
        </w:tc>
      </w:tr>
      <w:tr w:rsidR="00AF52A5">
        <w:tc>
          <w:tcPr>
            <w:tcW w:w="1620" w:type="dxa"/>
            <w:vAlign w:val="center"/>
          </w:tcPr>
          <w:p w:rsidR="00AF52A5" w:rsidRDefault="00DD1EC6">
            <w:pPr>
              <w:jc w:val="left"/>
            </w:pPr>
            <w:r>
              <w:rPr>
                <w:rFonts w:eastAsiaTheme="minorEastAsia"/>
                <w:color w:val="000000" w:themeColor="text1"/>
                <w:szCs w:val="21"/>
              </w:rPr>
              <w:t>过去三年</w:t>
            </w:r>
          </w:p>
        </w:tc>
        <w:tc>
          <w:tcPr>
            <w:tcW w:w="1350" w:type="dxa"/>
            <w:vAlign w:val="center"/>
          </w:tcPr>
          <w:p w:rsidR="00AF52A5" w:rsidRDefault="00DD1EC6">
            <w:pPr>
              <w:jc w:val="center"/>
            </w:pPr>
            <w:r>
              <w:rPr>
                <w:rFonts w:eastAsiaTheme="minorEastAsia"/>
                <w:color w:val="000000" w:themeColor="text1"/>
                <w:szCs w:val="21"/>
              </w:rPr>
              <w:t>-</w:t>
            </w:r>
          </w:p>
        </w:tc>
        <w:tc>
          <w:tcPr>
            <w:tcW w:w="1350" w:type="dxa"/>
            <w:vAlign w:val="center"/>
          </w:tcPr>
          <w:p w:rsidR="00AF52A5" w:rsidRDefault="00DD1EC6">
            <w:pPr>
              <w:jc w:val="center"/>
            </w:pPr>
            <w:r>
              <w:rPr>
                <w:rFonts w:eastAsiaTheme="minorEastAsia"/>
                <w:color w:val="000000" w:themeColor="text1"/>
                <w:szCs w:val="21"/>
              </w:rPr>
              <w:t>-</w:t>
            </w:r>
          </w:p>
        </w:tc>
        <w:tc>
          <w:tcPr>
            <w:tcW w:w="1350" w:type="dxa"/>
            <w:vAlign w:val="center"/>
          </w:tcPr>
          <w:p w:rsidR="00AF52A5" w:rsidRDefault="00DD1EC6">
            <w:pPr>
              <w:jc w:val="center"/>
            </w:pPr>
            <w:r>
              <w:rPr>
                <w:rFonts w:eastAsiaTheme="minorEastAsia"/>
                <w:color w:val="000000" w:themeColor="text1"/>
                <w:szCs w:val="21"/>
              </w:rPr>
              <w:t>-</w:t>
            </w:r>
          </w:p>
        </w:tc>
        <w:tc>
          <w:tcPr>
            <w:tcW w:w="1350" w:type="dxa"/>
            <w:vAlign w:val="center"/>
          </w:tcPr>
          <w:p w:rsidR="00AF52A5" w:rsidRDefault="00DD1EC6">
            <w:pPr>
              <w:jc w:val="center"/>
            </w:pPr>
            <w:r>
              <w:rPr>
                <w:rFonts w:eastAsiaTheme="minorEastAsia"/>
                <w:color w:val="000000" w:themeColor="text1"/>
                <w:szCs w:val="21"/>
              </w:rPr>
              <w:t>-</w:t>
            </w:r>
          </w:p>
        </w:tc>
        <w:tc>
          <w:tcPr>
            <w:tcW w:w="1350" w:type="dxa"/>
            <w:vAlign w:val="center"/>
          </w:tcPr>
          <w:p w:rsidR="00AF52A5" w:rsidRDefault="00DD1EC6">
            <w:pPr>
              <w:jc w:val="center"/>
            </w:pPr>
            <w:r>
              <w:rPr>
                <w:rFonts w:eastAsiaTheme="minorEastAsia"/>
                <w:color w:val="000000" w:themeColor="text1"/>
                <w:szCs w:val="21"/>
              </w:rPr>
              <w:t>-</w:t>
            </w:r>
          </w:p>
        </w:tc>
        <w:tc>
          <w:tcPr>
            <w:tcW w:w="1350" w:type="dxa"/>
            <w:vAlign w:val="center"/>
          </w:tcPr>
          <w:p w:rsidR="00AF52A5" w:rsidRDefault="00DD1EC6">
            <w:pPr>
              <w:jc w:val="center"/>
            </w:pPr>
            <w:r>
              <w:rPr>
                <w:rFonts w:eastAsiaTheme="minorEastAsia"/>
                <w:color w:val="000000" w:themeColor="text1"/>
                <w:szCs w:val="21"/>
              </w:rPr>
              <w:t>-</w:t>
            </w:r>
          </w:p>
        </w:tc>
      </w:tr>
      <w:tr w:rsidR="00AF52A5">
        <w:tc>
          <w:tcPr>
            <w:tcW w:w="1620" w:type="dxa"/>
            <w:vAlign w:val="center"/>
          </w:tcPr>
          <w:p w:rsidR="00AF52A5" w:rsidRDefault="00DD1EC6">
            <w:pPr>
              <w:jc w:val="left"/>
            </w:pPr>
            <w:r>
              <w:rPr>
                <w:rFonts w:eastAsiaTheme="minorEastAsia"/>
                <w:color w:val="000000" w:themeColor="text1"/>
                <w:szCs w:val="21"/>
              </w:rPr>
              <w:t>自基金合同生效起至今</w:t>
            </w:r>
          </w:p>
        </w:tc>
        <w:tc>
          <w:tcPr>
            <w:tcW w:w="1350" w:type="dxa"/>
            <w:vAlign w:val="center"/>
          </w:tcPr>
          <w:p w:rsidR="00AF52A5" w:rsidRDefault="00DD1EC6">
            <w:pPr>
              <w:jc w:val="center"/>
            </w:pPr>
            <w:r>
              <w:rPr>
                <w:rFonts w:eastAsiaTheme="minorEastAsia"/>
                <w:color w:val="000000" w:themeColor="text1"/>
                <w:szCs w:val="21"/>
              </w:rPr>
              <w:t>11.94%</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11.80%</w:t>
            </w:r>
          </w:p>
        </w:tc>
        <w:tc>
          <w:tcPr>
            <w:tcW w:w="1350" w:type="dxa"/>
            <w:vAlign w:val="center"/>
          </w:tcPr>
          <w:p w:rsidR="00AF52A5" w:rsidRDefault="00DD1EC6">
            <w:pPr>
              <w:jc w:val="center"/>
            </w:pPr>
            <w:r>
              <w:rPr>
                <w:rFonts w:eastAsiaTheme="minorEastAsia"/>
                <w:color w:val="000000" w:themeColor="text1"/>
                <w:szCs w:val="21"/>
              </w:rPr>
              <w:t>0.01%</w:t>
            </w:r>
          </w:p>
        </w:tc>
        <w:tc>
          <w:tcPr>
            <w:tcW w:w="1350" w:type="dxa"/>
            <w:vAlign w:val="center"/>
          </w:tcPr>
          <w:p w:rsidR="00AF52A5" w:rsidRDefault="00DD1EC6">
            <w:pPr>
              <w:jc w:val="center"/>
            </w:pPr>
            <w:r>
              <w:rPr>
                <w:rFonts w:eastAsiaTheme="minorEastAsia"/>
                <w:color w:val="000000" w:themeColor="text1"/>
                <w:szCs w:val="21"/>
              </w:rPr>
              <w:t>0.14%</w:t>
            </w:r>
          </w:p>
        </w:tc>
        <w:tc>
          <w:tcPr>
            <w:tcW w:w="1350" w:type="dxa"/>
            <w:vAlign w:val="center"/>
          </w:tcPr>
          <w:p w:rsidR="00AF52A5" w:rsidRDefault="00DD1EC6">
            <w:pPr>
              <w:jc w:val="center"/>
            </w:pPr>
            <w:r>
              <w:rPr>
                <w:rFonts w:eastAsiaTheme="minorEastAsia"/>
                <w:color w:val="000000" w:themeColor="text1"/>
                <w:szCs w:val="21"/>
              </w:rPr>
              <w:t>0.00%</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摩根瑞盛</w:t>
      </w:r>
      <w:r w:rsidRPr="005B5C10">
        <w:rPr>
          <w:rFonts w:eastAsiaTheme="minorEastAsia"/>
          <w:color w:val="000000" w:themeColor="text1"/>
          <w:kern w:val="0"/>
          <w:szCs w:val="21"/>
        </w:rPr>
        <w:t>87</w:t>
      </w:r>
      <w:r w:rsidRPr="005B5C10">
        <w:rPr>
          <w:rFonts w:eastAsiaTheme="minorEastAsia"/>
          <w:color w:val="000000" w:themeColor="text1"/>
          <w:kern w:val="0"/>
          <w:szCs w:val="21"/>
        </w:rPr>
        <w:t>个月定期开放债券型证券投资基金</w:t>
      </w:r>
    </w:p>
    <w:p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2020</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8</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2023</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AF52A5" w:rsidRDefault="00DD1E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3</w:t>
      </w:r>
      <w:r>
        <w:rPr>
          <w:rFonts w:eastAsiaTheme="minorEastAsia"/>
          <w:color w:val="000000" w:themeColor="text1"/>
          <w:kern w:val="0"/>
          <w:szCs w:val="21"/>
        </w:rPr>
        <w:t>日，图示的时间段为合同生效日至本报告期末。</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6</w:t>
      </w:r>
      <w:r w:rsidRPr="005B5C10">
        <w:rPr>
          <w:rFonts w:eastAsiaTheme="minorEastAsia"/>
          <w:color w:val="000000" w:themeColor="text1"/>
          <w:kern w:val="0"/>
          <w:szCs w:val="21"/>
        </w:rPr>
        <w:t>个月，建仓期结束时资产配置比例符合本基金基金合同规定。</w:t>
      </w:r>
      <w:r w:rsidRPr="005B5C10">
        <w:rPr>
          <w:rFonts w:eastAsiaTheme="minorEastAsia"/>
          <w:color w:val="000000" w:themeColor="text1"/>
          <w:kern w:val="0"/>
          <w:szCs w:val="21"/>
        </w:rPr>
        <w:t xml:space="preserve"> </w:t>
      </w:r>
    </w:p>
    <w:p w:rsidR="006B65E1" w:rsidRPr="005B5C10" w:rsidRDefault="006B65E1">
      <w:pPr>
        <w:tabs>
          <w:tab w:val="left" w:pos="1800"/>
        </w:tabs>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 w:name="_Toc225498254"/>
      <w:bookmarkStart w:id="30" w:name="_Toc144286595"/>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9"/>
      <w:bookmarkEnd w:id="30"/>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1" w:name="_Toc390421238"/>
      <w:bookmarkStart w:id="32" w:name="_Toc144286596"/>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1"/>
      <w:bookmarkEnd w:id="32"/>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w:t>
      </w:r>
      <w:r w:rsidRPr="005B5C10">
        <w:rPr>
          <w:rFonts w:eastAsiaTheme="minorEastAsia"/>
          <w:color w:val="000000" w:themeColor="text1"/>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、摩根时代睿选股票型证券投资基金。</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tc>
          <w:tcPr>
            <w:tcW w:w="109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tc>
          <w:tcPr>
            <w:tcW w:w="1090" w:type="dxa"/>
            <w:vMerge/>
            <w:vAlign w:val="center"/>
          </w:tcPr>
          <w:p w:rsidR="006B65E1" w:rsidRPr="005B5C10" w:rsidRDefault="006B65E1">
            <w:pPr>
              <w:widowControl/>
              <w:jc w:val="left"/>
              <w:rPr>
                <w:rFonts w:eastAsiaTheme="minorEastAsia"/>
                <w:color w:val="000000" w:themeColor="text1"/>
                <w:szCs w:val="21"/>
              </w:rPr>
            </w:pPr>
          </w:p>
        </w:tc>
        <w:tc>
          <w:tcPr>
            <w:tcW w:w="1500" w:type="dxa"/>
            <w:vMerge/>
            <w:vAlign w:val="center"/>
          </w:tcPr>
          <w:p w:rsidR="006B65E1" w:rsidRPr="005B5C10" w:rsidRDefault="006B65E1">
            <w:pPr>
              <w:widowControl/>
              <w:jc w:val="left"/>
              <w:rPr>
                <w:rFonts w:eastAsiaTheme="minorEastAsia"/>
                <w:color w:val="000000" w:themeColor="text1"/>
                <w:szCs w:val="21"/>
              </w:rPr>
            </w:pPr>
          </w:p>
        </w:tc>
        <w:tc>
          <w:tcPr>
            <w:tcW w:w="119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rsidR="006B65E1" w:rsidRPr="005B5C10" w:rsidRDefault="006B65E1">
            <w:pPr>
              <w:widowControl/>
              <w:jc w:val="left"/>
              <w:rPr>
                <w:rFonts w:eastAsiaTheme="minorEastAsia"/>
                <w:color w:val="000000" w:themeColor="text1"/>
                <w:szCs w:val="21"/>
              </w:rPr>
            </w:pPr>
          </w:p>
        </w:tc>
        <w:tc>
          <w:tcPr>
            <w:tcW w:w="3264" w:type="dxa"/>
            <w:vMerge/>
            <w:vAlign w:val="center"/>
          </w:tcPr>
          <w:p w:rsidR="006B65E1" w:rsidRPr="005B5C10" w:rsidRDefault="006B65E1">
            <w:pPr>
              <w:widowControl/>
              <w:jc w:val="left"/>
              <w:rPr>
                <w:rFonts w:eastAsiaTheme="minorEastAsia"/>
                <w:color w:val="000000" w:themeColor="text1"/>
                <w:szCs w:val="21"/>
              </w:rPr>
            </w:pPr>
          </w:p>
        </w:tc>
      </w:tr>
      <w:tr w:rsidR="00AF52A5">
        <w:tc>
          <w:tcPr>
            <w:tcW w:w="1090" w:type="dxa"/>
            <w:vAlign w:val="center"/>
          </w:tcPr>
          <w:p w:rsidR="00AF52A5" w:rsidRDefault="00DD1EC6">
            <w:pPr>
              <w:jc w:val="center"/>
            </w:pPr>
            <w:r>
              <w:rPr>
                <w:rFonts w:eastAsiaTheme="minorEastAsia"/>
                <w:color w:val="000000" w:themeColor="text1"/>
                <w:szCs w:val="21"/>
              </w:rPr>
              <w:t>雷杨娟</w:t>
            </w:r>
          </w:p>
        </w:tc>
        <w:tc>
          <w:tcPr>
            <w:tcW w:w="1500" w:type="dxa"/>
            <w:vAlign w:val="center"/>
          </w:tcPr>
          <w:p w:rsidR="00AF52A5" w:rsidRDefault="00DD1EC6">
            <w:pPr>
              <w:jc w:val="center"/>
            </w:pPr>
            <w:r>
              <w:rPr>
                <w:rFonts w:eastAsiaTheme="minorEastAsia"/>
                <w:color w:val="000000" w:themeColor="text1"/>
                <w:szCs w:val="21"/>
              </w:rPr>
              <w:t>本基金基金经理</w:t>
            </w:r>
          </w:p>
        </w:tc>
        <w:tc>
          <w:tcPr>
            <w:tcW w:w="1190" w:type="dxa"/>
            <w:vAlign w:val="center"/>
          </w:tcPr>
          <w:p w:rsidR="00AF52A5" w:rsidRDefault="00DD1EC6">
            <w:pPr>
              <w:jc w:val="center"/>
            </w:pPr>
            <w:r>
              <w:rPr>
                <w:rFonts w:eastAsiaTheme="minorEastAsia"/>
                <w:color w:val="000000" w:themeColor="text1"/>
                <w:szCs w:val="21"/>
              </w:rPr>
              <w:t>2020-08-14</w:t>
            </w:r>
          </w:p>
        </w:tc>
        <w:tc>
          <w:tcPr>
            <w:tcW w:w="1260" w:type="dxa"/>
            <w:vAlign w:val="center"/>
          </w:tcPr>
          <w:p w:rsidR="00AF52A5" w:rsidRDefault="00DD1EC6">
            <w:pPr>
              <w:jc w:val="center"/>
            </w:pPr>
            <w:r>
              <w:rPr>
                <w:rFonts w:eastAsiaTheme="minorEastAsia"/>
                <w:color w:val="000000" w:themeColor="text1"/>
                <w:szCs w:val="21"/>
              </w:rPr>
              <w:t>-</w:t>
            </w:r>
          </w:p>
        </w:tc>
        <w:tc>
          <w:tcPr>
            <w:tcW w:w="1236" w:type="dxa"/>
            <w:vAlign w:val="center"/>
          </w:tcPr>
          <w:p w:rsidR="00AF52A5" w:rsidRDefault="00DD1EC6">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AF52A5" w:rsidRDefault="00DD1EC6">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w:t>
            </w:r>
            <w:r>
              <w:rPr>
                <w:rFonts w:eastAsiaTheme="minorEastAsia"/>
                <w:color w:val="000000" w:themeColor="text1"/>
                <w:szCs w:val="21"/>
              </w:rPr>
              <w:lastRenderedPageBreak/>
              <w:t>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AF52A5">
        <w:tc>
          <w:tcPr>
            <w:tcW w:w="1090" w:type="dxa"/>
            <w:vAlign w:val="center"/>
          </w:tcPr>
          <w:p w:rsidR="00AF52A5" w:rsidRDefault="00DD1EC6">
            <w:pPr>
              <w:jc w:val="center"/>
            </w:pPr>
            <w:r>
              <w:rPr>
                <w:rFonts w:eastAsiaTheme="minorEastAsia"/>
                <w:color w:val="000000" w:themeColor="text1"/>
                <w:szCs w:val="21"/>
              </w:rPr>
              <w:lastRenderedPageBreak/>
              <w:t>文雪婷</w:t>
            </w:r>
          </w:p>
        </w:tc>
        <w:tc>
          <w:tcPr>
            <w:tcW w:w="1500" w:type="dxa"/>
            <w:vAlign w:val="center"/>
          </w:tcPr>
          <w:p w:rsidR="00AF52A5" w:rsidRDefault="00DD1EC6">
            <w:pPr>
              <w:jc w:val="center"/>
            </w:pPr>
            <w:r>
              <w:rPr>
                <w:rFonts w:eastAsiaTheme="minorEastAsia"/>
                <w:color w:val="000000" w:themeColor="text1"/>
                <w:szCs w:val="21"/>
              </w:rPr>
              <w:t>本基金基金经理助理</w:t>
            </w:r>
          </w:p>
        </w:tc>
        <w:tc>
          <w:tcPr>
            <w:tcW w:w="1190" w:type="dxa"/>
            <w:vAlign w:val="center"/>
          </w:tcPr>
          <w:p w:rsidR="00AF52A5" w:rsidRDefault="00DD1EC6">
            <w:pPr>
              <w:jc w:val="center"/>
            </w:pPr>
            <w:r>
              <w:rPr>
                <w:rFonts w:eastAsiaTheme="minorEastAsia"/>
                <w:color w:val="000000" w:themeColor="text1"/>
                <w:szCs w:val="21"/>
              </w:rPr>
              <w:t>2023-06-05</w:t>
            </w:r>
          </w:p>
        </w:tc>
        <w:tc>
          <w:tcPr>
            <w:tcW w:w="1260" w:type="dxa"/>
            <w:vAlign w:val="center"/>
          </w:tcPr>
          <w:p w:rsidR="00AF52A5" w:rsidRDefault="00DD1EC6">
            <w:pPr>
              <w:jc w:val="center"/>
            </w:pPr>
            <w:r>
              <w:rPr>
                <w:rFonts w:eastAsiaTheme="minorEastAsia"/>
                <w:color w:val="000000" w:themeColor="text1"/>
                <w:szCs w:val="21"/>
              </w:rPr>
              <w:t>-</w:t>
            </w:r>
          </w:p>
        </w:tc>
        <w:tc>
          <w:tcPr>
            <w:tcW w:w="1236" w:type="dxa"/>
            <w:vAlign w:val="center"/>
          </w:tcPr>
          <w:p w:rsidR="00AF52A5" w:rsidRDefault="00DD1EC6">
            <w:pPr>
              <w:jc w:val="center"/>
            </w:pPr>
            <w:r>
              <w:rPr>
                <w:rFonts w:eastAsiaTheme="minorEastAsia"/>
                <w:color w:val="000000" w:themeColor="text1"/>
                <w:szCs w:val="21"/>
              </w:rPr>
              <w:t>6</w:t>
            </w:r>
            <w:r>
              <w:rPr>
                <w:rFonts w:eastAsiaTheme="minorEastAsia"/>
                <w:color w:val="000000" w:themeColor="text1"/>
                <w:szCs w:val="21"/>
              </w:rPr>
              <w:t>年</w:t>
            </w:r>
          </w:p>
        </w:tc>
        <w:tc>
          <w:tcPr>
            <w:tcW w:w="3264" w:type="dxa"/>
            <w:vAlign w:val="center"/>
          </w:tcPr>
          <w:p w:rsidR="00AF52A5" w:rsidRDefault="00DD1EC6">
            <w:r>
              <w:rPr>
                <w:rFonts w:eastAsiaTheme="minorEastAsia"/>
                <w:color w:val="000000" w:themeColor="text1"/>
                <w:szCs w:val="21"/>
              </w:rPr>
              <w:t>清华大学应用经济学博士，现任固收研究部宏观研究员</w:t>
            </w:r>
            <w:r>
              <w:rPr>
                <w:rFonts w:eastAsiaTheme="minorEastAsia"/>
                <w:color w:val="000000" w:themeColor="text1"/>
                <w:szCs w:val="21"/>
              </w:rPr>
              <w:t>/</w:t>
            </w:r>
            <w:r>
              <w:rPr>
                <w:rFonts w:eastAsiaTheme="minorEastAsia"/>
                <w:color w:val="000000" w:themeColor="text1"/>
                <w:szCs w:val="21"/>
              </w:rPr>
              <w:t>基金经理助理。文雪婷女士自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），现任固收研究部宏观研究员</w:t>
            </w:r>
            <w:r>
              <w:rPr>
                <w:rFonts w:eastAsiaTheme="minorEastAsia"/>
                <w:color w:val="000000" w:themeColor="text1"/>
                <w:szCs w:val="21"/>
              </w:rPr>
              <w:t>/</w:t>
            </w:r>
            <w:r>
              <w:rPr>
                <w:rFonts w:eastAsiaTheme="minorEastAsia"/>
                <w:color w:val="000000" w:themeColor="text1"/>
                <w:szCs w:val="21"/>
              </w:rPr>
              <w:t>基金经理助理。</w:t>
            </w:r>
          </w:p>
        </w:tc>
      </w:tr>
    </w:tbl>
    <w:p w:rsidR="00AF52A5" w:rsidRDefault="00DD1E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r>
        <w:rPr>
          <w:rFonts w:eastAsiaTheme="minorEastAsia"/>
          <w:color w:val="000000" w:themeColor="text1"/>
          <w:kern w:val="0"/>
          <w:szCs w:val="21"/>
        </w:rPr>
        <w:t xml:space="preserve"> </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证券从业的含义遵从行业协会《证券业从业人员资格管理办法》的相关规定。</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144286597"/>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3"/>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4" w:name="_Toc225498257"/>
      <w:bookmarkStart w:id="35" w:name="_Toc390421240"/>
      <w:bookmarkStart w:id="36" w:name="_Toc144286598"/>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4"/>
      <w:bookmarkEnd w:id="35"/>
      <w:bookmarkEnd w:id="36"/>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7" w:name="_Toc225498258"/>
      <w:bookmarkStart w:id="38" w:name="_Toc390421241"/>
      <w:bookmarkStart w:id="39" w:name="_Toc144286599"/>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7"/>
      <w:bookmarkEnd w:id="38"/>
      <w:bookmarkEnd w:id="39"/>
    </w:p>
    <w:p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一季度，国际方面，海外金融风险事件持续发酵，继美国地方性银行风险暴露后，欧洲银行业也出现瑞银收购瑞信等事件，加剧了市场担忧，降低了市场对美联储的加息预期。国内经济主线则为疫后修复。随着国内防疫政策明显转变，社会和经济生活逐渐正常化，经济呈现复苏态势。固定资产投资总体保持回升态势。</w:t>
      </w:r>
      <w:r>
        <w:rPr>
          <w:rFonts w:eastAsiaTheme="minorEastAsia"/>
          <w:color w:val="000000" w:themeColor="text1"/>
          <w:szCs w:val="21"/>
        </w:rPr>
        <w:t>1-2</w:t>
      </w:r>
      <w:r>
        <w:rPr>
          <w:rFonts w:eastAsiaTheme="minorEastAsia"/>
          <w:color w:val="000000" w:themeColor="text1"/>
          <w:szCs w:val="21"/>
        </w:rPr>
        <w:t>月份社会零售品消费总额同比回升，服务类消费因为疫情放开后消费场景恢复而超预期回升。就业市场复苏进程偏慢，失业率环比及同比均略有抬升。</w:t>
      </w:r>
      <w:r>
        <w:rPr>
          <w:rFonts w:eastAsiaTheme="minorEastAsia"/>
          <w:color w:val="000000" w:themeColor="text1"/>
          <w:szCs w:val="21"/>
        </w:rPr>
        <w:t>1-2</w:t>
      </w:r>
      <w:r>
        <w:rPr>
          <w:rFonts w:eastAsiaTheme="minorEastAsia"/>
          <w:color w:val="000000" w:themeColor="text1"/>
          <w:szCs w:val="21"/>
        </w:rPr>
        <w:t>月的新增社会融资规模大幅超出市场预期。货币政策方面，央行在</w:t>
      </w:r>
      <w:r>
        <w:rPr>
          <w:rFonts w:eastAsiaTheme="minorEastAsia"/>
          <w:color w:val="000000" w:themeColor="text1"/>
          <w:szCs w:val="21"/>
        </w:rPr>
        <w:t>3</w:t>
      </w:r>
      <w:r>
        <w:rPr>
          <w:rFonts w:eastAsiaTheme="minorEastAsia"/>
          <w:color w:val="000000" w:themeColor="text1"/>
          <w:szCs w:val="21"/>
        </w:rPr>
        <w:t>月份宣布全面降准</w:t>
      </w:r>
      <w:r>
        <w:rPr>
          <w:rFonts w:eastAsiaTheme="minorEastAsia"/>
          <w:color w:val="000000" w:themeColor="text1"/>
          <w:szCs w:val="21"/>
        </w:rPr>
        <w:t>0.25</w:t>
      </w:r>
      <w:r>
        <w:rPr>
          <w:rFonts w:eastAsiaTheme="minorEastAsia"/>
          <w:color w:val="000000" w:themeColor="text1"/>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进入二季度，国际方面，美国就业市场韧性仍在，核心通胀仍较顽固，</w:t>
      </w:r>
      <w:r>
        <w:rPr>
          <w:rFonts w:eastAsiaTheme="minorEastAsia"/>
          <w:color w:val="000000" w:themeColor="text1"/>
          <w:szCs w:val="21"/>
        </w:rPr>
        <w:t>6</w:t>
      </w:r>
      <w:r>
        <w:rPr>
          <w:rFonts w:eastAsiaTheme="minorEastAsia"/>
          <w:color w:val="000000" w:themeColor="text1"/>
          <w:szCs w:val="21"/>
        </w:rPr>
        <w:t>月美联储如期暂停加息一次，但鹰派指引超预期。国内方面，二季度经济复苏进入阶段性瓶颈期，复苏斜率有所放缓，市场对于政策的预期升温。</w:t>
      </w:r>
      <w:r>
        <w:rPr>
          <w:rFonts w:eastAsiaTheme="minorEastAsia"/>
          <w:color w:val="000000" w:themeColor="text1"/>
          <w:szCs w:val="21"/>
        </w:rPr>
        <w:t>6</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相比</w:t>
      </w:r>
      <w:r>
        <w:rPr>
          <w:rFonts w:eastAsiaTheme="minorEastAsia"/>
          <w:color w:val="000000" w:themeColor="text1"/>
          <w:szCs w:val="21"/>
        </w:rPr>
        <w:t>5</w:t>
      </w:r>
      <w:r>
        <w:rPr>
          <w:rFonts w:eastAsiaTheme="minorEastAsia"/>
          <w:color w:val="000000" w:themeColor="text1"/>
          <w:szCs w:val="21"/>
        </w:rPr>
        <w:t>月有小幅改善但仍处于枯荣线以下。</w:t>
      </w:r>
      <w:r>
        <w:rPr>
          <w:rFonts w:eastAsiaTheme="minorEastAsia"/>
          <w:color w:val="000000" w:themeColor="text1"/>
          <w:szCs w:val="21"/>
        </w:rPr>
        <w:t>5</w:t>
      </w:r>
      <w:r>
        <w:rPr>
          <w:rFonts w:eastAsiaTheme="minorEastAsia"/>
          <w:color w:val="000000" w:themeColor="text1"/>
          <w:szCs w:val="21"/>
        </w:rPr>
        <w:t>月经济数据显示，生产端较</w:t>
      </w:r>
      <w:r>
        <w:rPr>
          <w:rFonts w:eastAsiaTheme="minorEastAsia"/>
          <w:color w:val="000000" w:themeColor="text1"/>
          <w:szCs w:val="21"/>
        </w:rPr>
        <w:t>4</w:t>
      </w:r>
      <w:r>
        <w:rPr>
          <w:rFonts w:eastAsiaTheme="minorEastAsia"/>
          <w:color w:val="000000" w:themeColor="text1"/>
          <w:szCs w:val="21"/>
        </w:rPr>
        <w:t>月有小幅改善，但需求端依旧偏软，经济运行情况弱于一季度。</w:t>
      </w:r>
      <w:r>
        <w:rPr>
          <w:rFonts w:eastAsiaTheme="minorEastAsia"/>
          <w:color w:val="000000" w:themeColor="text1"/>
          <w:szCs w:val="21"/>
        </w:rPr>
        <w:t>5</w:t>
      </w:r>
      <w:r>
        <w:rPr>
          <w:rFonts w:eastAsiaTheme="minorEastAsia"/>
          <w:color w:val="000000" w:themeColor="text1"/>
          <w:szCs w:val="21"/>
        </w:rPr>
        <w:t>月工增同比增长</w:t>
      </w:r>
      <w:r>
        <w:rPr>
          <w:rFonts w:eastAsiaTheme="minorEastAsia"/>
          <w:color w:val="000000" w:themeColor="text1"/>
          <w:szCs w:val="21"/>
        </w:rPr>
        <w:t>3.5%</w:t>
      </w:r>
      <w:r>
        <w:rPr>
          <w:rFonts w:eastAsiaTheme="minorEastAsia"/>
          <w:color w:val="000000" w:themeColor="text1"/>
          <w:szCs w:val="21"/>
        </w:rPr>
        <w:t>；固定资产投资累计同比增长</w:t>
      </w:r>
      <w:r>
        <w:rPr>
          <w:rFonts w:eastAsiaTheme="minorEastAsia"/>
          <w:color w:val="000000" w:themeColor="text1"/>
          <w:szCs w:val="21"/>
        </w:rPr>
        <w:t>4%</w:t>
      </w:r>
      <w:r>
        <w:rPr>
          <w:rFonts w:eastAsiaTheme="minorEastAsia"/>
          <w:color w:val="000000" w:themeColor="text1"/>
          <w:szCs w:val="21"/>
        </w:rPr>
        <w:t>，其中基建、制造业、房地产投资均有明显回落，投资对于经济增长的支撑作用进一步减弱，地产新开工、施工和销售面积均处于过去</w:t>
      </w:r>
      <w:r>
        <w:rPr>
          <w:rFonts w:eastAsiaTheme="minorEastAsia"/>
          <w:color w:val="000000" w:themeColor="text1"/>
          <w:szCs w:val="21"/>
        </w:rPr>
        <w:t>5</w:t>
      </w:r>
      <w:r>
        <w:rPr>
          <w:rFonts w:eastAsiaTheme="minorEastAsia"/>
          <w:color w:val="000000" w:themeColor="text1"/>
          <w:szCs w:val="21"/>
        </w:rPr>
        <w:t>年低位；</w:t>
      </w:r>
      <w:r>
        <w:rPr>
          <w:rFonts w:eastAsiaTheme="minorEastAsia"/>
          <w:color w:val="000000" w:themeColor="text1"/>
          <w:szCs w:val="21"/>
        </w:rPr>
        <w:t>5</w:t>
      </w:r>
      <w:r>
        <w:rPr>
          <w:rFonts w:eastAsiaTheme="minorEastAsia"/>
          <w:color w:val="000000" w:themeColor="text1"/>
          <w:szCs w:val="21"/>
        </w:rPr>
        <w:t>月社零同比增长</w:t>
      </w:r>
      <w:r>
        <w:rPr>
          <w:rFonts w:eastAsiaTheme="minorEastAsia"/>
          <w:color w:val="000000" w:themeColor="text1"/>
          <w:szCs w:val="21"/>
        </w:rPr>
        <w:t>12.7%</w:t>
      </w:r>
      <w:r>
        <w:rPr>
          <w:rFonts w:eastAsiaTheme="minorEastAsia"/>
          <w:color w:val="000000" w:themeColor="text1"/>
          <w:szCs w:val="21"/>
        </w:rPr>
        <w:t>。二季度在贷款需求偏弱的背景下，</w:t>
      </w:r>
      <w:r>
        <w:rPr>
          <w:rFonts w:eastAsiaTheme="minorEastAsia"/>
          <w:color w:val="000000" w:themeColor="text1"/>
          <w:szCs w:val="21"/>
        </w:rPr>
        <w:t>4</w:t>
      </w:r>
      <w:r>
        <w:rPr>
          <w:rFonts w:eastAsiaTheme="minorEastAsia"/>
          <w:color w:val="000000" w:themeColor="text1"/>
          <w:szCs w:val="21"/>
        </w:rPr>
        <w:t>月以来央行不断压降银行存款利率，资金利率持续处于偏低的位置。货币政策方面，央行</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）、中期借贷便利（</w:t>
      </w:r>
      <w:r>
        <w:rPr>
          <w:rFonts w:eastAsiaTheme="minorEastAsia"/>
          <w:color w:val="000000" w:themeColor="text1"/>
          <w:szCs w:val="21"/>
        </w:rPr>
        <w:t>MLF</w:t>
      </w:r>
      <w:r>
        <w:rPr>
          <w:rFonts w:eastAsiaTheme="minorEastAsia"/>
          <w:color w:val="000000" w:themeColor="text1"/>
          <w:szCs w:val="21"/>
        </w:rPr>
        <w:t>）利率，打开了新一轮宽松空间。通胀方面，通胀水平总体保持温和，通胀压力可控。</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债券市场方面，一季度，债市逐渐走出去年理财赎回的影响，呈现回暖的态势。</w:t>
      </w:r>
      <w:r>
        <w:rPr>
          <w:rFonts w:eastAsiaTheme="minorEastAsia"/>
          <w:color w:val="000000" w:themeColor="text1"/>
          <w:szCs w:val="21"/>
        </w:rPr>
        <w:t>1-2</w:t>
      </w:r>
      <w:r>
        <w:rPr>
          <w:rFonts w:eastAsiaTheme="minorEastAsia"/>
          <w:color w:val="000000" w:themeColor="text1"/>
          <w:szCs w:val="21"/>
        </w:rPr>
        <w:t>月利率震荡上行，</w:t>
      </w:r>
      <w:r>
        <w:rPr>
          <w:rFonts w:eastAsiaTheme="minorEastAsia"/>
          <w:color w:val="000000" w:themeColor="text1"/>
          <w:szCs w:val="21"/>
        </w:rPr>
        <w:t>3</w:t>
      </w:r>
      <w:r>
        <w:rPr>
          <w:rFonts w:eastAsiaTheme="minorEastAsia"/>
          <w:color w:val="000000" w:themeColor="text1"/>
          <w:szCs w:val="21"/>
        </w:rPr>
        <w:t>月收益率小幅回落，十年国债收益率最低点为</w:t>
      </w:r>
      <w:r>
        <w:rPr>
          <w:rFonts w:eastAsiaTheme="minorEastAsia"/>
          <w:color w:val="000000" w:themeColor="text1"/>
          <w:szCs w:val="21"/>
        </w:rPr>
        <w:t>2.81%</w:t>
      </w:r>
      <w:r>
        <w:rPr>
          <w:rFonts w:eastAsiaTheme="minorEastAsia"/>
          <w:color w:val="000000" w:themeColor="text1"/>
          <w:szCs w:val="21"/>
        </w:rPr>
        <w:t>，最高点为</w:t>
      </w:r>
      <w:r>
        <w:rPr>
          <w:rFonts w:eastAsiaTheme="minorEastAsia"/>
          <w:color w:val="000000" w:themeColor="text1"/>
          <w:szCs w:val="21"/>
        </w:rPr>
        <w:t>2.93%</w:t>
      </w:r>
      <w:r>
        <w:rPr>
          <w:rFonts w:eastAsiaTheme="minorEastAsia"/>
          <w:color w:val="000000" w:themeColor="text1"/>
          <w:szCs w:val="21"/>
        </w:rPr>
        <w:t>。春节前债市由于</w:t>
      </w:r>
      <w:r>
        <w:rPr>
          <w:rFonts w:eastAsiaTheme="minorEastAsia"/>
          <w:color w:val="000000" w:themeColor="text1"/>
          <w:szCs w:val="21"/>
        </w:rPr>
        <w:t>“</w:t>
      </w:r>
      <w:r>
        <w:rPr>
          <w:rFonts w:eastAsiaTheme="minorEastAsia"/>
          <w:color w:val="000000" w:themeColor="text1"/>
          <w:szCs w:val="21"/>
        </w:rPr>
        <w:t>弱现实强预期</w:t>
      </w:r>
      <w:r>
        <w:rPr>
          <w:rFonts w:eastAsiaTheme="minorEastAsia"/>
          <w:color w:val="000000" w:themeColor="text1"/>
          <w:szCs w:val="21"/>
        </w:rPr>
        <w:t>”</w:t>
      </w:r>
      <w:r>
        <w:rPr>
          <w:rFonts w:eastAsiaTheme="minorEastAsia"/>
          <w:color w:val="000000" w:themeColor="text1"/>
          <w:szCs w:val="21"/>
        </w:rPr>
        <w:t>逻辑而走弱，春节后市场对于经济复苏的速度进行了重新定价，两会后</w:t>
      </w:r>
      <w:r>
        <w:rPr>
          <w:rFonts w:eastAsiaTheme="minorEastAsia"/>
          <w:color w:val="000000" w:themeColor="text1"/>
          <w:szCs w:val="21"/>
        </w:rPr>
        <w:t>2023</w:t>
      </w:r>
      <w:r>
        <w:rPr>
          <w:rFonts w:eastAsiaTheme="minorEastAsia"/>
          <w:color w:val="000000" w:themeColor="text1"/>
          <w:szCs w:val="21"/>
        </w:rPr>
        <w:t>年经济增</w:t>
      </w:r>
      <w:r>
        <w:rPr>
          <w:rFonts w:eastAsiaTheme="minorEastAsia"/>
          <w:color w:val="000000" w:themeColor="text1"/>
          <w:szCs w:val="21"/>
        </w:rPr>
        <w:lastRenderedPageBreak/>
        <w:t>长目标设定谨慎，叠加略超预期降准及海外银行体系风险事件，共同推动债市走强。二季度以来，在基本面修复预期转弱、资产荒叠加降息等货币预期落地的利好下，债券市场利率重归下行，中枢从</w:t>
      </w:r>
      <w:r>
        <w:rPr>
          <w:rFonts w:eastAsiaTheme="minorEastAsia"/>
          <w:color w:val="000000" w:themeColor="text1"/>
          <w:szCs w:val="21"/>
        </w:rPr>
        <w:t>2.85%</w:t>
      </w:r>
      <w:r>
        <w:rPr>
          <w:rFonts w:eastAsiaTheme="minorEastAsia"/>
          <w:color w:val="000000" w:themeColor="text1"/>
          <w:szCs w:val="21"/>
        </w:rPr>
        <w:t>下行至</w:t>
      </w:r>
      <w:r>
        <w:rPr>
          <w:rFonts w:eastAsiaTheme="minorEastAsia"/>
          <w:color w:val="000000" w:themeColor="text1"/>
          <w:szCs w:val="21"/>
        </w:rPr>
        <w:t>2.65%</w:t>
      </w:r>
      <w:r>
        <w:rPr>
          <w:rFonts w:eastAsiaTheme="minorEastAsia"/>
          <w:color w:val="000000" w:themeColor="text1"/>
          <w:szCs w:val="21"/>
        </w:rPr>
        <w:t>附近，十年期国债收益率最低点为</w:t>
      </w:r>
      <w:r>
        <w:rPr>
          <w:rFonts w:eastAsiaTheme="minorEastAsia"/>
          <w:color w:val="000000" w:themeColor="text1"/>
          <w:szCs w:val="21"/>
        </w:rPr>
        <w:t>2.62%</w:t>
      </w:r>
      <w:r>
        <w:rPr>
          <w:rFonts w:eastAsiaTheme="minorEastAsia"/>
          <w:color w:val="000000" w:themeColor="text1"/>
          <w:szCs w:val="21"/>
        </w:rPr>
        <w:t>，最高点为</w:t>
      </w:r>
      <w:r>
        <w:rPr>
          <w:rFonts w:eastAsiaTheme="minorEastAsia"/>
          <w:color w:val="000000" w:themeColor="text1"/>
          <w:szCs w:val="21"/>
        </w:rPr>
        <w:t>2.86%</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月降息后，利率调整速度和幅度远超历史降息后表现，稳增长政策预期发酵后长债利率</w:t>
      </w:r>
      <w:r>
        <w:rPr>
          <w:rFonts w:eastAsiaTheme="minorEastAsia"/>
          <w:color w:val="000000" w:themeColor="text1"/>
          <w:szCs w:val="21"/>
        </w:rPr>
        <w:t>V</w:t>
      </w:r>
      <w:r>
        <w:rPr>
          <w:rFonts w:eastAsiaTheme="minorEastAsia"/>
          <w:color w:val="000000" w:themeColor="text1"/>
          <w:szCs w:val="21"/>
        </w:rPr>
        <w:t>型调整，当前市场对较弱基本面的定价较为充分。临近</w:t>
      </w:r>
      <w:r>
        <w:rPr>
          <w:rFonts w:eastAsiaTheme="minorEastAsia"/>
          <w:color w:val="000000" w:themeColor="text1"/>
          <w:szCs w:val="21"/>
        </w:rPr>
        <w:t>7</w:t>
      </w:r>
      <w:r>
        <w:rPr>
          <w:rFonts w:eastAsiaTheme="minorEastAsia"/>
          <w:color w:val="000000" w:themeColor="text1"/>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szCs w:val="21"/>
        </w:rPr>
        <w:t>1.86%</w:t>
      </w:r>
      <w:r>
        <w:rPr>
          <w:rFonts w:eastAsiaTheme="minorEastAsia"/>
          <w:color w:val="000000" w:themeColor="text1"/>
          <w:szCs w:val="21"/>
        </w:rPr>
        <w:t>，中债信用债总财富指数上涨</w:t>
      </w:r>
      <w:r>
        <w:rPr>
          <w:rFonts w:eastAsiaTheme="minorEastAsia"/>
          <w:color w:val="000000" w:themeColor="text1"/>
          <w:szCs w:val="21"/>
        </w:rPr>
        <w:t>1.24%</w:t>
      </w:r>
      <w:r>
        <w:rPr>
          <w:rFonts w:eastAsiaTheme="minorEastAsia"/>
          <w:color w:val="000000" w:themeColor="text1"/>
          <w:szCs w:val="21"/>
        </w:rPr>
        <w:t>。</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年上半年，本基金提前进行了跨月和跨季安排，尽量降低资金成本。</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本报告期摩根瑞盛</w:t>
      </w:r>
      <w:r w:rsidRPr="005B5C10">
        <w:rPr>
          <w:rFonts w:eastAsiaTheme="minorEastAsia"/>
          <w:color w:val="000000" w:themeColor="text1"/>
          <w:szCs w:val="21"/>
        </w:rPr>
        <w:t>87</w:t>
      </w:r>
      <w:r w:rsidRPr="005B5C10">
        <w:rPr>
          <w:rFonts w:eastAsiaTheme="minorEastAsia"/>
          <w:color w:val="000000" w:themeColor="text1"/>
          <w:szCs w:val="21"/>
        </w:rPr>
        <w:t>个月份额净值增长率为</w:t>
      </w:r>
      <w:r w:rsidRPr="005B5C10">
        <w:rPr>
          <w:rFonts w:eastAsiaTheme="minorEastAsia"/>
          <w:color w:val="000000" w:themeColor="text1"/>
          <w:szCs w:val="21"/>
        </w:rPr>
        <w:t>:1.97%</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:2.01%</w:t>
      </w:r>
      <w:r w:rsidRPr="005B5C10">
        <w:rPr>
          <w:rFonts w:eastAsiaTheme="minorEastAsia"/>
          <w:color w:val="000000" w:themeColor="text1"/>
          <w:szCs w:val="21"/>
        </w:rPr>
        <w:t>。</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0" w:name="_Toc225498259"/>
      <w:bookmarkStart w:id="41" w:name="_Toc390421242"/>
      <w:bookmarkStart w:id="42" w:name="_Toc144286600"/>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40"/>
      <w:bookmarkEnd w:id="41"/>
      <w:bookmarkEnd w:id="4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展望下半年，市场对出台托底政策的预期正在变强，但高质量发展的定力仍在，短期政策的出台可能对收益率造成扰动，但在资金保持宽松的预期下，预计收益率上行空间较为有限。</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3" w:name="_Toc390421243"/>
      <w:bookmarkStart w:id="44" w:name="_Toc247959457"/>
      <w:bookmarkStart w:id="45" w:name="_Toc225570083"/>
      <w:bookmarkStart w:id="46" w:name="_Toc144286601"/>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3"/>
      <w:bookmarkEnd w:id="44"/>
      <w:bookmarkEnd w:id="45"/>
      <w:bookmarkEnd w:id="4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7" w:name="_Toc390421244"/>
      <w:bookmarkStart w:id="48" w:name="_Toc247959458"/>
      <w:bookmarkStart w:id="49" w:name="_Toc225570084"/>
      <w:bookmarkStart w:id="50" w:name="_Toc144286602"/>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7"/>
      <w:bookmarkEnd w:id="48"/>
      <w:bookmarkEnd w:id="49"/>
      <w:bookmarkEnd w:id="50"/>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1" w:name="_Toc144286603"/>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1"/>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2" w:name="_Toc225498263"/>
      <w:bookmarkStart w:id="53" w:name="_Toc144286604"/>
      <w:r w:rsidRPr="005B5C10">
        <w:rPr>
          <w:rFonts w:eastAsiaTheme="minorEastAsia"/>
          <w:b/>
          <w:bCs/>
          <w:color w:val="000000" w:themeColor="text1"/>
          <w:sz w:val="21"/>
          <w:szCs w:val="21"/>
          <w:lang w:val="en-US"/>
        </w:rPr>
        <w:lastRenderedPageBreak/>
        <w:t xml:space="preserve">5  </w:t>
      </w:r>
      <w:r w:rsidRPr="005B5C10">
        <w:rPr>
          <w:rFonts w:eastAsiaTheme="minorEastAsia"/>
          <w:b/>
          <w:bCs/>
          <w:color w:val="000000" w:themeColor="text1"/>
          <w:sz w:val="21"/>
          <w:szCs w:val="21"/>
          <w:lang w:val="en-US"/>
        </w:rPr>
        <w:t>托管人报告</w:t>
      </w:r>
      <w:bookmarkEnd w:id="52"/>
      <w:bookmarkEnd w:id="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4" w:name="_Toc390421246"/>
      <w:bookmarkStart w:id="55" w:name="_Toc225498264"/>
      <w:bookmarkStart w:id="56" w:name="_Toc144286605"/>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4"/>
      <w:bookmarkEnd w:id="55"/>
      <w:bookmarkEnd w:id="5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7" w:name="_Toc225498265"/>
      <w:bookmarkStart w:id="58" w:name="_Toc390421247"/>
      <w:bookmarkStart w:id="59" w:name="_Toc144286606"/>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7"/>
      <w:r w:rsidRPr="005B5C10">
        <w:rPr>
          <w:rFonts w:ascii="Times New Roman" w:eastAsiaTheme="minorEastAsia" w:hAnsi="Times New Roman"/>
          <w:color w:val="000000" w:themeColor="text1"/>
          <w:kern w:val="0"/>
          <w:sz w:val="21"/>
          <w:szCs w:val="21"/>
        </w:rPr>
        <w:t>说明</w:t>
      </w:r>
      <w:bookmarkEnd w:id="58"/>
      <w:bookmarkEnd w:id="59"/>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报告期内，本基金未实施利润分配。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60" w:name="_Toc390421248"/>
      <w:bookmarkStart w:id="61" w:name="_Toc225498266"/>
      <w:bookmarkStart w:id="62" w:name="_Toc144286607"/>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60"/>
      <w:bookmarkEnd w:id="61"/>
      <w:bookmarkEnd w:id="62"/>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本托管人认真复核了本中期报告中的财务指标、净值表现、收益分配情况、财务会计报告、投资组合报告等内容，认为其真实、准确和完整，不存在虚假记载、误导性陈述或者重大遗漏。</w:t>
      </w:r>
    </w:p>
    <w:p w:rsidR="00567F47" w:rsidRPr="005B5C10" w:rsidRDefault="00567F47" w:rsidP="00567F47">
      <w:pPr>
        <w:widowControl/>
        <w:jc w:val="left"/>
        <w:rPr>
          <w:rFonts w:eastAsiaTheme="minorEastAsia"/>
          <w:b/>
          <w:bCs/>
          <w:color w:val="000000" w:themeColor="text1"/>
          <w:kern w:val="0"/>
          <w:szCs w:val="21"/>
        </w:rPr>
      </w:pPr>
    </w:p>
    <w:p w:rsidR="006B65E1" w:rsidRPr="005B5C10" w:rsidRDefault="0005594A"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144286608"/>
      <w:r w:rsidRPr="005B5C10">
        <w:rPr>
          <w:rFonts w:eastAsiaTheme="minorEastAsia" w:hint="eastAsia"/>
          <w:b/>
          <w:bCs/>
          <w:color w:val="000000" w:themeColor="text1"/>
          <w:sz w:val="21"/>
          <w:szCs w:val="21"/>
          <w:lang w:val="en-US"/>
        </w:rPr>
        <w:t>6</w:t>
      </w:r>
      <w:r w:rsidR="00945F2E" w:rsidRPr="005B5C10">
        <w:rPr>
          <w:rFonts w:eastAsiaTheme="minorEastAsia" w:hint="eastAsia"/>
          <w:b/>
          <w:bCs/>
          <w:color w:val="000000" w:themeColor="text1"/>
          <w:sz w:val="21"/>
          <w:szCs w:val="21"/>
          <w:lang w:val="en-US"/>
        </w:rPr>
        <w:t xml:space="preserve">  </w:t>
      </w:r>
      <w:r w:rsidR="00C13DED" w:rsidRPr="005B5C10">
        <w:rPr>
          <w:rFonts w:eastAsiaTheme="minorEastAsia" w:hint="eastAsia"/>
          <w:b/>
          <w:bCs/>
          <w:color w:val="000000" w:themeColor="text1"/>
          <w:sz w:val="21"/>
          <w:szCs w:val="21"/>
          <w:lang w:val="en-US"/>
        </w:rPr>
        <w:t>半年度</w:t>
      </w:r>
      <w:r w:rsidR="00945F2E" w:rsidRPr="005B5C10">
        <w:rPr>
          <w:rFonts w:eastAsiaTheme="minorEastAsia"/>
          <w:b/>
          <w:bCs/>
          <w:color w:val="000000" w:themeColor="text1"/>
          <w:sz w:val="21"/>
          <w:szCs w:val="21"/>
          <w:lang w:val="en-US"/>
        </w:rPr>
        <w:t>财务会计报告（未经审计）</w:t>
      </w:r>
      <w:bookmarkEnd w:id="63"/>
    </w:p>
    <w:p w:rsidR="006B65E1" w:rsidRPr="005B5C10" w:rsidRDefault="0005594A">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90421250"/>
      <w:bookmarkStart w:id="66" w:name="_Toc144286609"/>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.1 </w:t>
      </w:r>
      <w:r w:rsidR="00945F2E" w:rsidRPr="005B5C10">
        <w:rPr>
          <w:rFonts w:ascii="Times New Roman" w:eastAsiaTheme="minorEastAsia" w:hAnsi="Times New Roman"/>
          <w:color w:val="000000" w:themeColor="text1"/>
          <w:kern w:val="0"/>
          <w:sz w:val="21"/>
          <w:szCs w:val="21"/>
        </w:rPr>
        <w:t>资产负债表</w:t>
      </w:r>
      <w:bookmarkEnd w:id="64"/>
      <w:bookmarkEnd w:id="65"/>
      <w:bookmarkEnd w:id="66"/>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会计主体：摩根瑞盛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报告截止日：</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B5C10" w:rsidRPr="005B5C10">
        <w:tc>
          <w:tcPr>
            <w:tcW w:w="28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资</w:t>
            </w:r>
            <w:r w:rsidRPr="005B5C10">
              <w:rPr>
                <w:rFonts w:eastAsiaTheme="minorEastAsia"/>
                <w:b/>
                <w:color w:val="000000" w:themeColor="text1"/>
                <w:szCs w:val="21"/>
              </w:rPr>
              <w:t xml:space="preserve"> </w:t>
            </w:r>
            <w:r w:rsidRPr="005B5C10">
              <w:rPr>
                <w:rFonts w:eastAsiaTheme="minorEastAsia"/>
                <w:b/>
                <w:color w:val="000000" w:themeColor="text1"/>
                <w:szCs w:val="21"/>
              </w:rPr>
              <w:t>产：</w:t>
            </w:r>
          </w:p>
        </w:tc>
        <w:tc>
          <w:tcPr>
            <w:tcW w:w="1080" w:type="dxa"/>
            <w:vAlign w:val="center"/>
          </w:tcPr>
          <w:p w:rsidR="006B65E1" w:rsidRPr="005B5C10" w:rsidRDefault="006B65E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银行存款</w:t>
            </w:r>
          </w:p>
        </w:tc>
        <w:tc>
          <w:tcPr>
            <w:tcW w:w="1080" w:type="dxa"/>
            <w:vAlign w:val="center"/>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6.4.7.1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1,594,837.81</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2,039,773.81</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244,611,608.70</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187,106,775.81</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存出保证金</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6.4.7.2</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pStyle w:val="afb"/>
              <w:ind w:firstLineChars="300" w:firstLine="630"/>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基金投资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lastRenderedPageBreak/>
              <w:t>资产支持证券投资</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22E51">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w:t>
            </w:r>
          </w:p>
        </w:tc>
        <w:tc>
          <w:tcPr>
            <w:tcW w:w="1080" w:type="dxa"/>
            <w:vAlign w:val="center"/>
          </w:tcPr>
          <w:p w:rsidR="00C10F9F" w:rsidRPr="005B5C10" w:rsidRDefault="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买入返售金融资产</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6.4.7.4</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hint="eastAsia"/>
                <w:color w:val="000000" w:themeColor="text1"/>
              </w:rPr>
              <w:t>债权投资</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6.4.7.5</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13,741,175,112.72</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13,665,952,934.81</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hint="eastAsia"/>
                <w:color w:val="000000" w:themeColor="text1"/>
              </w:rPr>
              <w:t>其中：债券投资</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13,741,175,112.72</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13,665,952,934.81</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应收清算款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201,005,207.57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202,563.44</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应收股利</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应收申购款</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其他资产</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6.4.7.6</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b/>
                <w:color w:val="000000" w:themeColor="text1"/>
                <w:szCs w:val="21"/>
              </w:rPr>
              <w:t>资产总计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14,188,386,766.80</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13,855,302,047.87</w:t>
            </w:r>
          </w:p>
        </w:tc>
      </w:tr>
      <w:tr w:rsidR="005B5C10" w:rsidRPr="005B5C10">
        <w:tc>
          <w:tcPr>
            <w:tcW w:w="2880" w:type="dxa"/>
            <w:vAlign w:val="center"/>
          </w:tcPr>
          <w:p w:rsidR="006B65E1" w:rsidRPr="005B5C10" w:rsidRDefault="006425A4">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hint="eastAsia"/>
                <w:b/>
                <w:color w:val="000000" w:themeColor="text1"/>
                <w:sz w:val="21"/>
                <w:szCs w:val="21"/>
              </w:rPr>
              <w:t>负债和净资产</w:t>
            </w:r>
          </w:p>
        </w:tc>
        <w:tc>
          <w:tcPr>
            <w:tcW w:w="108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c>
          <w:tcPr>
            <w:tcW w:w="252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上年度末</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12</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31</w:t>
            </w:r>
            <w:r w:rsidRPr="005B5C10">
              <w:rPr>
                <w:rFonts w:ascii="Times New Roman" w:eastAsiaTheme="minorEastAsia" w:hAnsi="Times New Roman"/>
                <w:b/>
                <w:color w:val="000000" w:themeColor="text1"/>
                <w:sz w:val="21"/>
                <w:szCs w:val="21"/>
              </w:rPr>
              <w:t>日</w:t>
            </w:r>
          </w:p>
        </w:tc>
      </w:tr>
      <w:tr w:rsidR="005B5C10" w:rsidRPr="005B5C10">
        <w:tc>
          <w:tcPr>
            <w:tcW w:w="288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负</w:t>
            </w:r>
            <w:r w:rsidRPr="005B5C10">
              <w:rPr>
                <w:rFonts w:eastAsiaTheme="minorEastAsia"/>
                <w:b/>
                <w:color w:val="000000" w:themeColor="text1"/>
                <w:szCs w:val="21"/>
              </w:rPr>
              <w:t xml:space="preserve"> </w:t>
            </w:r>
            <w:r w:rsidRPr="005B5C10">
              <w:rPr>
                <w:rFonts w:eastAsiaTheme="minorEastAsia"/>
                <w:b/>
                <w:color w:val="000000" w:themeColor="text1"/>
                <w:szCs w:val="21"/>
              </w:rPr>
              <w:t>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6B65E1" w:rsidRPr="005B5C10" w:rsidRDefault="00945F2E">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短期借款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交易性金融负债</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衍生金融负债</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6.4.7.3</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卖出回购金融资产款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5,742,149,384.45</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5,571,925,298.99</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应付清算款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应付赎回款</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应付管理人报酬</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1,039,344.45</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1,058,241.93</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应付托管费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346,448.16</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352,747.29</w:t>
            </w:r>
          </w:p>
        </w:tc>
      </w:tr>
      <w:tr w:rsidR="005B5C10" w:rsidRPr="005B5C10">
        <w:tc>
          <w:tcPr>
            <w:tcW w:w="288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应付销售服务费</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9C507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hint="eastAsia"/>
                <w:color w:val="000000" w:themeColor="text1"/>
                <w:szCs w:val="21"/>
              </w:rPr>
              <w:t>应付投资顾问费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center"/>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应交税费</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应付利润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递延所得税负债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其他负债</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500,696.03</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370,971.99</w:t>
            </w:r>
          </w:p>
        </w:tc>
      </w:tr>
      <w:tr w:rsidR="005B5C10" w:rsidRPr="005B5C10">
        <w:tc>
          <w:tcPr>
            <w:tcW w:w="2880" w:type="dxa"/>
            <w:vAlign w:val="center"/>
          </w:tcPr>
          <w:p w:rsidR="00C10F9F" w:rsidRPr="005B5C10" w:rsidRDefault="00C10F9F" w:rsidP="00C10F9F">
            <w:pPr>
              <w:pStyle w:val="afb"/>
              <w:jc w:val="both"/>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负债合计</w:t>
            </w:r>
          </w:p>
        </w:tc>
        <w:tc>
          <w:tcPr>
            <w:tcW w:w="1080" w:type="dxa"/>
            <w:vAlign w:val="center"/>
          </w:tcPr>
          <w:p w:rsidR="00C10F9F" w:rsidRPr="005B5C10" w:rsidRDefault="00C10F9F" w:rsidP="00C10F9F">
            <w:pPr>
              <w:pStyle w:val="afb"/>
              <w:jc w:val="center"/>
              <w:rPr>
                <w:rFonts w:ascii="Times New Roman" w:eastAsiaTheme="minorEastAsia" w:hAnsi="Times New Roman"/>
                <w:b/>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5,744,035,873.09</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5,573,707,260.20</w:t>
            </w:r>
          </w:p>
        </w:tc>
      </w:tr>
      <w:tr w:rsidR="005B5C10" w:rsidRPr="005B5C10">
        <w:tc>
          <w:tcPr>
            <w:tcW w:w="2880" w:type="dxa"/>
            <w:vAlign w:val="center"/>
          </w:tcPr>
          <w:p w:rsidR="00C10F9F" w:rsidRPr="005B5C10" w:rsidRDefault="00C10F9F" w:rsidP="00C10F9F">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c>
          <w:tcPr>
            <w:tcW w:w="2520" w:type="dxa"/>
            <w:vAlign w:val="bottom"/>
          </w:tcPr>
          <w:p w:rsidR="00C10F9F" w:rsidRPr="005B5C10" w:rsidRDefault="00C10F9F" w:rsidP="00C10F9F">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实收基金</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6.4.7.8</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7,990,077,699.94</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7,990,077,699.94</w:t>
            </w:r>
          </w:p>
        </w:tc>
      </w:tr>
      <w:tr w:rsidR="005B5C10" w:rsidRPr="005B5C10">
        <w:tc>
          <w:tcPr>
            <w:tcW w:w="2880" w:type="dxa"/>
            <w:vAlign w:val="center"/>
          </w:tcPr>
          <w:p w:rsidR="00C10F9F" w:rsidRPr="005B5C10" w:rsidRDefault="00C10F9F" w:rsidP="00C10F9F">
            <w:pPr>
              <w:rPr>
                <w:rFonts w:eastAsiaTheme="minorEastAsia"/>
                <w:color w:val="000000" w:themeColor="text1"/>
                <w:szCs w:val="21"/>
              </w:rPr>
            </w:pPr>
            <w:r w:rsidRPr="005B5C10">
              <w:rPr>
                <w:rFonts w:eastAsiaTheme="minorEastAsia"/>
                <w:color w:val="000000" w:themeColor="text1"/>
                <w:szCs w:val="21"/>
              </w:rPr>
              <w:t>未分配利润</w:t>
            </w:r>
          </w:p>
        </w:tc>
        <w:tc>
          <w:tcPr>
            <w:tcW w:w="1080" w:type="dxa"/>
            <w:vAlign w:val="center"/>
          </w:tcPr>
          <w:p w:rsidR="00C10F9F" w:rsidRPr="005B5C10" w:rsidRDefault="00C10F9F" w:rsidP="00C10F9F">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6.4.7.9</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454,273,193.77</w:t>
            </w:r>
          </w:p>
        </w:tc>
        <w:tc>
          <w:tcPr>
            <w:tcW w:w="2520" w:type="dxa"/>
            <w:vAlign w:val="bottom"/>
          </w:tcPr>
          <w:p w:rsidR="00C10F9F" w:rsidRPr="005B5C10" w:rsidRDefault="00C10F9F" w:rsidP="00C10F9F">
            <w:pPr>
              <w:jc w:val="right"/>
              <w:rPr>
                <w:rFonts w:eastAsiaTheme="minorEastAsia"/>
                <w:color w:val="000000" w:themeColor="text1"/>
                <w:szCs w:val="21"/>
              </w:rPr>
            </w:pPr>
            <w:r w:rsidRPr="005B5C10">
              <w:rPr>
                <w:rFonts w:eastAsiaTheme="minorEastAsia"/>
                <w:color w:val="000000" w:themeColor="text1"/>
                <w:szCs w:val="21"/>
              </w:rPr>
              <w:t>291,517,087.73</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净资产</w:t>
            </w:r>
            <w:r w:rsidRPr="005B5C10">
              <w:rPr>
                <w:rFonts w:eastAsiaTheme="minorEastAsia"/>
                <w:b/>
                <w:color w:val="000000" w:themeColor="text1"/>
                <w:szCs w:val="21"/>
              </w:rPr>
              <w:t>合计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8,444,350,893.71</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8,281,594,787.67</w:t>
            </w:r>
          </w:p>
        </w:tc>
      </w:tr>
      <w:tr w:rsidR="005B5C10" w:rsidRPr="005B5C10" w:rsidTr="009C5070">
        <w:tc>
          <w:tcPr>
            <w:tcW w:w="2880" w:type="dxa"/>
            <w:vAlign w:val="center"/>
          </w:tcPr>
          <w:p w:rsidR="00C75153" w:rsidRPr="005B5C10" w:rsidRDefault="00C75153" w:rsidP="00C75153">
            <w:pPr>
              <w:rPr>
                <w:rFonts w:eastAsiaTheme="minorEastAsia"/>
                <w:b/>
                <w:color w:val="000000" w:themeColor="text1"/>
                <w:szCs w:val="21"/>
              </w:rPr>
            </w:pPr>
            <w:r w:rsidRPr="005B5C10">
              <w:rPr>
                <w:rFonts w:eastAsiaTheme="minorEastAsia" w:hint="eastAsia"/>
                <w:b/>
                <w:color w:val="000000" w:themeColor="text1"/>
                <w:szCs w:val="21"/>
              </w:rPr>
              <w:t>负债和净资产总计</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14,188,386,766.80</w:t>
            </w:r>
          </w:p>
        </w:tc>
        <w:tc>
          <w:tcPr>
            <w:tcW w:w="252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13,855,302,047.87</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注：报告截止日</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基金份额净值</w:t>
      </w:r>
      <w:r w:rsidRPr="005B5C10">
        <w:rPr>
          <w:rFonts w:eastAsiaTheme="minorEastAsia"/>
          <w:color w:val="000000" w:themeColor="text1"/>
          <w:kern w:val="0"/>
          <w:szCs w:val="21"/>
        </w:rPr>
        <w:t>:1.0569</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基金份额总额</w:t>
      </w:r>
      <w:r w:rsidRPr="005B5C10">
        <w:rPr>
          <w:rFonts w:eastAsiaTheme="minorEastAsia"/>
          <w:color w:val="000000" w:themeColor="text1"/>
          <w:kern w:val="0"/>
          <w:szCs w:val="21"/>
        </w:rPr>
        <w:t>:7,990,077,699.94</w:t>
      </w:r>
      <w:r w:rsidRPr="005B5C10">
        <w:rPr>
          <w:rFonts w:eastAsiaTheme="minorEastAsia"/>
          <w:color w:val="000000" w:themeColor="text1"/>
          <w:kern w:val="0"/>
          <w:szCs w:val="21"/>
        </w:rPr>
        <w:t>份。</w:t>
      </w:r>
    </w:p>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67" w:name="_Toc390421251"/>
      <w:bookmarkStart w:id="68" w:name="_Toc225498269"/>
      <w:bookmarkStart w:id="69" w:name="_Toc144286610"/>
      <w:r w:rsidRPr="005B5C10">
        <w:rPr>
          <w:rFonts w:ascii="Times New Roman" w:eastAsiaTheme="minorEastAsia" w:hAnsi="Times New Roman" w:hint="eastAsia"/>
          <w:color w:val="000000" w:themeColor="text1"/>
          <w:kern w:val="0"/>
          <w:sz w:val="21"/>
          <w:szCs w:val="21"/>
        </w:rPr>
        <w:t>6</w:t>
      </w:r>
      <w:r w:rsidR="00945F2E" w:rsidRPr="005B5C10">
        <w:rPr>
          <w:rFonts w:ascii="Times New Roman" w:eastAsiaTheme="minorEastAsia" w:hAnsi="Times New Roman"/>
          <w:color w:val="000000" w:themeColor="text1"/>
          <w:kern w:val="0"/>
          <w:sz w:val="21"/>
          <w:szCs w:val="21"/>
        </w:rPr>
        <w:t xml:space="preserve">.2 </w:t>
      </w:r>
      <w:r w:rsidR="00945F2E" w:rsidRPr="005B5C10">
        <w:rPr>
          <w:rFonts w:ascii="Times New Roman" w:eastAsiaTheme="minorEastAsia" w:hAnsi="Times New Roman"/>
          <w:color w:val="000000" w:themeColor="text1"/>
          <w:kern w:val="0"/>
          <w:sz w:val="21"/>
          <w:szCs w:val="21"/>
        </w:rPr>
        <w:t>利润表</w:t>
      </w:r>
      <w:bookmarkEnd w:id="67"/>
      <w:bookmarkEnd w:id="68"/>
      <w:bookmarkEnd w:id="69"/>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摩根瑞盛</w:t>
      </w:r>
      <w:r w:rsidRPr="005B5C10">
        <w:rPr>
          <w:rFonts w:eastAsiaTheme="minorEastAsia"/>
          <w:color w:val="000000" w:themeColor="text1"/>
          <w:kern w:val="0"/>
          <w:szCs w:val="21"/>
        </w:rPr>
        <w:t>87</w:t>
      </w:r>
      <w:r w:rsidRPr="005B5C10">
        <w:rPr>
          <w:rFonts w:eastAsiaTheme="minorEastAsia"/>
          <w:color w:val="000000" w:themeColor="text1"/>
          <w:kern w:val="0"/>
          <w:szCs w:val="21"/>
        </w:rPr>
        <w:t>个月定期开放债券型证券投资基金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B5C10" w:rsidRPr="005B5C10">
        <w:tc>
          <w:tcPr>
            <w:tcW w:w="3420" w:type="dxa"/>
            <w:vAlign w:val="center"/>
          </w:tcPr>
          <w:p w:rsidR="006B65E1" w:rsidRPr="005B5C10" w:rsidRDefault="00945F2E">
            <w:pPr>
              <w:pStyle w:val="afb"/>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项目</w:t>
            </w:r>
          </w:p>
        </w:tc>
        <w:tc>
          <w:tcPr>
            <w:tcW w:w="108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附注号</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本期</w:t>
            </w:r>
          </w:p>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2023</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c>
          <w:tcPr>
            <w:tcW w:w="2250" w:type="dxa"/>
            <w:vAlign w:val="center"/>
          </w:tcPr>
          <w:p w:rsidR="006B65E1" w:rsidRPr="005B5C10" w:rsidRDefault="00945F2E">
            <w:pPr>
              <w:pStyle w:val="afb"/>
              <w:spacing w:before="0" w:beforeAutospacing="0" w:after="0" w:afterAutospacing="0"/>
              <w:jc w:val="center"/>
              <w:rPr>
                <w:rFonts w:ascii="Times New Roman" w:eastAsiaTheme="minorEastAsia" w:hAnsi="Times New Roman"/>
                <w:b/>
                <w:color w:val="000000" w:themeColor="text1"/>
                <w:sz w:val="21"/>
                <w:szCs w:val="21"/>
              </w:rPr>
            </w:pPr>
            <w:r w:rsidRPr="005B5C10">
              <w:rPr>
                <w:rFonts w:ascii="Times New Roman" w:eastAsiaTheme="minorEastAsia" w:hAnsi="Times New Roman"/>
                <w:b/>
                <w:color w:val="000000" w:themeColor="text1"/>
                <w:sz w:val="21"/>
                <w:szCs w:val="21"/>
              </w:rPr>
              <w:t>上年度可比期间</w:t>
            </w:r>
          </w:p>
          <w:p w:rsidR="006B65E1" w:rsidRPr="005B5C10" w:rsidRDefault="00945F2E">
            <w:pPr>
              <w:pStyle w:val="afb"/>
              <w:spacing w:before="0" w:beforeAutospacing="0" w:after="0" w:afterAutospacing="0"/>
              <w:jc w:val="center"/>
              <w:rPr>
                <w:rFonts w:ascii="Times New Roman" w:eastAsiaTheme="minorEastAsia" w:hAnsi="Times New Roman"/>
                <w:color w:val="000000" w:themeColor="text1"/>
                <w:sz w:val="21"/>
                <w:szCs w:val="21"/>
              </w:rPr>
            </w:pP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1</w:t>
            </w:r>
            <w:r w:rsidRPr="005B5C10">
              <w:rPr>
                <w:rFonts w:ascii="Times New Roman" w:eastAsiaTheme="minorEastAsia" w:hAnsi="Times New Roman"/>
                <w:b/>
                <w:color w:val="000000" w:themeColor="text1"/>
                <w:sz w:val="21"/>
                <w:szCs w:val="21"/>
              </w:rPr>
              <w:t>日至</w:t>
            </w:r>
            <w:r w:rsidRPr="005B5C10">
              <w:rPr>
                <w:rFonts w:ascii="Times New Roman" w:eastAsiaTheme="minorEastAsia" w:hAnsi="Times New Roman"/>
                <w:b/>
                <w:color w:val="000000" w:themeColor="text1"/>
                <w:sz w:val="21"/>
                <w:szCs w:val="21"/>
              </w:rPr>
              <w:t>2022</w:t>
            </w:r>
            <w:r w:rsidRPr="005B5C10">
              <w:rPr>
                <w:rFonts w:ascii="Times New Roman" w:eastAsiaTheme="minorEastAsia" w:hAnsi="Times New Roman"/>
                <w:b/>
                <w:color w:val="000000" w:themeColor="text1"/>
                <w:sz w:val="21"/>
                <w:szCs w:val="21"/>
              </w:rPr>
              <w:t>年</w:t>
            </w:r>
            <w:r w:rsidRPr="005B5C10">
              <w:rPr>
                <w:rFonts w:ascii="Times New Roman" w:eastAsiaTheme="minorEastAsia" w:hAnsi="Times New Roman"/>
                <w:b/>
                <w:color w:val="000000" w:themeColor="text1"/>
                <w:sz w:val="21"/>
                <w:szCs w:val="21"/>
              </w:rPr>
              <w:t>6</w:t>
            </w:r>
            <w:r w:rsidRPr="005B5C10">
              <w:rPr>
                <w:rFonts w:ascii="Times New Roman" w:eastAsiaTheme="minorEastAsia" w:hAnsi="Times New Roman"/>
                <w:b/>
                <w:color w:val="000000" w:themeColor="text1"/>
                <w:sz w:val="21"/>
                <w:szCs w:val="21"/>
              </w:rPr>
              <w:t>月</w:t>
            </w:r>
            <w:r w:rsidRPr="005B5C10">
              <w:rPr>
                <w:rFonts w:ascii="Times New Roman" w:eastAsiaTheme="minorEastAsia" w:hAnsi="Times New Roman"/>
                <w:b/>
                <w:color w:val="000000" w:themeColor="text1"/>
                <w:sz w:val="21"/>
                <w:szCs w:val="21"/>
              </w:rPr>
              <w:t>30</w:t>
            </w:r>
            <w:r w:rsidRPr="005B5C10">
              <w:rPr>
                <w:rFonts w:ascii="Times New Roman" w:eastAsiaTheme="minorEastAsia" w:hAnsi="Times New Roman"/>
                <w:b/>
                <w:color w:val="000000" w:themeColor="text1"/>
                <w:sz w:val="21"/>
                <w:szCs w:val="21"/>
              </w:rPr>
              <w:t>日</w:t>
            </w:r>
          </w:p>
        </w:tc>
      </w:tr>
      <w:tr w:rsidR="005B5C10" w:rsidRPr="005B5C10">
        <w:tc>
          <w:tcPr>
            <w:tcW w:w="3420" w:type="dxa"/>
            <w:vAlign w:val="center"/>
          </w:tcPr>
          <w:p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一、</w:t>
            </w:r>
            <w:r w:rsidR="005739A6" w:rsidRPr="005B5C10">
              <w:rPr>
                <w:rFonts w:eastAsiaTheme="minorEastAsia" w:hint="eastAsia"/>
                <w:b/>
                <w:color w:val="000000" w:themeColor="text1"/>
                <w:szCs w:val="21"/>
              </w:rPr>
              <w:t>营业总收入</w:t>
            </w:r>
          </w:p>
        </w:tc>
        <w:tc>
          <w:tcPr>
            <w:tcW w:w="1080" w:type="dxa"/>
            <w:vAlign w:val="center"/>
          </w:tcPr>
          <w:p w:rsidR="006B65E1" w:rsidRPr="005B5C10" w:rsidRDefault="006B65E1">
            <w:pPr>
              <w:pStyle w:val="afb"/>
              <w:jc w:val="center"/>
              <w:rPr>
                <w:rFonts w:ascii="Times New Roman" w:eastAsiaTheme="minorEastAsia" w:hAnsi="Times New Roman"/>
                <w:b/>
                <w:color w:val="000000" w:themeColor="text1"/>
                <w:sz w:val="21"/>
                <w:szCs w:val="21"/>
              </w:rPr>
            </w:pP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232,724,071.12</w:t>
            </w:r>
          </w:p>
        </w:tc>
        <w:tc>
          <w:tcPr>
            <w:tcW w:w="2250" w:type="dxa"/>
            <w:vAlign w:val="bottom"/>
          </w:tcPr>
          <w:p w:rsidR="006B65E1" w:rsidRPr="005B5C10" w:rsidRDefault="00A238F4">
            <w:pPr>
              <w:jc w:val="right"/>
              <w:rPr>
                <w:rFonts w:eastAsiaTheme="minorEastAsia"/>
                <w:b/>
                <w:color w:val="000000" w:themeColor="text1"/>
                <w:szCs w:val="21"/>
              </w:rPr>
            </w:pPr>
            <w:r w:rsidRPr="005B5C10">
              <w:rPr>
                <w:rFonts w:eastAsiaTheme="minorEastAsia"/>
                <w:b/>
                <w:color w:val="000000" w:themeColor="text1"/>
                <w:szCs w:val="21"/>
              </w:rPr>
              <w:t>233,139,810.81</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232,724,071.12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233,139,810.81</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其中：存款利息收入</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6.4.7.10</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1,606,588.29</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1,833,484.28</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231,117,482.83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231,306,326.53</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买入返售金融资产收入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c>
          <w:tcPr>
            <w:tcW w:w="3420" w:type="dxa"/>
            <w:vAlign w:val="center"/>
          </w:tcPr>
          <w:p w:rsidR="006F1745" w:rsidRPr="005B5C10" w:rsidRDefault="006F1745" w:rsidP="006F1745">
            <w:pPr>
              <w:ind w:firstLineChars="300" w:firstLine="630"/>
              <w:rPr>
                <w:rFonts w:eastAsiaTheme="minorEastAsia"/>
                <w:color w:val="000000" w:themeColor="text1"/>
                <w:szCs w:val="21"/>
              </w:rPr>
            </w:pPr>
            <w:r w:rsidRPr="005B5C10">
              <w:rPr>
                <w:rFonts w:eastAsiaTheme="minorEastAsia"/>
                <w:color w:val="000000" w:themeColor="text1"/>
                <w:szCs w:val="21"/>
              </w:rPr>
              <w:t>证券出借利息收入</w:t>
            </w:r>
          </w:p>
        </w:tc>
        <w:tc>
          <w:tcPr>
            <w:tcW w:w="1080" w:type="dxa"/>
            <w:vAlign w:val="center"/>
          </w:tcPr>
          <w:p w:rsidR="006F1745" w:rsidRPr="005B5C10" w:rsidRDefault="006F1745" w:rsidP="006F1745">
            <w:pPr>
              <w:pStyle w:val="afb"/>
              <w:jc w:val="center"/>
              <w:rPr>
                <w:rFonts w:ascii="Times New Roman" w:eastAsiaTheme="minorEastAsia" w:hAnsi="Times New Roman"/>
                <w:color w:val="000000" w:themeColor="text1"/>
                <w:kern w:val="2"/>
                <w:sz w:val="21"/>
                <w:szCs w:val="21"/>
              </w:rPr>
            </w:pP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其他利息收入</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投资收益（损失以</w:t>
            </w:r>
            <w:r w:rsidRPr="005B5C10">
              <w:rPr>
                <w:rFonts w:eastAsiaTheme="minorEastAsia"/>
                <w:color w:val="000000" w:themeColor="text1"/>
                <w:szCs w:val="21"/>
              </w:rPr>
              <w:t>“-”</w:t>
            </w:r>
            <w:r w:rsidRPr="005B5C10">
              <w:rPr>
                <w:rFonts w:eastAsiaTheme="minorEastAsia"/>
                <w:color w:val="000000" w:themeColor="text1"/>
                <w:szCs w:val="21"/>
              </w:rPr>
              <w:t>填列）</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其中：股票投资收益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6.4.7.11</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基金投资收益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债券投资收益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6.4.7.12</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资产支持证券投资收益</w:t>
            </w:r>
          </w:p>
        </w:tc>
        <w:tc>
          <w:tcPr>
            <w:tcW w:w="1080" w:type="dxa"/>
            <w:vAlign w:val="center"/>
          </w:tcPr>
          <w:p w:rsidR="006B65E1" w:rsidRPr="005B5C10" w:rsidRDefault="006B65E1">
            <w:pPr>
              <w:pStyle w:val="afb"/>
              <w:jc w:val="center"/>
              <w:rPr>
                <w:rFonts w:ascii="Times New Roman" w:eastAsiaTheme="minorEastAsia" w:hAnsi="Times New Roman"/>
                <w:color w:val="000000" w:themeColor="text1"/>
                <w:sz w:val="21"/>
                <w:szCs w:val="21"/>
              </w:rPr>
            </w:pP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rPr>
              <w:t>贵金属投资收益</w:t>
            </w:r>
          </w:p>
        </w:tc>
        <w:tc>
          <w:tcPr>
            <w:tcW w:w="1080" w:type="dxa"/>
            <w:vAlign w:val="center"/>
          </w:tcPr>
          <w:p w:rsidR="006B65E1" w:rsidRPr="005B5C10" w:rsidRDefault="006B65E1">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衍生工具收益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6.4.7.13</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6B65E1" w:rsidRPr="005B5C10" w:rsidRDefault="00945F2E">
            <w:pPr>
              <w:ind w:firstLineChars="300" w:firstLine="630"/>
              <w:rPr>
                <w:rFonts w:eastAsiaTheme="minorEastAsia"/>
                <w:color w:val="000000" w:themeColor="text1"/>
                <w:szCs w:val="21"/>
              </w:rPr>
            </w:pPr>
            <w:r w:rsidRPr="005B5C10">
              <w:rPr>
                <w:rFonts w:eastAsiaTheme="minorEastAsia"/>
                <w:color w:val="000000" w:themeColor="text1"/>
                <w:szCs w:val="21"/>
              </w:rPr>
              <w:t>股利收益</w:t>
            </w:r>
          </w:p>
        </w:tc>
        <w:tc>
          <w:tcPr>
            <w:tcW w:w="1080" w:type="dxa"/>
            <w:vAlign w:val="center"/>
          </w:tcPr>
          <w:p w:rsidR="006B65E1" w:rsidRPr="005B5C10" w:rsidRDefault="00945F2E">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6.4.7.14</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ind w:firstLineChars="300" w:firstLine="630"/>
              <w:rPr>
                <w:rFonts w:eastAsiaTheme="minorEastAsia"/>
                <w:color w:val="000000" w:themeColor="text1"/>
                <w:szCs w:val="21"/>
              </w:rPr>
            </w:pPr>
            <w:r w:rsidRPr="005B5C10">
              <w:rPr>
                <w:rFonts w:eastAsiaTheme="minorEastAsia" w:hint="eastAsia"/>
                <w:color w:val="000000" w:themeColor="text1"/>
                <w:szCs w:val="21"/>
              </w:rPr>
              <w:t>其他投资收益</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公允价值变动收益（损失以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6.4.7.15</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center"/>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pStyle w:val="afb"/>
              <w:jc w:val="both"/>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4.</w:t>
            </w:r>
            <w:r w:rsidRPr="005B5C10">
              <w:rPr>
                <w:rFonts w:ascii="Times New Roman" w:eastAsiaTheme="minorEastAsia" w:hAnsi="Times New Roman"/>
                <w:color w:val="000000" w:themeColor="text1"/>
                <w:sz w:val="21"/>
                <w:szCs w:val="21"/>
              </w:rPr>
              <w:t>汇兑收益（损失以</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w:t>
            </w:r>
            <w:r w:rsidRPr="005B5C10">
              <w:rPr>
                <w:rFonts w:ascii="Times New Roman" w:eastAsiaTheme="minorEastAsia" w:hAnsi="Times New Roman"/>
                <w:color w:val="000000" w:themeColor="text1"/>
                <w:sz w:val="2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其他收入（损失以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减：</w:t>
            </w:r>
            <w:r w:rsidRPr="005B5C10">
              <w:rPr>
                <w:rFonts w:eastAsiaTheme="minorEastAsia" w:hint="eastAsia"/>
                <w:b/>
                <w:color w:val="000000" w:themeColor="text1"/>
                <w:szCs w:val="21"/>
              </w:rPr>
              <w:t>二、营业总支出</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69,967,965.08</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67,075,392.17</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．管理人报酬</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6,219,294.95</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6,199,466.90</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．托管费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2,073,098.33</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2,066,489.00</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3</w:t>
            </w:r>
            <w:r w:rsidRPr="005B5C10">
              <w:rPr>
                <w:rFonts w:eastAsiaTheme="minorEastAsia"/>
                <w:color w:val="000000" w:themeColor="text1"/>
                <w:szCs w:val="21"/>
              </w:rPr>
              <w:t>．销售服务费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hint="eastAsia"/>
                <w:color w:val="000000" w:themeColor="text1"/>
                <w:szCs w:val="21"/>
              </w:rPr>
              <w:t>．投资顾问费</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5</w:t>
            </w:r>
            <w:r w:rsidR="00C75153" w:rsidRPr="005B5C10">
              <w:rPr>
                <w:rFonts w:eastAsiaTheme="minorEastAsia"/>
                <w:color w:val="000000" w:themeColor="text1"/>
                <w:szCs w:val="21"/>
              </w:rPr>
              <w:t>．利息支出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61,484,735.96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58,654,076.13</w:t>
            </w:r>
          </w:p>
        </w:tc>
      </w:tr>
      <w:tr w:rsidR="005B5C10" w:rsidRPr="005B5C10">
        <w:tc>
          <w:tcPr>
            <w:tcW w:w="3420" w:type="dxa"/>
            <w:vAlign w:val="center"/>
          </w:tcPr>
          <w:p w:rsidR="00C75153" w:rsidRPr="005B5C10" w:rsidRDefault="00C75153" w:rsidP="00C75153">
            <w:pPr>
              <w:rPr>
                <w:rFonts w:eastAsiaTheme="minorEastAsia"/>
                <w:color w:val="000000" w:themeColor="text1"/>
                <w:szCs w:val="21"/>
              </w:rPr>
            </w:pPr>
            <w:r w:rsidRPr="005B5C10">
              <w:rPr>
                <w:rFonts w:eastAsiaTheme="minorEastAsia"/>
                <w:color w:val="000000" w:themeColor="text1"/>
                <w:szCs w:val="21"/>
              </w:rPr>
              <w:t>其中：卖出回购金融资产支出</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61,484,735.96</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58,654,076.13</w:t>
            </w:r>
          </w:p>
        </w:tc>
      </w:tr>
      <w:tr w:rsidR="005B5C10" w:rsidRPr="005B5C10">
        <w:tc>
          <w:tcPr>
            <w:tcW w:w="3420" w:type="dxa"/>
            <w:vAlign w:val="center"/>
          </w:tcPr>
          <w:p w:rsidR="004A35B7" w:rsidRPr="005B5C10" w:rsidRDefault="004A35B7" w:rsidP="004A35B7">
            <w:pPr>
              <w:rPr>
                <w:rFonts w:eastAsiaTheme="minorEastAsia"/>
                <w:color w:val="000000" w:themeColor="text1"/>
                <w:szCs w:val="21"/>
              </w:rPr>
            </w:pPr>
            <w:r w:rsidRPr="005B5C10">
              <w:rPr>
                <w:rFonts w:eastAsiaTheme="minorEastAsia"/>
                <w:color w:val="000000" w:themeColor="text1"/>
                <w:szCs w:val="21"/>
              </w:rPr>
              <w:t xml:space="preserve">6. </w:t>
            </w:r>
            <w:r w:rsidRPr="005B5C10">
              <w:rPr>
                <w:rFonts w:eastAsiaTheme="minorEastAsia" w:hint="eastAsia"/>
                <w:color w:val="000000" w:themeColor="text1"/>
                <w:szCs w:val="21"/>
              </w:rPr>
              <w:t>信用减值损失</w:t>
            </w:r>
          </w:p>
        </w:tc>
        <w:tc>
          <w:tcPr>
            <w:tcW w:w="1080" w:type="dxa"/>
            <w:vAlign w:val="center"/>
          </w:tcPr>
          <w:p w:rsidR="004A35B7" w:rsidRPr="005B5C10" w:rsidRDefault="004A35B7" w:rsidP="004A35B7">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6.4.7.17</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42,304.92</w:t>
            </w:r>
          </w:p>
        </w:tc>
        <w:tc>
          <w:tcPr>
            <w:tcW w:w="2250" w:type="dxa"/>
            <w:vAlign w:val="bottom"/>
          </w:tcPr>
          <w:p w:rsidR="004A35B7" w:rsidRPr="005B5C10" w:rsidRDefault="004A35B7" w:rsidP="004A35B7">
            <w:pPr>
              <w:jc w:val="right"/>
              <w:rPr>
                <w:rFonts w:eastAsiaTheme="minorEastAsia"/>
                <w:color w:val="000000" w:themeColor="text1"/>
                <w:szCs w:val="21"/>
              </w:rPr>
            </w:pPr>
            <w:r w:rsidRPr="005B5C10">
              <w:rPr>
                <w:rFonts w:eastAsiaTheme="minorEastAsia"/>
                <w:color w:val="000000" w:themeColor="text1"/>
                <w:szCs w:val="21"/>
              </w:rPr>
              <w:t>7,733.59</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7</w:t>
            </w:r>
            <w:r w:rsidR="00C75153" w:rsidRPr="005B5C10">
              <w:rPr>
                <w:rFonts w:eastAsiaTheme="minorEastAsia" w:hint="eastAsia"/>
                <w:color w:val="000000" w:themeColor="text1"/>
                <w:szCs w:val="21"/>
              </w:rPr>
              <w:t>.</w:t>
            </w:r>
            <w:r w:rsidR="00C75153" w:rsidRPr="005B5C10">
              <w:rPr>
                <w:rFonts w:eastAsiaTheme="minorEastAsia" w:hint="eastAsia"/>
                <w:color w:val="000000" w:themeColor="text1"/>
                <w:szCs w:val="21"/>
              </w:rPr>
              <w:t>税金及附加</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052F8B">
        <w:tblPrEx>
          <w:tblLook w:val="00A0" w:firstRow="1" w:lastRow="0" w:firstColumn="1" w:lastColumn="0" w:noHBand="0" w:noVBand="0"/>
        </w:tblPrEx>
        <w:tc>
          <w:tcPr>
            <w:tcW w:w="3420" w:type="dxa"/>
            <w:vAlign w:val="center"/>
          </w:tcPr>
          <w:p w:rsidR="00C75153" w:rsidRPr="005B5C10" w:rsidRDefault="004A35B7" w:rsidP="00C75153">
            <w:pPr>
              <w:rPr>
                <w:rFonts w:eastAsiaTheme="minorEastAsia"/>
                <w:color w:val="000000" w:themeColor="text1"/>
                <w:szCs w:val="21"/>
              </w:rPr>
            </w:pPr>
            <w:r w:rsidRPr="005B5C10">
              <w:rPr>
                <w:rFonts w:eastAsiaTheme="minorEastAsia"/>
                <w:color w:val="000000" w:themeColor="text1"/>
                <w:szCs w:val="21"/>
              </w:rPr>
              <w:t>8</w:t>
            </w:r>
            <w:r w:rsidR="00C75153" w:rsidRPr="005B5C10">
              <w:rPr>
                <w:rFonts w:eastAsiaTheme="minorEastAsia"/>
                <w:color w:val="000000" w:themeColor="text1"/>
                <w:szCs w:val="21"/>
              </w:rPr>
              <w:t>．其他费用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r w:rsidRPr="005B5C10">
              <w:rPr>
                <w:rFonts w:ascii="Times New Roman" w:eastAsiaTheme="minorEastAsia" w:hAnsi="Times New Roman"/>
                <w:color w:val="000000" w:themeColor="text1"/>
                <w:sz w:val="21"/>
                <w:szCs w:val="21"/>
              </w:rPr>
              <w:t>6.4.7.18</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148,530.92</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147,626.55</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三、利润总额（亏损总额以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162,756,106.04</w:t>
            </w:r>
          </w:p>
        </w:tc>
        <w:tc>
          <w:tcPr>
            <w:tcW w:w="2250" w:type="dxa"/>
            <w:vAlign w:val="center"/>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166,064,418.64</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color w:val="000000" w:themeColor="text1"/>
                <w:szCs w:val="21"/>
              </w:rPr>
              <w:t>减：所得税费用</w:t>
            </w:r>
          </w:p>
        </w:tc>
        <w:tc>
          <w:tcPr>
            <w:tcW w:w="1080" w:type="dxa"/>
            <w:vAlign w:val="center"/>
          </w:tcPr>
          <w:p w:rsidR="00C75153" w:rsidRPr="005B5C10" w:rsidRDefault="00C75153" w:rsidP="00C75153">
            <w:pPr>
              <w:pStyle w:val="afb"/>
              <w:jc w:val="center"/>
              <w:rPr>
                <w:rFonts w:ascii="Times New Roman" w:eastAsiaTheme="minorEastAsia" w:hAnsi="Times New Roman"/>
                <w:color w:val="000000" w:themeColor="text1"/>
                <w:sz w:val="21"/>
                <w:szCs w:val="21"/>
              </w:rPr>
            </w:pP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c>
          <w:tcPr>
            <w:tcW w:w="2250" w:type="dxa"/>
            <w:vAlign w:val="bottom"/>
          </w:tcPr>
          <w:p w:rsidR="00C75153" w:rsidRPr="005B5C10" w:rsidRDefault="00C75153" w:rsidP="00C751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tc>
          <w:tcPr>
            <w:tcW w:w="3420" w:type="dxa"/>
            <w:vAlign w:val="center"/>
          </w:tcPr>
          <w:p w:rsidR="00C75153" w:rsidRPr="005B5C10" w:rsidRDefault="00C75153" w:rsidP="00C75153">
            <w:pPr>
              <w:rPr>
                <w:rFonts w:eastAsiaTheme="minorEastAsia"/>
                <w:b/>
                <w:color w:val="000000" w:themeColor="text1"/>
                <w:szCs w:val="21"/>
              </w:rPr>
            </w:pPr>
            <w:r w:rsidRPr="005B5C10">
              <w:rPr>
                <w:rFonts w:eastAsiaTheme="minorEastAsia"/>
                <w:b/>
                <w:color w:val="000000" w:themeColor="text1"/>
                <w:szCs w:val="21"/>
              </w:rPr>
              <w:t>四、净利润（净亏损以</w:t>
            </w:r>
            <w:r w:rsidRPr="005B5C10">
              <w:rPr>
                <w:rFonts w:eastAsiaTheme="minorEastAsia"/>
                <w:b/>
                <w:color w:val="000000" w:themeColor="text1"/>
                <w:szCs w:val="21"/>
              </w:rPr>
              <w:t>“-”</w:t>
            </w:r>
            <w:r w:rsidRPr="005B5C10">
              <w:rPr>
                <w:rFonts w:eastAsiaTheme="minorEastAsia"/>
                <w:b/>
                <w:color w:val="000000" w:themeColor="text1"/>
                <w:szCs w:val="21"/>
              </w:rPr>
              <w:t>号填列）</w:t>
            </w:r>
          </w:p>
        </w:tc>
        <w:tc>
          <w:tcPr>
            <w:tcW w:w="1080" w:type="dxa"/>
            <w:vAlign w:val="center"/>
          </w:tcPr>
          <w:p w:rsidR="00C75153" w:rsidRPr="005B5C10" w:rsidRDefault="00C75153" w:rsidP="00C75153">
            <w:pPr>
              <w:pStyle w:val="afb"/>
              <w:jc w:val="center"/>
              <w:rPr>
                <w:rFonts w:ascii="Times New Roman" w:eastAsiaTheme="minorEastAsia" w:hAnsi="Times New Roman"/>
                <w:b/>
                <w:color w:val="000000" w:themeColor="text1"/>
                <w:sz w:val="21"/>
                <w:szCs w:val="21"/>
              </w:rPr>
            </w:pP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162,756,106.04</w:t>
            </w:r>
          </w:p>
        </w:tc>
        <w:tc>
          <w:tcPr>
            <w:tcW w:w="2250" w:type="dxa"/>
            <w:vAlign w:val="bottom"/>
          </w:tcPr>
          <w:p w:rsidR="00C75153" w:rsidRPr="005B5C10" w:rsidRDefault="00C75153" w:rsidP="00C75153">
            <w:pPr>
              <w:jc w:val="right"/>
              <w:rPr>
                <w:rFonts w:eastAsiaTheme="minorEastAsia"/>
                <w:b/>
                <w:color w:val="000000" w:themeColor="text1"/>
                <w:szCs w:val="21"/>
              </w:rPr>
            </w:pPr>
            <w:r w:rsidRPr="005B5C10">
              <w:rPr>
                <w:rFonts w:eastAsiaTheme="minorEastAsia"/>
                <w:b/>
                <w:color w:val="000000" w:themeColor="text1"/>
                <w:szCs w:val="21"/>
              </w:rPr>
              <w:t>166,064,418.64</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五、其他综合收益的税后净额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w:t>
            </w:r>
          </w:p>
        </w:tc>
      </w:tr>
      <w:tr w:rsidR="005B5C10" w:rsidRPr="005B5C10">
        <w:tc>
          <w:tcPr>
            <w:tcW w:w="3420" w:type="dxa"/>
            <w:vAlign w:val="center"/>
          </w:tcPr>
          <w:p w:rsidR="004A35B7" w:rsidRPr="005B5C10" w:rsidRDefault="004A35B7" w:rsidP="004A35B7">
            <w:pPr>
              <w:rPr>
                <w:rFonts w:eastAsiaTheme="minorEastAsia"/>
                <w:b/>
                <w:color w:val="000000" w:themeColor="text1"/>
                <w:szCs w:val="21"/>
              </w:rPr>
            </w:pPr>
            <w:r w:rsidRPr="005B5C10">
              <w:rPr>
                <w:rFonts w:eastAsiaTheme="minorEastAsia" w:hint="eastAsia"/>
                <w:b/>
                <w:color w:val="000000" w:themeColor="text1"/>
                <w:szCs w:val="21"/>
              </w:rPr>
              <w:t>六、综合收益总额</w:t>
            </w:r>
          </w:p>
        </w:tc>
        <w:tc>
          <w:tcPr>
            <w:tcW w:w="1080" w:type="dxa"/>
            <w:vAlign w:val="center"/>
          </w:tcPr>
          <w:p w:rsidR="004A35B7" w:rsidRPr="005B5C10" w:rsidRDefault="004A35B7" w:rsidP="004A35B7">
            <w:pPr>
              <w:pStyle w:val="afb"/>
              <w:jc w:val="center"/>
              <w:rPr>
                <w:rFonts w:ascii="Times New Roman" w:eastAsiaTheme="minorEastAsia" w:hAnsi="Times New Roman"/>
                <w:b/>
                <w:color w:val="000000" w:themeColor="text1"/>
                <w:sz w:val="21"/>
                <w:szCs w:val="21"/>
              </w:rPr>
            </w:pP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162,756,106.04</w:t>
            </w:r>
          </w:p>
        </w:tc>
        <w:tc>
          <w:tcPr>
            <w:tcW w:w="2250" w:type="dxa"/>
            <w:vAlign w:val="bottom"/>
          </w:tcPr>
          <w:p w:rsidR="004A35B7" w:rsidRPr="005B5C10" w:rsidRDefault="004A35B7" w:rsidP="004A35B7">
            <w:pPr>
              <w:jc w:val="right"/>
              <w:rPr>
                <w:rFonts w:eastAsiaTheme="minorEastAsia"/>
                <w:b/>
                <w:color w:val="000000" w:themeColor="text1"/>
                <w:szCs w:val="21"/>
              </w:rPr>
            </w:pPr>
            <w:r w:rsidRPr="005B5C10">
              <w:rPr>
                <w:rFonts w:eastAsiaTheme="minorEastAsia"/>
                <w:b/>
                <w:color w:val="000000" w:themeColor="text1"/>
                <w:szCs w:val="21"/>
              </w:rPr>
              <w:t>166,064,418.64</w:t>
            </w:r>
          </w:p>
        </w:tc>
      </w:tr>
    </w:tbl>
    <w:p w:rsidR="006B65E1" w:rsidRPr="005B5C10" w:rsidRDefault="0005594A" w:rsidP="00572E9A">
      <w:pPr>
        <w:pStyle w:val="2"/>
        <w:spacing w:beforeLines="100" w:before="312" w:after="0"/>
        <w:rPr>
          <w:rFonts w:ascii="Times New Roman" w:eastAsiaTheme="minorEastAsia" w:hAnsi="Times New Roman"/>
          <w:color w:val="000000" w:themeColor="text1"/>
          <w:kern w:val="0"/>
          <w:sz w:val="21"/>
          <w:szCs w:val="21"/>
        </w:rPr>
      </w:pPr>
      <w:bookmarkStart w:id="70" w:name="_Toc225498270"/>
      <w:bookmarkStart w:id="71" w:name="_Toc390421252"/>
      <w:bookmarkStart w:id="72" w:name="_Toc144286611"/>
      <w:r w:rsidRPr="005B5C10">
        <w:rPr>
          <w:rFonts w:ascii="Times New Roman" w:eastAsiaTheme="minorEastAsia" w:hAnsi="Times New Roman" w:hint="eastAsia"/>
          <w:color w:val="000000" w:themeColor="text1"/>
          <w:kern w:val="0"/>
          <w:sz w:val="21"/>
          <w:szCs w:val="21"/>
        </w:rPr>
        <w:lastRenderedPageBreak/>
        <w:t>6</w:t>
      </w:r>
      <w:r w:rsidR="00945F2E" w:rsidRPr="005B5C10">
        <w:rPr>
          <w:rFonts w:ascii="Times New Roman" w:eastAsiaTheme="minorEastAsia" w:hAnsi="Times New Roman"/>
          <w:color w:val="000000" w:themeColor="text1"/>
          <w:kern w:val="0"/>
          <w:sz w:val="21"/>
          <w:szCs w:val="21"/>
        </w:rPr>
        <w:t xml:space="preserve">.3 </w:t>
      </w:r>
      <w:r w:rsidR="004A35B7" w:rsidRPr="005B5C10">
        <w:rPr>
          <w:rFonts w:ascii="Times New Roman" w:eastAsiaTheme="minorEastAsia" w:hAnsi="Times New Roman" w:hint="eastAsia"/>
          <w:color w:val="000000" w:themeColor="text1"/>
          <w:kern w:val="0"/>
          <w:sz w:val="21"/>
          <w:szCs w:val="21"/>
        </w:rPr>
        <w:t>净资产（基金净值）变动表</w:t>
      </w:r>
      <w:bookmarkEnd w:id="70"/>
      <w:bookmarkEnd w:id="71"/>
      <w:bookmarkEnd w:id="72"/>
      <w:r w:rsidR="00113721" w:rsidRPr="005B5C10">
        <w:rPr>
          <w:rFonts w:ascii="Times New Roman" w:eastAsiaTheme="minorEastAsia" w:hAnsi="Times New Roman"/>
          <w:color w:val="000000" w:themeColor="text1"/>
          <w:kern w:val="0"/>
          <w:sz w:val="21"/>
          <w:szCs w:val="21"/>
        </w:rPr>
        <w:t xml:space="preserve"> </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会计主体：</w:t>
      </w:r>
      <w:r w:rsidRPr="005B5C10">
        <w:rPr>
          <w:rFonts w:eastAsiaTheme="minorEastAsia"/>
          <w:color w:val="000000" w:themeColor="text1"/>
          <w:kern w:val="0"/>
          <w:szCs w:val="21"/>
        </w:rPr>
        <w:t>摩根瑞盛</w:t>
      </w:r>
      <w:r w:rsidRPr="005B5C10">
        <w:rPr>
          <w:rFonts w:eastAsiaTheme="minorEastAsia"/>
          <w:color w:val="000000" w:themeColor="text1"/>
          <w:kern w:val="0"/>
          <w:szCs w:val="21"/>
        </w:rPr>
        <w:t>87</w:t>
      </w:r>
      <w:r w:rsidRPr="005B5C10">
        <w:rPr>
          <w:rFonts w:eastAsiaTheme="minorEastAsia"/>
          <w:color w:val="000000" w:themeColor="text1"/>
          <w:kern w:val="0"/>
          <w:szCs w:val="21"/>
        </w:rPr>
        <w:t>个月定期开放债券型证券投资基金</w:t>
      </w:r>
    </w:p>
    <w:p w:rsidR="006B65E1" w:rsidRPr="005B5C10" w:rsidRDefault="00945F2E">
      <w:pPr>
        <w:spacing w:line="360" w:lineRule="auto"/>
        <w:rPr>
          <w:rFonts w:eastAsiaTheme="minorEastAsia"/>
          <w:color w:val="000000" w:themeColor="text1"/>
          <w:kern w:val="0"/>
          <w:szCs w:val="21"/>
        </w:rPr>
      </w:pPr>
      <w:r w:rsidRPr="005B5C10">
        <w:rPr>
          <w:rFonts w:eastAsiaTheme="minorEastAsia"/>
          <w:color w:val="000000" w:themeColor="text1"/>
          <w:szCs w:val="21"/>
        </w:rPr>
        <w:t>本报告期：</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1843"/>
        <w:gridCol w:w="1701"/>
      </w:tblGrid>
      <w:tr w:rsidR="0034087B" w:rsidRPr="005B5C10" w:rsidTr="006B74D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本期</w:t>
            </w:r>
          </w:p>
          <w:p w:rsidR="0034087B" w:rsidRPr="005B5C10" w:rsidRDefault="0034087B" w:rsidP="00FC2553">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2023</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CD439D">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184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70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CD439D">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7,990,077,699.94</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291,517,087.73</w:t>
            </w:r>
          </w:p>
        </w:tc>
        <w:tc>
          <w:tcPr>
            <w:tcW w:w="170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8,281,594,787.67</w:t>
            </w:r>
          </w:p>
        </w:tc>
      </w:tr>
      <w:tr w:rsidR="005B5C10" w:rsidRPr="005B5C10" w:rsidTr="00CD439D">
        <w:tc>
          <w:tcPr>
            <w:tcW w:w="1876" w:type="dxa"/>
          </w:tcPr>
          <w:p w:rsidR="006318AB" w:rsidRPr="005B5C10" w:rsidRDefault="006318AB" w:rsidP="006318A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7,990,077,699.94</w:t>
            </w:r>
          </w:p>
        </w:tc>
        <w:tc>
          <w:tcPr>
            <w:tcW w:w="1917"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291,517,087.73</w:t>
            </w:r>
          </w:p>
        </w:tc>
        <w:tc>
          <w:tcPr>
            <w:tcW w:w="1701" w:type="dxa"/>
            <w:vAlign w:val="center"/>
          </w:tcPr>
          <w:p w:rsidR="006318AB" w:rsidRPr="005B5C10" w:rsidRDefault="006318AB" w:rsidP="006318AB">
            <w:pPr>
              <w:jc w:val="right"/>
              <w:rPr>
                <w:rFonts w:eastAsiaTheme="minorEastAsia"/>
                <w:color w:val="000000" w:themeColor="text1"/>
                <w:szCs w:val="21"/>
              </w:rPr>
            </w:pPr>
            <w:r w:rsidRPr="005B5C10">
              <w:rPr>
                <w:rFonts w:eastAsiaTheme="minorEastAsia"/>
                <w:color w:val="000000" w:themeColor="text1"/>
                <w:szCs w:val="21"/>
              </w:rPr>
              <w:t>8,281,594,787.67</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162,756,106.04</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162,756,106.04</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162,756,106.04</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162,756,106.04</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四、本期期末净资产（基金净值）</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7,990,077,699.94</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454,273,193.77</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8,444,350,893.71</w:t>
            </w:r>
          </w:p>
        </w:tc>
      </w:tr>
      <w:tr w:rsidR="0034087B" w:rsidRPr="005B5C10" w:rsidTr="00044718">
        <w:tc>
          <w:tcPr>
            <w:tcW w:w="1876" w:type="dxa"/>
            <w:vMerge w:val="restart"/>
            <w:vAlign w:val="center"/>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项目</w:t>
            </w:r>
          </w:p>
        </w:tc>
        <w:tc>
          <w:tcPr>
            <w:tcW w:w="7446" w:type="dxa"/>
            <w:gridSpan w:val="4"/>
          </w:tcPr>
          <w:p w:rsidR="0034087B" w:rsidRPr="005B5C10" w:rsidRDefault="0034087B" w:rsidP="00FC2553">
            <w:pPr>
              <w:jc w:val="center"/>
              <w:rPr>
                <w:rFonts w:eastAsiaTheme="minorEastAsia"/>
                <w:b/>
                <w:color w:val="000000" w:themeColor="text1"/>
                <w:szCs w:val="21"/>
              </w:rPr>
            </w:pPr>
            <w:r w:rsidRPr="005B5C10">
              <w:rPr>
                <w:rFonts w:eastAsiaTheme="minorEastAsia"/>
                <w:b/>
                <w:color w:val="000000" w:themeColor="text1"/>
                <w:szCs w:val="21"/>
              </w:rPr>
              <w:t>上年度可比期间</w:t>
            </w:r>
          </w:p>
          <w:p w:rsidR="0034087B" w:rsidRPr="005B5C10" w:rsidRDefault="0034087B" w:rsidP="00FC2553">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1</w:t>
            </w:r>
            <w:r w:rsidRPr="005B5C10">
              <w:rPr>
                <w:rFonts w:ascii="Times New Roman" w:eastAsiaTheme="minorEastAsia" w:hAnsi="Times New Roman"/>
                <w:b/>
                <w:color w:val="000000" w:themeColor="text1"/>
                <w:kern w:val="2"/>
                <w:sz w:val="21"/>
                <w:szCs w:val="21"/>
              </w:rPr>
              <w:t>日至</w:t>
            </w:r>
            <w:r w:rsidRPr="005B5C10">
              <w:rPr>
                <w:rFonts w:ascii="Times New Roman" w:eastAsiaTheme="minorEastAsia" w:hAnsi="Times New Roman"/>
                <w:b/>
                <w:color w:val="000000" w:themeColor="text1"/>
                <w:kern w:val="2"/>
                <w:sz w:val="21"/>
                <w:szCs w:val="21"/>
              </w:rPr>
              <w:t>2022</w:t>
            </w:r>
            <w:r w:rsidRPr="005B5C10">
              <w:rPr>
                <w:rFonts w:ascii="Times New Roman" w:eastAsiaTheme="minorEastAsia" w:hAnsi="Times New Roman"/>
                <w:b/>
                <w:color w:val="000000" w:themeColor="text1"/>
                <w:kern w:val="2"/>
                <w:sz w:val="21"/>
                <w:szCs w:val="21"/>
              </w:rPr>
              <w:t>年</w:t>
            </w:r>
            <w:r w:rsidRPr="005B5C10">
              <w:rPr>
                <w:rFonts w:ascii="Times New Roman" w:eastAsiaTheme="minorEastAsia" w:hAnsi="Times New Roman"/>
                <w:b/>
                <w:color w:val="000000" w:themeColor="text1"/>
                <w:kern w:val="2"/>
                <w:sz w:val="21"/>
                <w:szCs w:val="21"/>
              </w:rPr>
              <w:t>6</w:t>
            </w:r>
            <w:r w:rsidRPr="005B5C10">
              <w:rPr>
                <w:rFonts w:ascii="Times New Roman" w:eastAsiaTheme="minorEastAsia" w:hAnsi="Times New Roman"/>
                <w:b/>
                <w:color w:val="000000" w:themeColor="text1"/>
                <w:kern w:val="2"/>
                <w:sz w:val="21"/>
                <w:szCs w:val="21"/>
              </w:rPr>
              <w:t>月</w:t>
            </w:r>
            <w:r w:rsidRPr="005B5C10">
              <w:rPr>
                <w:rFonts w:ascii="Times New Roman" w:eastAsiaTheme="minorEastAsia" w:hAnsi="Times New Roman"/>
                <w:b/>
                <w:color w:val="000000" w:themeColor="text1"/>
                <w:kern w:val="2"/>
                <w:sz w:val="21"/>
                <w:szCs w:val="21"/>
              </w:rPr>
              <w:t>30</w:t>
            </w:r>
            <w:r w:rsidRPr="005B5C10">
              <w:rPr>
                <w:rFonts w:ascii="Times New Roman" w:eastAsiaTheme="minorEastAsia" w:hAnsi="Times New Roman"/>
                <w:b/>
                <w:color w:val="000000" w:themeColor="text1"/>
                <w:kern w:val="2"/>
                <w:sz w:val="21"/>
                <w:szCs w:val="21"/>
              </w:rPr>
              <w:t>日</w:t>
            </w:r>
          </w:p>
        </w:tc>
      </w:tr>
      <w:tr w:rsidR="005B5C10" w:rsidRPr="005B5C10" w:rsidTr="00CD439D">
        <w:tc>
          <w:tcPr>
            <w:tcW w:w="1876" w:type="dxa"/>
            <w:vMerge/>
            <w:vAlign w:val="center"/>
          </w:tcPr>
          <w:p w:rsidR="00113721" w:rsidRPr="005B5C10" w:rsidRDefault="00113721" w:rsidP="00FC2553">
            <w:pPr>
              <w:jc w:val="center"/>
              <w:rPr>
                <w:rFonts w:eastAsiaTheme="minorEastAsia"/>
                <w:b/>
                <w:color w:val="000000" w:themeColor="text1"/>
                <w:szCs w:val="21"/>
              </w:rPr>
            </w:pPr>
          </w:p>
        </w:tc>
        <w:tc>
          <w:tcPr>
            <w:tcW w:w="1985"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实收基金</w:t>
            </w:r>
          </w:p>
        </w:tc>
        <w:tc>
          <w:tcPr>
            <w:tcW w:w="1917" w:type="dxa"/>
          </w:tcPr>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其他综合</w:t>
            </w:r>
          </w:p>
          <w:p w:rsidR="00113721" w:rsidRPr="005B5C10" w:rsidRDefault="00113721" w:rsidP="00FC2553">
            <w:pPr>
              <w:jc w:val="center"/>
              <w:rPr>
                <w:rFonts w:eastAsiaTheme="minorEastAsia"/>
                <w:b/>
                <w:color w:val="000000" w:themeColor="text1"/>
                <w:szCs w:val="21"/>
              </w:rPr>
            </w:pPr>
            <w:r w:rsidRPr="005B5C10">
              <w:rPr>
                <w:rFonts w:eastAsiaTheme="minorEastAsia" w:hint="eastAsia"/>
                <w:b/>
                <w:color w:val="000000" w:themeColor="text1"/>
                <w:szCs w:val="21"/>
              </w:rPr>
              <w:t>收益（若有</w:t>
            </w:r>
            <w:r w:rsidRPr="005B5C10">
              <w:rPr>
                <w:rFonts w:eastAsiaTheme="minorEastAsia"/>
                <w:b/>
                <w:color w:val="000000" w:themeColor="text1"/>
                <w:szCs w:val="21"/>
              </w:rPr>
              <w:t>）</w:t>
            </w:r>
          </w:p>
        </w:tc>
        <w:tc>
          <w:tcPr>
            <w:tcW w:w="1843" w:type="dxa"/>
            <w:vAlign w:val="center"/>
          </w:tcPr>
          <w:p w:rsidR="00113721" w:rsidRPr="005B5C10" w:rsidRDefault="00113721" w:rsidP="00FC2553">
            <w:pPr>
              <w:jc w:val="center"/>
              <w:rPr>
                <w:rFonts w:eastAsiaTheme="minorEastAsia"/>
                <w:b/>
                <w:color w:val="000000" w:themeColor="text1"/>
                <w:szCs w:val="21"/>
              </w:rPr>
            </w:pPr>
            <w:r w:rsidRPr="005B5C10">
              <w:rPr>
                <w:rFonts w:eastAsiaTheme="minorEastAsia"/>
                <w:b/>
                <w:color w:val="000000" w:themeColor="text1"/>
                <w:szCs w:val="21"/>
              </w:rPr>
              <w:t>未分配利润</w:t>
            </w:r>
          </w:p>
        </w:tc>
        <w:tc>
          <w:tcPr>
            <w:tcW w:w="1701" w:type="dxa"/>
            <w:vAlign w:val="center"/>
          </w:tcPr>
          <w:p w:rsidR="00113721" w:rsidRPr="005B5C10" w:rsidRDefault="00AB7EBB" w:rsidP="00FC2553">
            <w:pPr>
              <w:jc w:val="center"/>
              <w:rPr>
                <w:rFonts w:eastAsiaTheme="minorEastAsia"/>
                <w:b/>
                <w:color w:val="000000" w:themeColor="text1"/>
                <w:szCs w:val="21"/>
              </w:rPr>
            </w:pPr>
            <w:r w:rsidRPr="005B5C10">
              <w:rPr>
                <w:rFonts w:eastAsiaTheme="minorEastAsia" w:hint="eastAsia"/>
                <w:b/>
                <w:color w:val="000000" w:themeColor="text1"/>
                <w:szCs w:val="21"/>
              </w:rPr>
              <w:t>净资产合计</w:t>
            </w:r>
          </w:p>
        </w:tc>
      </w:tr>
      <w:tr w:rsidR="005B5C10" w:rsidRPr="005B5C10" w:rsidTr="00CD439D">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一、上期期末净资产（基金净值）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7,990,077,699.94</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265,963,923.56</w:t>
            </w:r>
          </w:p>
        </w:tc>
        <w:tc>
          <w:tcPr>
            <w:tcW w:w="170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8,256,041,623.50</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加：会计政策变更</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-570,494.87</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-570,494.87</w:t>
            </w:r>
          </w:p>
        </w:tc>
      </w:tr>
      <w:tr w:rsidR="005B5C10" w:rsidRPr="005B5C10" w:rsidTr="00CD439D">
        <w:tc>
          <w:tcPr>
            <w:tcW w:w="1876" w:type="dxa"/>
          </w:tcPr>
          <w:p w:rsidR="00AB7EBB" w:rsidRPr="005B5C10" w:rsidRDefault="00AB7EBB" w:rsidP="00AB7EBB">
            <w:pPr>
              <w:rPr>
                <w:rFonts w:eastAsiaTheme="minorEastAsia"/>
                <w:color w:val="000000" w:themeColor="text1"/>
                <w:szCs w:val="21"/>
              </w:rPr>
            </w:pPr>
            <w:r w:rsidRPr="005B5C10">
              <w:rPr>
                <w:rFonts w:eastAsiaTheme="minorEastAsia" w:hint="eastAsia"/>
                <w:color w:val="000000" w:themeColor="text1"/>
                <w:szCs w:val="21"/>
              </w:rPr>
              <w:t>二、本期期初净资产（基金净值）</w:t>
            </w:r>
          </w:p>
        </w:tc>
        <w:tc>
          <w:tcPr>
            <w:tcW w:w="1985"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7,990,077,699.94</w:t>
            </w:r>
          </w:p>
        </w:tc>
        <w:tc>
          <w:tcPr>
            <w:tcW w:w="1917"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265,393,428.69</w:t>
            </w:r>
          </w:p>
        </w:tc>
        <w:tc>
          <w:tcPr>
            <w:tcW w:w="1701" w:type="dxa"/>
            <w:vAlign w:val="center"/>
          </w:tcPr>
          <w:p w:rsidR="00AB7EBB" w:rsidRPr="005B5C10" w:rsidRDefault="00AB7EBB" w:rsidP="00AB7EBB">
            <w:pPr>
              <w:jc w:val="right"/>
              <w:rPr>
                <w:rFonts w:eastAsiaTheme="minorEastAsia"/>
                <w:color w:val="000000" w:themeColor="text1"/>
                <w:szCs w:val="21"/>
              </w:rPr>
            </w:pPr>
            <w:r w:rsidRPr="005B5C10">
              <w:rPr>
                <w:rFonts w:eastAsiaTheme="minorEastAsia"/>
                <w:color w:val="000000" w:themeColor="text1"/>
                <w:szCs w:val="21"/>
              </w:rPr>
              <w:t>8,255,471,128.63</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三、本期增减变动</w:t>
            </w:r>
            <w:r w:rsidRPr="005B5C10">
              <w:rPr>
                <w:rFonts w:eastAsiaTheme="minorEastAsia" w:hint="eastAsia"/>
                <w:color w:val="000000" w:themeColor="text1"/>
                <w:szCs w:val="21"/>
              </w:rPr>
              <w:lastRenderedPageBreak/>
              <w:t>额（减少以“</w:t>
            </w:r>
            <w:r w:rsidRPr="005B5C10">
              <w:rPr>
                <w:rFonts w:eastAsiaTheme="minorEastAsia" w:hint="eastAsia"/>
                <w:color w:val="000000" w:themeColor="text1"/>
                <w:szCs w:val="21"/>
              </w:rPr>
              <w:t>-</w:t>
            </w:r>
            <w:r w:rsidRPr="005B5C10">
              <w:rPr>
                <w:rFonts w:eastAsiaTheme="minorEastAsia" w:hint="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lastRenderedPageBreak/>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86,163,641.64</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86,163,641.64</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（一）、综合收益总额</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166,064,418.64</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166,064,418.64</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（二）、</w:t>
            </w:r>
            <w:r w:rsidRPr="005B5C10">
              <w:rPr>
                <w:rFonts w:eastAsiaTheme="minorEastAsia"/>
                <w:color w:val="000000" w:themeColor="text1"/>
                <w:szCs w:val="21"/>
              </w:rPr>
              <w:t>本期基金份额交易产生的基金净值变动数（净值减少以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color w:val="000000" w:themeColor="text1"/>
                <w:szCs w:val="21"/>
              </w:rPr>
              <w:t>其中：</w:t>
            </w:r>
            <w:r w:rsidRPr="005B5C10">
              <w:rPr>
                <w:rFonts w:eastAsiaTheme="minorEastAsia"/>
                <w:color w:val="000000" w:themeColor="text1"/>
                <w:szCs w:val="21"/>
              </w:rPr>
              <w:t>1.</w:t>
            </w:r>
            <w:r w:rsidRPr="005B5C10">
              <w:rPr>
                <w:rFonts w:eastAsiaTheme="minorEastAsia"/>
                <w:color w:val="000000" w:themeColor="text1"/>
                <w:szCs w:val="21"/>
              </w:rPr>
              <w:t>基金申购款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0B31BC">
            <w:pPr>
              <w:ind w:firstLineChars="300" w:firstLine="630"/>
              <w:rPr>
                <w:rFonts w:eastAsiaTheme="minorEastAsia"/>
                <w:color w:val="000000" w:themeColor="text1"/>
                <w:szCs w:val="21"/>
              </w:rPr>
            </w:pPr>
            <w:r w:rsidRPr="005B5C10">
              <w:rPr>
                <w:rFonts w:eastAsiaTheme="minorEastAsia"/>
                <w:color w:val="000000" w:themeColor="text1"/>
                <w:szCs w:val="21"/>
              </w:rPr>
              <w:t>2.</w:t>
            </w:r>
            <w:r w:rsidRPr="005B5C10">
              <w:rPr>
                <w:rFonts w:eastAsiaTheme="minorEastAsia"/>
                <w:color w:val="000000" w:themeColor="text1"/>
                <w:szCs w:val="21"/>
              </w:rPr>
              <w:t>基金赎回款</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CD439D">
        <w:tc>
          <w:tcPr>
            <w:tcW w:w="1876" w:type="dxa"/>
          </w:tcPr>
          <w:p w:rsidR="00113721" w:rsidRPr="005B5C10" w:rsidRDefault="00113721" w:rsidP="00FC2553">
            <w:pPr>
              <w:rPr>
                <w:rFonts w:eastAsiaTheme="minorEastAsia"/>
                <w:color w:val="000000" w:themeColor="text1"/>
                <w:szCs w:val="21"/>
              </w:rPr>
            </w:pPr>
            <w:r w:rsidRPr="005B5C10">
              <w:rPr>
                <w:rFonts w:eastAsiaTheme="minorEastAsia" w:hint="eastAsia"/>
                <w:color w:val="000000" w:themeColor="text1"/>
                <w:szCs w:val="21"/>
              </w:rPr>
              <w:t>（三）</w:t>
            </w:r>
            <w:r w:rsidRPr="005B5C10">
              <w:rPr>
                <w:rFonts w:eastAsiaTheme="minorEastAsia"/>
                <w:color w:val="000000" w:themeColor="text1"/>
                <w:szCs w:val="21"/>
              </w:rPr>
              <w:t>、本期向基金份额持有人分配利润产生的基金净值变动（净值减少以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1985"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917"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w:t>
            </w:r>
          </w:p>
        </w:tc>
        <w:tc>
          <w:tcPr>
            <w:tcW w:w="1843"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-79,900,777.00</w:t>
            </w:r>
          </w:p>
        </w:tc>
        <w:tc>
          <w:tcPr>
            <w:tcW w:w="1701" w:type="dxa"/>
            <w:vAlign w:val="center"/>
          </w:tcPr>
          <w:p w:rsidR="00113721" w:rsidRPr="005B5C10" w:rsidRDefault="00113721" w:rsidP="00FC2553">
            <w:pPr>
              <w:jc w:val="right"/>
              <w:rPr>
                <w:rFonts w:eastAsiaTheme="minorEastAsia"/>
                <w:color w:val="000000" w:themeColor="text1"/>
                <w:szCs w:val="21"/>
              </w:rPr>
            </w:pPr>
            <w:r w:rsidRPr="005B5C10">
              <w:rPr>
                <w:rFonts w:eastAsiaTheme="minorEastAsia"/>
                <w:color w:val="000000" w:themeColor="text1"/>
                <w:szCs w:val="21"/>
              </w:rPr>
              <w:t>-79,900,777.00</w:t>
            </w:r>
          </w:p>
        </w:tc>
      </w:tr>
      <w:tr w:rsidR="0053106D" w:rsidRPr="005B5C10" w:rsidTr="00CD439D">
        <w:tc>
          <w:tcPr>
            <w:tcW w:w="1876" w:type="dxa"/>
          </w:tcPr>
          <w:p w:rsidR="0053106D" w:rsidRPr="005B5C10" w:rsidRDefault="0053106D" w:rsidP="0053106D">
            <w:pPr>
              <w:rPr>
                <w:rFonts w:eastAsiaTheme="minorEastAsia"/>
                <w:color w:val="000000" w:themeColor="text1"/>
                <w:szCs w:val="21"/>
              </w:rPr>
            </w:pPr>
            <w:r w:rsidRPr="0053106D">
              <w:rPr>
                <w:rFonts w:eastAsiaTheme="minorEastAsia" w:hint="eastAsia"/>
                <w:color w:val="000000" w:themeColor="text1"/>
                <w:szCs w:val="21"/>
              </w:rPr>
              <w:t>四、本期期末净资产（基金净值）</w:t>
            </w:r>
          </w:p>
        </w:tc>
        <w:tc>
          <w:tcPr>
            <w:tcW w:w="1985" w:type="dxa"/>
            <w:vAlign w:val="center"/>
          </w:tcPr>
          <w:p w:rsidR="0053106D" w:rsidRPr="0053106D" w:rsidRDefault="0053106D" w:rsidP="0053106D">
            <w:pPr>
              <w:jc w:val="right"/>
              <w:rPr>
                <w:rFonts w:eastAsiaTheme="minorEastAsia"/>
                <w:szCs w:val="21"/>
              </w:rPr>
            </w:pPr>
            <w:r w:rsidRPr="0053106D">
              <w:rPr>
                <w:szCs w:val="21"/>
              </w:rPr>
              <w:t>7,990,077,699.94</w:t>
            </w:r>
          </w:p>
        </w:tc>
        <w:tc>
          <w:tcPr>
            <w:tcW w:w="1917" w:type="dxa"/>
            <w:vAlign w:val="center"/>
          </w:tcPr>
          <w:p w:rsidR="0053106D" w:rsidRPr="0053106D" w:rsidRDefault="0053106D" w:rsidP="0053106D">
            <w:pPr>
              <w:jc w:val="right"/>
              <w:rPr>
                <w:rFonts w:eastAsiaTheme="minorEastAsia"/>
                <w:szCs w:val="21"/>
              </w:rPr>
            </w:pPr>
            <w:r w:rsidRPr="0053106D">
              <w:rPr>
                <w:szCs w:val="21"/>
              </w:rPr>
              <w:t>-</w:t>
            </w:r>
          </w:p>
        </w:tc>
        <w:tc>
          <w:tcPr>
            <w:tcW w:w="1843" w:type="dxa"/>
            <w:vAlign w:val="center"/>
          </w:tcPr>
          <w:p w:rsidR="0053106D" w:rsidRPr="0053106D" w:rsidRDefault="0053106D" w:rsidP="0053106D">
            <w:pPr>
              <w:jc w:val="right"/>
              <w:rPr>
                <w:rFonts w:eastAsiaTheme="minorEastAsia"/>
                <w:szCs w:val="21"/>
              </w:rPr>
            </w:pPr>
            <w:r w:rsidRPr="0053106D">
              <w:rPr>
                <w:szCs w:val="21"/>
              </w:rPr>
              <w:t>351,557,070.33</w:t>
            </w:r>
          </w:p>
        </w:tc>
        <w:tc>
          <w:tcPr>
            <w:tcW w:w="1701" w:type="dxa"/>
            <w:vAlign w:val="center"/>
          </w:tcPr>
          <w:p w:rsidR="0053106D" w:rsidRPr="0053106D" w:rsidRDefault="0053106D" w:rsidP="0053106D">
            <w:pPr>
              <w:jc w:val="right"/>
              <w:rPr>
                <w:rFonts w:eastAsiaTheme="minorEastAsia"/>
                <w:szCs w:val="21"/>
              </w:rPr>
            </w:pPr>
            <w:r w:rsidRPr="0053106D">
              <w:rPr>
                <w:szCs w:val="21"/>
              </w:rPr>
              <w:t>8,341,634,770.27</w:t>
            </w:r>
          </w:p>
        </w:tc>
      </w:tr>
    </w:tbl>
    <w:p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44286612"/>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w:t>
      </w:r>
      <w:r>
        <w:rPr>
          <w:rFonts w:eastAsiaTheme="minorEastAsia"/>
          <w:color w:val="000000" w:themeColor="text1"/>
          <w:szCs w:val="21"/>
        </w:rPr>
        <w:t>(</w:t>
      </w:r>
      <w:r>
        <w:rPr>
          <w:rFonts w:eastAsiaTheme="minorEastAsia"/>
          <w:color w:val="000000" w:themeColor="text1"/>
          <w:szCs w:val="21"/>
        </w:rPr>
        <w:t>原名为上投摩根瑞盛</w:t>
      </w:r>
      <w:r>
        <w:rPr>
          <w:rFonts w:eastAsiaTheme="minorEastAsia"/>
          <w:color w:val="000000" w:themeColor="text1"/>
          <w:szCs w:val="21"/>
        </w:rPr>
        <w:t>87</w:t>
      </w:r>
      <w:r>
        <w:rPr>
          <w:rFonts w:eastAsiaTheme="minorEastAsia"/>
          <w:color w:val="000000" w:themeColor="text1"/>
          <w:szCs w:val="21"/>
        </w:rPr>
        <w:t>个月定期开放债券型证券投资基金，以下简称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[2020]1348</w:t>
      </w:r>
      <w:r>
        <w:rPr>
          <w:rFonts w:eastAsiaTheme="minorEastAsia"/>
          <w:color w:val="000000" w:themeColor="text1"/>
          <w:szCs w:val="21"/>
        </w:rPr>
        <w:t>号《关于准予上投摩根瑞盛</w:t>
      </w:r>
      <w:r>
        <w:rPr>
          <w:rFonts w:eastAsiaTheme="minorEastAsia"/>
          <w:color w:val="000000" w:themeColor="text1"/>
          <w:szCs w:val="21"/>
        </w:rPr>
        <w:t>87</w:t>
      </w:r>
      <w:r>
        <w:rPr>
          <w:rFonts w:eastAsiaTheme="minorEastAsia"/>
          <w:color w:val="000000" w:themeColor="text1"/>
          <w:szCs w:val="21"/>
        </w:rPr>
        <w:t>个月定期开放债券型证券投资基金注册的批复》准予注册，由摩根基金管理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个月定期开放债券型证券投资基金基金合同》负责公开募集。本基金为契约型、定期开放式，存续期限不定，首次设立募集不包括认购资金利息共募集人民币</w:t>
      </w:r>
      <w:r>
        <w:rPr>
          <w:rFonts w:eastAsiaTheme="minorEastAsia"/>
          <w:color w:val="000000" w:themeColor="text1"/>
          <w:szCs w:val="21"/>
        </w:rPr>
        <w:t>7,989,996,699.96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0648</w:t>
      </w:r>
      <w:r>
        <w:rPr>
          <w:rFonts w:eastAsiaTheme="minorEastAsia"/>
          <w:color w:val="000000" w:themeColor="text1"/>
          <w:szCs w:val="21"/>
        </w:rPr>
        <w:t>号验资报告予以验证。经向中国证监会备案，《上投摩根瑞盛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日正式生效，基金合同生效日的基金份额总额为</w:t>
      </w:r>
      <w:r>
        <w:rPr>
          <w:rFonts w:eastAsiaTheme="minorEastAsia"/>
          <w:color w:val="000000" w:themeColor="text1"/>
          <w:szCs w:val="21"/>
        </w:rPr>
        <w:t>7,990,077,699.94</w:t>
      </w:r>
      <w:r>
        <w:rPr>
          <w:rFonts w:eastAsiaTheme="minorEastAsia"/>
          <w:color w:val="000000" w:themeColor="text1"/>
          <w:szCs w:val="21"/>
        </w:rPr>
        <w:t>份基金份额，其中认购资金利息折合</w:t>
      </w:r>
      <w:r>
        <w:rPr>
          <w:rFonts w:eastAsiaTheme="minorEastAsia"/>
          <w:color w:val="000000" w:themeColor="text1"/>
          <w:szCs w:val="21"/>
        </w:rPr>
        <w:t>80,999.98</w:t>
      </w:r>
      <w:r>
        <w:rPr>
          <w:rFonts w:eastAsiaTheme="minorEastAsia"/>
          <w:color w:val="000000" w:themeColor="text1"/>
          <w:szCs w:val="21"/>
        </w:rPr>
        <w:t>份基金份额。本</w:t>
      </w:r>
      <w:r>
        <w:rPr>
          <w:rFonts w:eastAsiaTheme="minorEastAsia"/>
          <w:color w:val="000000" w:themeColor="text1"/>
          <w:szCs w:val="21"/>
        </w:rPr>
        <w:lastRenderedPageBreak/>
        <w:t>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有限公司，基金托管人为兴业银行股份有限公司。</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有限公司关于旗下基金更名事宜的公告》，上投摩根瑞盛</w:t>
      </w:r>
      <w:r>
        <w:rPr>
          <w:rFonts w:eastAsiaTheme="minorEastAsia"/>
          <w:color w:val="000000" w:themeColor="text1"/>
          <w:szCs w:val="21"/>
        </w:rPr>
        <w:t>87</w:t>
      </w:r>
      <w:r>
        <w:rPr>
          <w:rFonts w:eastAsiaTheme="minorEastAsia"/>
          <w:color w:val="000000" w:themeColor="text1"/>
          <w:szCs w:val="21"/>
        </w:rPr>
        <w:t>个月定期开放债券型证券投资基金自该日起更名为摩根瑞盛</w:t>
      </w:r>
      <w:r>
        <w:rPr>
          <w:rFonts w:eastAsiaTheme="minorEastAsia"/>
          <w:color w:val="000000" w:themeColor="text1"/>
          <w:szCs w:val="21"/>
        </w:rPr>
        <w:t>87</w:t>
      </w:r>
      <w:r>
        <w:rPr>
          <w:rFonts w:eastAsiaTheme="minorEastAsia"/>
          <w:color w:val="000000" w:themeColor="text1"/>
          <w:szCs w:val="21"/>
        </w:rPr>
        <w:t>个月定期开放债券型证券投资基金。</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个月定期开放债券型证券投资基金基金合同》，本基金以</w:t>
      </w:r>
      <w:r>
        <w:rPr>
          <w:rFonts w:eastAsiaTheme="minorEastAsia"/>
          <w:color w:val="000000" w:themeColor="text1"/>
          <w:szCs w:val="21"/>
        </w:rPr>
        <w:t>87</w:t>
      </w:r>
      <w:r>
        <w:rPr>
          <w:rFonts w:eastAsiaTheme="minorEastAsia"/>
          <w:color w:val="000000" w:themeColor="text1"/>
          <w:szCs w:val="21"/>
        </w:rPr>
        <w:t>个月为一个封闭期。本基金的首个封闭期为自基金合同生效之日</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起至基金合同失效日所对应的</w:t>
      </w:r>
      <w:r>
        <w:rPr>
          <w:rFonts w:eastAsiaTheme="minorEastAsia"/>
          <w:color w:val="000000" w:themeColor="text1"/>
          <w:szCs w:val="21"/>
        </w:rPr>
        <w:t>87</w:t>
      </w:r>
      <w:r>
        <w:rPr>
          <w:rFonts w:eastAsiaTheme="minorEastAsia"/>
          <w:color w:val="000000" w:themeColor="text1"/>
          <w:szCs w:val="21"/>
        </w:rPr>
        <w:t>个月后的月度对日</w:t>
      </w:r>
      <w:r>
        <w:rPr>
          <w:rFonts w:eastAsiaTheme="minorEastAsia"/>
          <w:color w:val="000000" w:themeColor="text1"/>
          <w:szCs w:val="21"/>
        </w:rPr>
        <w:t>(</w:t>
      </w:r>
      <w:r>
        <w:rPr>
          <w:rFonts w:eastAsiaTheme="minorEastAsia"/>
          <w:color w:val="000000" w:themeColor="text1"/>
          <w:szCs w:val="21"/>
        </w:rPr>
        <w:t>指日历月，如该日为非工作日或无对应日期，则顺延至下一工作日</w:t>
      </w:r>
      <w:r>
        <w:rPr>
          <w:rFonts w:eastAsiaTheme="minorEastAsia"/>
          <w:color w:val="000000" w:themeColor="text1"/>
          <w:szCs w:val="21"/>
        </w:rPr>
        <w:t>)</w:t>
      </w:r>
      <w:r>
        <w:rPr>
          <w:rFonts w:eastAsiaTheme="minorEastAsia"/>
          <w:color w:val="000000" w:themeColor="text1"/>
          <w:szCs w:val="21"/>
        </w:rPr>
        <w:t>的前一日。本基金在封闭期内不办理申购与赎回业务，也不上市交易。本基金自每个封闭期结束之后的下一个工作日起进入开放期，期间可以办理申购与赎回业务。</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个月定期开放债券型证券投资基金基金合同》的有关规定，本基金主要投资于债券</w:t>
      </w:r>
      <w:r>
        <w:rPr>
          <w:rFonts w:eastAsiaTheme="minorEastAsia"/>
          <w:color w:val="000000" w:themeColor="text1"/>
          <w:szCs w:val="21"/>
        </w:rPr>
        <w:t>(</w:t>
      </w:r>
      <w:r>
        <w:rPr>
          <w:rFonts w:eastAsiaTheme="minorEastAsia"/>
          <w:color w:val="000000" w:themeColor="text1"/>
          <w:szCs w:val="21"/>
        </w:rPr>
        <w:t>包括国债、央行票据、金融债券、企业债券、公司债券、中期票据、短期融资券、超短期融资券、可分离交易可转债的纯债部分、公开发行的次级债券、政府机构债、地方政府债</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包括协议存款、定期存款等</w:t>
      </w:r>
      <w:r>
        <w:rPr>
          <w:rFonts w:eastAsiaTheme="minorEastAsia"/>
          <w:color w:val="000000" w:themeColor="text1"/>
          <w:szCs w:val="21"/>
        </w:rPr>
        <w:t>)</w:t>
      </w:r>
      <w:r>
        <w:rPr>
          <w:rFonts w:eastAsiaTheme="minorEastAsia"/>
          <w:color w:val="000000" w:themeColor="text1"/>
          <w:szCs w:val="21"/>
        </w:rPr>
        <w:t>、同业存单以及经中国证监会允许基金投资的其他金融工具，但需符合中国证监会的相关规定。本基金不投资股票、可转换债券</w:t>
      </w:r>
      <w:r>
        <w:rPr>
          <w:rFonts w:eastAsiaTheme="minorEastAsia"/>
          <w:color w:val="000000" w:themeColor="text1"/>
          <w:szCs w:val="21"/>
        </w:rPr>
        <w:t>(</w:t>
      </w:r>
      <w:r>
        <w:rPr>
          <w:rFonts w:eastAsiaTheme="minorEastAsia"/>
          <w:color w:val="000000" w:themeColor="text1"/>
          <w:szCs w:val="21"/>
        </w:rPr>
        <w:t>可分离交易可转债的纯债部分除外</w:t>
      </w:r>
      <w:r>
        <w:rPr>
          <w:rFonts w:eastAsiaTheme="minorEastAsia"/>
          <w:color w:val="000000" w:themeColor="text1"/>
          <w:szCs w:val="21"/>
        </w:rPr>
        <w:t>)</w:t>
      </w:r>
      <w:r>
        <w:rPr>
          <w:rFonts w:eastAsiaTheme="minorEastAsia"/>
          <w:color w:val="000000" w:themeColor="text1"/>
          <w:szCs w:val="21"/>
        </w:rPr>
        <w:t>、可交换债券。本基金的投资组合比例为：债券资产比例不低于基金资产的</w:t>
      </w:r>
      <w:r>
        <w:rPr>
          <w:rFonts w:eastAsiaTheme="minorEastAsia"/>
          <w:color w:val="000000" w:themeColor="text1"/>
          <w:szCs w:val="21"/>
        </w:rPr>
        <w:t>80%</w:t>
      </w:r>
      <w:r>
        <w:rPr>
          <w:rFonts w:eastAsiaTheme="minorEastAsia"/>
          <w:color w:val="000000" w:themeColor="text1"/>
          <w:szCs w:val="21"/>
        </w:rPr>
        <w:t>，应开放期流动性需要，为保护持有人利益，本基金开放期开始前</w:t>
      </w:r>
      <w:r>
        <w:rPr>
          <w:rFonts w:eastAsiaTheme="minorEastAsia"/>
          <w:color w:val="000000" w:themeColor="text1"/>
          <w:szCs w:val="21"/>
        </w:rPr>
        <w:t>3</w:t>
      </w:r>
      <w:r>
        <w:rPr>
          <w:rFonts w:eastAsiaTheme="minorEastAsia"/>
          <w:color w:val="000000" w:themeColor="text1"/>
          <w:szCs w:val="21"/>
        </w:rPr>
        <w:t>个月，开放期以及开放期结束后的</w:t>
      </w:r>
      <w:r>
        <w:rPr>
          <w:rFonts w:eastAsiaTheme="minorEastAsia"/>
          <w:color w:val="000000" w:themeColor="text1"/>
          <w:szCs w:val="21"/>
        </w:rPr>
        <w:t>3</w:t>
      </w:r>
      <w:r>
        <w:rPr>
          <w:rFonts w:eastAsiaTheme="minorEastAsia"/>
          <w:color w:val="000000" w:themeColor="text1"/>
          <w:szCs w:val="21"/>
        </w:rPr>
        <w:t>个月内，债券资产的投资比例可不受上述限制。开放期内，本基金保持不低于基金资产净值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的现金或者到期日在一年以内的政府债券，封闭期内不受上述</w:t>
      </w:r>
      <w:r>
        <w:rPr>
          <w:rFonts w:eastAsiaTheme="minorEastAsia"/>
          <w:color w:val="000000" w:themeColor="text1"/>
          <w:szCs w:val="21"/>
        </w:rPr>
        <w:t>5%</w:t>
      </w:r>
      <w:r>
        <w:rPr>
          <w:rFonts w:eastAsiaTheme="minorEastAsia"/>
          <w:color w:val="000000" w:themeColor="text1"/>
          <w:szCs w:val="21"/>
        </w:rPr>
        <w:t>的限制，其中现金不包括结算备付金、存出保证金、应收申购款等。在每个封闭期，本基金的业绩比较基准为：该封闭期起始日公布的三年定期存款利率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)+1.25%</w:t>
      </w:r>
      <w:r>
        <w:rPr>
          <w:rFonts w:eastAsiaTheme="minorEastAsia"/>
          <w:color w:val="000000" w:themeColor="text1"/>
          <w:szCs w:val="21"/>
        </w:rPr>
        <w:t>。</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日批准报出。</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rsidR="00AF52A5" w:rsidRDefault="007C066F">
      <w:pPr>
        <w:spacing w:line="360" w:lineRule="auto"/>
        <w:ind w:firstLineChars="200" w:firstLine="420"/>
        <w:rPr>
          <w:rFonts w:eastAsiaTheme="minorEastAsia"/>
          <w:color w:val="000000" w:themeColor="text1"/>
          <w:szCs w:val="21"/>
        </w:rPr>
      </w:pPr>
      <w:r w:rsidRPr="007C066F">
        <w:rPr>
          <w:rFonts w:eastAsiaTheme="minorEastAsia" w:hint="eastAsia"/>
          <w:color w:val="000000" w:themeColor="text1"/>
          <w:szCs w:val="21"/>
        </w:rPr>
        <w:t>本基金的财务报表按照财政部于</w:t>
      </w:r>
      <w:r w:rsidRPr="007C066F">
        <w:rPr>
          <w:rFonts w:eastAsiaTheme="minorEastAsia" w:hint="eastAsia"/>
          <w:color w:val="000000" w:themeColor="text1"/>
          <w:szCs w:val="21"/>
        </w:rPr>
        <w:t>2006</w:t>
      </w:r>
      <w:r w:rsidRPr="007C066F">
        <w:rPr>
          <w:rFonts w:eastAsiaTheme="minorEastAsia" w:hint="eastAsia"/>
          <w:color w:val="000000" w:themeColor="text1"/>
          <w:szCs w:val="21"/>
        </w:rPr>
        <w:t>年</w:t>
      </w:r>
      <w:r w:rsidRPr="007C066F">
        <w:rPr>
          <w:rFonts w:eastAsiaTheme="minorEastAsia" w:hint="eastAsia"/>
          <w:color w:val="000000" w:themeColor="text1"/>
          <w:szCs w:val="21"/>
        </w:rPr>
        <w:t>2</w:t>
      </w:r>
      <w:r w:rsidRPr="007C066F">
        <w:rPr>
          <w:rFonts w:eastAsiaTheme="minorEastAsia" w:hint="eastAsia"/>
          <w:color w:val="000000" w:themeColor="text1"/>
          <w:szCs w:val="21"/>
        </w:rPr>
        <w:t>月</w:t>
      </w:r>
      <w:r w:rsidRPr="007C066F">
        <w:rPr>
          <w:rFonts w:eastAsiaTheme="minorEastAsia" w:hint="eastAsia"/>
          <w:color w:val="000000" w:themeColor="text1"/>
          <w:szCs w:val="21"/>
        </w:rPr>
        <w:t>15</w:t>
      </w:r>
      <w:r w:rsidRPr="007C066F">
        <w:rPr>
          <w:rFonts w:eastAsiaTheme="minorEastAsia" w:hint="eastAsia"/>
          <w:color w:val="000000" w:themeColor="text1"/>
          <w:szCs w:val="21"/>
        </w:rPr>
        <w:t>日及以后期间颁布的《企业会计准则－基本准</w:t>
      </w:r>
      <w:r w:rsidRPr="007C066F">
        <w:rPr>
          <w:rFonts w:eastAsiaTheme="minorEastAsia" w:hint="eastAsia"/>
          <w:color w:val="000000" w:themeColor="text1"/>
          <w:szCs w:val="21"/>
        </w:rPr>
        <w:lastRenderedPageBreak/>
        <w:t>则》、各项具体会计准则、《资产管理产品相关会计处理规定》及其他相关规定</w:t>
      </w:r>
      <w:r w:rsidRPr="007C066F">
        <w:rPr>
          <w:rFonts w:eastAsiaTheme="minorEastAsia" w:hint="eastAsia"/>
          <w:color w:val="000000" w:themeColor="text1"/>
          <w:szCs w:val="21"/>
        </w:rPr>
        <w:t>(</w:t>
      </w:r>
      <w:r w:rsidRPr="007C066F">
        <w:rPr>
          <w:rFonts w:eastAsiaTheme="minorEastAsia" w:hint="eastAsia"/>
          <w:color w:val="000000" w:themeColor="text1"/>
          <w:szCs w:val="21"/>
        </w:rPr>
        <w:t>以下合称“企业会计准则”</w:t>
      </w:r>
      <w:r w:rsidRPr="007C066F">
        <w:rPr>
          <w:rFonts w:eastAsiaTheme="minorEastAsia" w:hint="eastAsia"/>
          <w:color w:val="000000" w:themeColor="text1"/>
          <w:szCs w:val="21"/>
        </w:rPr>
        <w:t>)</w:t>
      </w:r>
      <w:r w:rsidRPr="007C066F">
        <w:rPr>
          <w:rFonts w:eastAsiaTheme="minorEastAsia" w:hint="eastAsia"/>
          <w:color w:val="000000" w:themeColor="text1"/>
          <w:szCs w:val="21"/>
        </w:rPr>
        <w:t>、中国证监会颁布的《证券投资基金信息披露</w:t>
      </w:r>
      <w:r w:rsidRPr="007C066F">
        <w:rPr>
          <w:rFonts w:eastAsiaTheme="minorEastAsia" w:hint="eastAsia"/>
          <w:color w:val="000000" w:themeColor="text1"/>
          <w:szCs w:val="21"/>
        </w:rPr>
        <w:t>XBRL</w:t>
      </w:r>
      <w:r w:rsidRPr="007C066F">
        <w:rPr>
          <w:rFonts w:eastAsiaTheme="minorEastAsia" w:hint="eastAsia"/>
          <w:color w:val="000000" w:themeColor="text1"/>
          <w:szCs w:val="21"/>
        </w:rPr>
        <w:t>模板第</w:t>
      </w:r>
      <w:r w:rsidRPr="007C066F">
        <w:rPr>
          <w:rFonts w:eastAsiaTheme="minorEastAsia" w:hint="eastAsia"/>
          <w:color w:val="000000" w:themeColor="text1"/>
          <w:szCs w:val="21"/>
        </w:rPr>
        <w:t>3</w:t>
      </w:r>
      <w:r w:rsidRPr="007C066F">
        <w:rPr>
          <w:rFonts w:eastAsiaTheme="minorEastAsia" w:hint="eastAsia"/>
          <w:color w:val="000000" w:themeColor="text1"/>
          <w:szCs w:val="21"/>
        </w:rPr>
        <w:t>号</w:t>
      </w:r>
      <w:r w:rsidRPr="007C066F">
        <w:rPr>
          <w:rFonts w:eastAsiaTheme="minorEastAsia" w:hint="eastAsia"/>
          <w:color w:val="000000" w:themeColor="text1"/>
          <w:szCs w:val="21"/>
        </w:rPr>
        <w:t>&lt;</w:t>
      </w:r>
      <w:r w:rsidRPr="007C066F">
        <w:rPr>
          <w:rFonts w:eastAsiaTheme="minorEastAsia" w:hint="eastAsia"/>
          <w:color w:val="000000" w:themeColor="text1"/>
          <w:szCs w:val="21"/>
        </w:rPr>
        <w:t>年度报告和中期报告</w:t>
      </w:r>
      <w:r w:rsidRPr="007C066F">
        <w:rPr>
          <w:rFonts w:eastAsiaTheme="minorEastAsia" w:hint="eastAsia"/>
          <w:color w:val="000000" w:themeColor="text1"/>
          <w:szCs w:val="21"/>
        </w:rPr>
        <w:t>&gt;</w:t>
      </w:r>
      <w:r w:rsidRPr="007C066F">
        <w:rPr>
          <w:rFonts w:eastAsiaTheme="minorEastAsia" w:hint="eastAsia"/>
          <w:color w:val="000000" w:themeColor="text1"/>
          <w:szCs w:val="21"/>
        </w:rPr>
        <w:t>》、中国证券投资基金业协会</w:t>
      </w:r>
      <w:r w:rsidRPr="007C066F">
        <w:rPr>
          <w:rFonts w:eastAsiaTheme="minorEastAsia" w:hint="eastAsia"/>
          <w:color w:val="000000" w:themeColor="text1"/>
          <w:szCs w:val="21"/>
        </w:rPr>
        <w:t>(</w:t>
      </w:r>
      <w:r w:rsidRPr="007C066F">
        <w:rPr>
          <w:rFonts w:eastAsiaTheme="minorEastAsia" w:hint="eastAsia"/>
          <w:color w:val="000000" w:themeColor="text1"/>
          <w:szCs w:val="21"/>
        </w:rPr>
        <w:t>以下简称“中国基金业协会”</w:t>
      </w:r>
      <w:r w:rsidRPr="007C066F">
        <w:rPr>
          <w:rFonts w:eastAsiaTheme="minorEastAsia" w:hint="eastAsia"/>
          <w:color w:val="000000" w:themeColor="text1"/>
          <w:szCs w:val="21"/>
        </w:rPr>
        <w:t>)</w:t>
      </w:r>
      <w:r w:rsidRPr="007C066F">
        <w:rPr>
          <w:rFonts w:eastAsiaTheme="minorEastAsia" w:hint="eastAsia"/>
          <w:color w:val="000000" w:themeColor="text1"/>
          <w:szCs w:val="21"/>
        </w:rPr>
        <w:t>颁布的《证券投资基金会计核算业务指引》、《摩根瑞盛</w:t>
      </w:r>
      <w:r w:rsidRPr="007C066F">
        <w:rPr>
          <w:rFonts w:eastAsiaTheme="minorEastAsia" w:hint="eastAsia"/>
          <w:color w:val="000000" w:themeColor="text1"/>
          <w:szCs w:val="21"/>
        </w:rPr>
        <w:t>87</w:t>
      </w:r>
      <w:r w:rsidRPr="007C066F">
        <w:rPr>
          <w:rFonts w:eastAsiaTheme="minorEastAsia" w:hint="eastAsia"/>
          <w:color w:val="000000" w:themeColor="text1"/>
          <w:szCs w:val="21"/>
        </w:rPr>
        <w:t>个月定期开放债券型证券投资基金基金合同》和在财务报表附注</w:t>
      </w:r>
      <w:r w:rsidRPr="007C066F">
        <w:rPr>
          <w:rFonts w:eastAsiaTheme="minorEastAsia" w:hint="eastAsia"/>
          <w:color w:val="000000" w:themeColor="text1"/>
          <w:szCs w:val="21"/>
        </w:rPr>
        <w:t>6.4.4</w:t>
      </w:r>
      <w:r w:rsidRPr="007C066F">
        <w:rPr>
          <w:rFonts w:eastAsiaTheme="minorEastAsia" w:hint="eastAsia"/>
          <w:color w:val="000000" w:themeColor="text1"/>
          <w:szCs w:val="21"/>
        </w:rPr>
        <w:t>所列示的中国证监会、中国基金业协会发布的有关规定及允许的基金行业实务操作编制。</w:t>
      </w:r>
    </w:p>
    <w:p w:rsidR="007C066F" w:rsidRDefault="007C066F">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2023</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2023</w:t>
      </w:r>
      <w:r w:rsidRPr="005B5C10">
        <w:rPr>
          <w:rFonts w:eastAsiaTheme="minorEastAsia"/>
          <w:color w:val="000000" w:themeColor="text1"/>
          <w:szCs w:val="21"/>
        </w:rPr>
        <w:t>年上半年度的经营成果和净资产变动情况等有关信息。</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rsidR="006B65E1" w:rsidRPr="005B5C10" w:rsidRDefault="007C06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本基金本报告期所采用的</w:t>
      </w:r>
      <w:r w:rsidR="00945F2E" w:rsidRPr="005B5C10">
        <w:rPr>
          <w:rFonts w:eastAsiaTheme="minorEastAsia"/>
          <w:color w:val="000000" w:themeColor="text1"/>
          <w:szCs w:val="21"/>
        </w:rPr>
        <w:t>会计政策、会计估计与最近一期年度会计报表所采用的会计政策、会计估计一致。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w:t>
      </w:r>
      <w:r>
        <w:rPr>
          <w:rFonts w:eastAsiaTheme="minorEastAsia"/>
          <w:color w:val="000000" w:themeColor="text1"/>
          <w:szCs w:val="21"/>
        </w:rPr>
        <w:lastRenderedPageBreak/>
        <w:t>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本基金的城市维护建设税、教育费附加和地方教育附加等税费按照实际缴纳增值税额的适用比例计算缴纳。</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 </w:t>
      </w:r>
      <w:r w:rsidRPr="005B5C10">
        <w:rPr>
          <w:rFonts w:eastAsiaTheme="minorEastAsia"/>
          <w:b/>
          <w:color w:val="000000" w:themeColor="text1"/>
          <w:szCs w:val="21"/>
        </w:rPr>
        <w:t>银行存款</w:t>
      </w:r>
    </w:p>
    <w:p w:rsidR="006B65E1" w:rsidRPr="005B5C10" w:rsidRDefault="00945F2E">
      <w:pPr>
        <w:autoSpaceDE w:val="0"/>
        <w:autoSpaceDN w:val="0"/>
        <w:adjustRightInd w:val="0"/>
        <w:spacing w:line="288" w:lineRule="auto"/>
        <w:ind w:left="15"/>
        <w:jc w:val="right"/>
        <w:rPr>
          <w:rFonts w:eastAsiaTheme="minorEastAsia"/>
          <w:b/>
          <w:color w:val="000000" w:themeColor="text1"/>
          <w:kern w:val="0"/>
          <w:szCs w:val="21"/>
        </w:rPr>
      </w:pPr>
      <w:r w:rsidRPr="005B5C10">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5B5C10" w:rsidRPr="005B5C10">
        <w:trPr>
          <w:trHeight w:val="345"/>
        </w:trPr>
        <w:tc>
          <w:tcPr>
            <w:tcW w:w="3766" w:type="dxa"/>
            <w:tcMar>
              <w:top w:w="15" w:type="dxa"/>
              <w:left w:w="15" w:type="dxa"/>
              <w:bottom w:w="0" w:type="dxa"/>
              <w:right w:w="15" w:type="dxa"/>
            </w:tcMar>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5463" w:type="dxa"/>
            <w:tcMar>
              <w:top w:w="15" w:type="dxa"/>
              <w:left w:w="15" w:type="dxa"/>
              <w:bottom w:w="0" w:type="dxa"/>
              <w:right w:w="15" w:type="dxa"/>
            </w:tcMa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5B5C10" w:rsidRPr="005B5C10">
        <w:trPr>
          <w:trHeight w:val="315"/>
        </w:trPr>
        <w:tc>
          <w:tcPr>
            <w:tcW w:w="3766" w:type="dxa"/>
            <w:tcMar>
              <w:top w:w="15" w:type="dxa"/>
              <w:left w:w="15" w:type="dxa"/>
              <w:bottom w:w="0" w:type="dxa"/>
              <w:right w:w="15" w:type="dxa"/>
            </w:tcMa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1,594,837.81</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1,594,484.34</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353.47</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9C5070" w:rsidRPr="005B5C10" w:rsidRDefault="009C5070" w:rsidP="009C5070">
            <w:pPr>
              <w:rPr>
                <w:rFonts w:eastAsiaTheme="minorEastAsia"/>
                <w:color w:val="000000" w:themeColor="text1"/>
                <w:kern w:val="0"/>
                <w:szCs w:val="21"/>
              </w:rPr>
            </w:pPr>
            <w:r w:rsidRPr="005B5C10">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9C5070" w:rsidRPr="005B5C10" w:rsidRDefault="009C5070" w:rsidP="009C5070">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lastRenderedPageBreak/>
              <w:t>等于：本金</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ascii="宋体" w:hAnsi="宋体" w:hint="eastAsia"/>
                <w:color w:val="000000" w:themeColor="text1"/>
                <w:kern w:val="0"/>
                <w:szCs w:val="21"/>
              </w:rPr>
              <w:t xml:space="preserve"> </w:t>
            </w:r>
            <w:r w:rsidRPr="005B5C10">
              <w:rPr>
                <w:rFonts w:ascii="宋体" w:hAnsi="宋体"/>
                <w:color w:val="000000" w:themeColor="text1"/>
                <w:kern w:val="0"/>
                <w:szCs w:val="21"/>
              </w:rPr>
              <w:t xml:space="preserve">     </w:t>
            </w:r>
            <w:r w:rsidRPr="005B5C10">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trPr>
          <w:trHeight w:val="315"/>
        </w:trPr>
        <w:tc>
          <w:tcPr>
            <w:tcW w:w="3766" w:type="dxa"/>
            <w:tcMar>
              <w:top w:w="15" w:type="dxa"/>
              <w:left w:w="15" w:type="dxa"/>
              <w:bottom w:w="0" w:type="dxa"/>
              <w:right w:w="15" w:type="dxa"/>
            </w:tcMar>
          </w:tcPr>
          <w:p w:rsidR="007C3B6A" w:rsidRPr="005B5C10" w:rsidRDefault="007C3B6A" w:rsidP="007C3B6A">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7C3B6A" w:rsidRPr="005B5C10" w:rsidRDefault="007C3B6A" w:rsidP="007C3B6A">
            <w:pPr>
              <w:jc w:val="right"/>
              <w:rPr>
                <w:rFonts w:eastAsiaTheme="minorEastAsia"/>
                <w:color w:val="000000" w:themeColor="text1"/>
                <w:kern w:val="0"/>
                <w:szCs w:val="21"/>
              </w:rPr>
            </w:pPr>
            <w:r w:rsidRPr="005B5C10">
              <w:rPr>
                <w:rFonts w:eastAsiaTheme="minorEastAsia"/>
                <w:color w:val="000000" w:themeColor="text1"/>
                <w:kern w:val="0"/>
                <w:szCs w:val="21"/>
              </w:rPr>
              <w:t>1,594,837.81</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rsidR="007C3B6A" w:rsidRPr="005B5C10" w:rsidRDefault="00AC4D90" w:rsidP="00B12982">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6.4.7.3.1 </w:t>
      </w:r>
      <w:r w:rsidRPr="005B5C10">
        <w:rPr>
          <w:rFonts w:eastAsiaTheme="minorEastAsia" w:hint="eastAsia"/>
          <w:b/>
          <w:bCs/>
          <w:color w:val="000000" w:themeColor="text1"/>
          <w:kern w:val="0"/>
          <w:szCs w:val="21"/>
        </w:rPr>
        <w:t>衍生金融资产</w:t>
      </w:r>
      <w:r w:rsidRPr="005B5C10">
        <w:rPr>
          <w:rFonts w:eastAsiaTheme="minorEastAsia" w:hint="eastAsia"/>
          <w:b/>
          <w:bCs/>
          <w:color w:val="000000" w:themeColor="text1"/>
          <w:kern w:val="0"/>
          <w:szCs w:val="21"/>
        </w:rPr>
        <w:t>/</w:t>
      </w:r>
      <w:r w:rsidRPr="005B5C10">
        <w:rPr>
          <w:rFonts w:eastAsiaTheme="minorEastAsia" w:hint="eastAsia"/>
          <w:b/>
          <w:bCs/>
          <w:color w:val="000000" w:themeColor="text1"/>
          <w:kern w:val="0"/>
          <w:szCs w:val="21"/>
        </w:rPr>
        <w:t>负债期末余额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3F0477" w:rsidRPr="005B5C10" w:rsidRDefault="003F0477" w:rsidP="003F0477">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 </w:t>
      </w:r>
      <w:r w:rsidRPr="005B5C10">
        <w:rPr>
          <w:rFonts w:eastAsiaTheme="minorEastAsia" w:hint="eastAsia"/>
          <w:b/>
          <w:bCs/>
          <w:color w:val="000000" w:themeColor="text1"/>
          <w:kern w:val="0"/>
          <w:szCs w:val="21"/>
        </w:rPr>
        <w:t>债权投资</w:t>
      </w:r>
    </w:p>
    <w:p w:rsidR="003F0477" w:rsidRPr="005B5C10" w:rsidRDefault="003F0477" w:rsidP="00FE0A24">
      <w:pPr>
        <w:spacing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6.4.7.5.1 </w:t>
      </w:r>
      <w:r w:rsidRPr="005B5C10">
        <w:rPr>
          <w:rFonts w:eastAsiaTheme="minorEastAsia" w:hint="eastAsia"/>
          <w:b/>
          <w:bCs/>
          <w:color w:val="000000" w:themeColor="text1"/>
          <w:kern w:val="0"/>
          <w:szCs w:val="21"/>
        </w:rPr>
        <w:t>债权投资情况</w:t>
      </w:r>
    </w:p>
    <w:p w:rsidR="003F0477" w:rsidRPr="005B5C10" w:rsidRDefault="003F0477" w:rsidP="003F0477">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7"/>
        <w:gridCol w:w="1296"/>
        <w:gridCol w:w="1255"/>
        <w:gridCol w:w="1276"/>
        <w:gridCol w:w="1276"/>
        <w:gridCol w:w="1276"/>
      </w:tblGrid>
      <w:tr w:rsidR="005B5C10" w:rsidRPr="005B5C10" w:rsidTr="006425F8">
        <w:trPr>
          <w:trHeight w:val="285"/>
        </w:trPr>
        <w:tc>
          <w:tcPr>
            <w:tcW w:w="2980" w:type="dxa"/>
            <w:gridSpan w:val="2"/>
            <w:vMerge w:val="restart"/>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ascii="宋体" w:hAnsi="宋体" w:cs="宋体"/>
                <w:color w:val="000000" w:themeColor="text1"/>
                <w:kern w:val="0"/>
                <w:szCs w:val="21"/>
                <w:highlight w:val="green"/>
              </w:rPr>
            </w:pPr>
            <w:r w:rsidRPr="005B5C10">
              <w:rPr>
                <w:rFonts w:eastAsiaTheme="minorEastAsia" w:hint="eastAsia"/>
                <w:color w:val="000000" w:themeColor="text1"/>
                <w:kern w:val="0"/>
                <w:szCs w:val="21"/>
              </w:rPr>
              <w:t>项目</w:t>
            </w:r>
          </w:p>
        </w:tc>
        <w:tc>
          <w:tcPr>
            <w:tcW w:w="6379" w:type="dxa"/>
            <w:gridSpan w:val="5"/>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FC3DA7" w:rsidRPr="005B5C10" w:rsidRDefault="00FC3DA7" w:rsidP="006425F8">
            <w:pPr>
              <w:widowControl/>
              <w:autoSpaceDE w:val="0"/>
              <w:autoSpaceDN w:val="0"/>
              <w:adjustRightInd w:val="0"/>
              <w:spacing w:before="29"/>
              <w:jc w:val="center"/>
              <w:rPr>
                <w:rFonts w:eastAsiaTheme="minorEastAsia"/>
                <w:color w:val="000000" w:themeColor="text1"/>
                <w:kern w:val="0"/>
                <w:szCs w:val="21"/>
              </w:rPr>
            </w:pP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w:t>
            </w:r>
          </w:p>
        </w:tc>
      </w:tr>
      <w:tr w:rsidR="005B5C10" w:rsidRPr="005B5C10" w:rsidTr="006425F8">
        <w:trPr>
          <w:trHeight w:val="285"/>
        </w:trPr>
        <w:tc>
          <w:tcPr>
            <w:tcW w:w="2980" w:type="dxa"/>
            <w:gridSpan w:val="2"/>
            <w:vMerge/>
            <w:vAlign w:val="center"/>
            <w:hideMark/>
          </w:tcPr>
          <w:p w:rsidR="00FC3DA7" w:rsidRPr="005B5C10" w:rsidRDefault="00FC3DA7" w:rsidP="006425F8">
            <w:pPr>
              <w:widowControl/>
              <w:jc w:val="left"/>
              <w:rPr>
                <w:rFonts w:ascii="宋体" w:hAnsi="宋体" w:cs="宋体"/>
                <w:color w:val="000000" w:themeColor="text1"/>
                <w:kern w:val="0"/>
                <w:szCs w:val="21"/>
                <w:highlight w:val="green"/>
              </w:rPr>
            </w:pPr>
          </w:p>
        </w:tc>
        <w:tc>
          <w:tcPr>
            <w:tcW w:w="1296" w:type="dxa"/>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初始成本</w:t>
            </w:r>
          </w:p>
        </w:tc>
        <w:tc>
          <w:tcPr>
            <w:tcW w:w="1255" w:type="dxa"/>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利息调整</w:t>
            </w:r>
          </w:p>
        </w:tc>
        <w:tc>
          <w:tcPr>
            <w:tcW w:w="1276" w:type="dxa"/>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应计利息</w:t>
            </w:r>
          </w:p>
        </w:tc>
        <w:tc>
          <w:tcPr>
            <w:tcW w:w="1276" w:type="dxa"/>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减值准备</w:t>
            </w:r>
          </w:p>
        </w:tc>
        <w:tc>
          <w:tcPr>
            <w:tcW w:w="1276" w:type="dxa"/>
            <w:shd w:val="clear" w:color="auto" w:fill="auto"/>
            <w:vAlign w:val="center"/>
            <w:hideMark/>
          </w:tcPr>
          <w:p w:rsidR="00FC3DA7" w:rsidRPr="005B5C10" w:rsidRDefault="00FC3DA7" w:rsidP="006425F8">
            <w:pPr>
              <w:autoSpaceDE w:val="0"/>
              <w:autoSpaceDN w:val="0"/>
              <w:adjustRightInd w:val="0"/>
              <w:spacing w:before="29"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账面价值</w:t>
            </w:r>
          </w:p>
        </w:tc>
      </w:tr>
      <w:tr w:rsidR="005B5C10" w:rsidRPr="005B5C10" w:rsidTr="006425F8">
        <w:trPr>
          <w:trHeight w:val="283"/>
        </w:trPr>
        <w:tc>
          <w:tcPr>
            <w:tcW w:w="993" w:type="dxa"/>
            <w:vMerge w:val="restart"/>
            <w:shd w:val="clear" w:color="auto" w:fill="auto"/>
            <w:vAlign w:val="center"/>
            <w:hideMark/>
          </w:tcPr>
          <w:p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债券</w:t>
            </w:r>
          </w:p>
        </w:tc>
        <w:tc>
          <w:tcPr>
            <w:tcW w:w="1987" w:type="dxa"/>
            <w:shd w:val="clear" w:color="auto" w:fill="auto"/>
            <w:vAlign w:val="center"/>
            <w:hideMark/>
          </w:tcPr>
          <w:p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交易所市场</w:t>
            </w:r>
          </w:p>
        </w:tc>
        <w:tc>
          <w:tcPr>
            <w:tcW w:w="129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3,071,000,000.00</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-679,053.17</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72,453,268.77</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612,840.99</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3,142,161,374.61</w:t>
            </w:r>
          </w:p>
        </w:tc>
      </w:tr>
      <w:tr w:rsidR="005B5C10" w:rsidRPr="005B5C10" w:rsidTr="006425F8">
        <w:trPr>
          <w:trHeight w:val="283"/>
        </w:trPr>
        <w:tc>
          <w:tcPr>
            <w:tcW w:w="993" w:type="dxa"/>
            <w:vMerge/>
            <w:vAlign w:val="center"/>
            <w:hideMark/>
          </w:tcPr>
          <w:p w:rsidR="00FC3DA7" w:rsidRPr="005B5C10" w:rsidRDefault="00FC3DA7" w:rsidP="006425F8">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rsidR="00FC3DA7" w:rsidRPr="005B5C10" w:rsidRDefault="00FC3DA7" w:rsidP="006425F8">
            <w:pPr>
              <w:spacing w:line="360" w:lineRule="auto"/>
              <w:jc w:val="left"/>
              <w:rPr>
                <w:rFonts w:ascii="宋体" w:hAnsi="宋体" w:cs="宋体"/>
                <w:color w:val="000000" w:themeColor="text1"/>
                <w:kern w:val="0"/>
                <w:szCs w:val="21"/>
                <w:highlight w:val="green"/>
              </w:rPr>
            </w:pPr>
            <w:r w:rsidRPr="005B5C10">
              <w:rPr>
                <w:rFonts w:ascii="宋体" w:hAnsi="宋体" w:hint="eastAsia"/>
                <w:bCs/>
                <w:color w:val="000000" w:themeColor="text1"/>
                <w:szCs w:val="21"/>
              </w:rPr>
              <w:t>银行间市场</w:t>
            </w:r>
          </w:p>
        </w:tc>
        <w:tc>
          <w:tcPr>
            <w:tcW w:w="129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10,320,000,000.00</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53,280,287.28</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225,733,450.83</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10,599,013,738.11</w:t>
            </w:r>
          </w:p>
        </w:tc>
      </w:tr>
      <w:tr w:rsidR="005B5C10" w:rsidRPr="005B5C10" w:rsidTr="006425F8">
        <w:trPr>
          <w:trHeight w:val="285"/>
        </w:trPr>
        <w:tc>
          <w:tcPr>
            <w:tcW w:w="993" w:type="dxa"/>
            <w:vMerge/>
            <w:vAlign w:val="center"/>
            <w:hideMark/>
          </w:tcPr>
          <w:p w:rsidR="00FC3DA7" w:rsidRPr="005B5C10" w:rsidRDefault="00FC3DA7" w:rsidP="006425F8">
            <w:pPr>
              <w:widowControl/>
              <w:jc w:val="left"/>
              <w:rPr>
                <w:rFonts w:ascii="宋体" w:hAnsi="宋体" w:cs="宋体"/>
                <w:color w:val="000000" w:themeColor="text1"/>
                <w:kern w:val="0"/>
                <w:szCs w:val="21"/>
                <w:highlight w:val="green"/>
              </w:rPr>
            </w:pPr>
          </w:p>
        </w:tc>
        <w:tc>
          <w:tcPr>
            <w:tcW w:w="1987" w:type="dxa"/>
            <w:shd w:val="clear" w:color="auto" w:fill="auto"/>
            <w:vAlign w:val="center"/>
            <w:hideMark/>
          </w:tcPr>
          <w:p w:rsidR="00FC3DA7" w:rsidRPr="005B5C10" w:rsidRDefault="00FC3DA7" w:rsidP="006425F8">
            <w:pPr>
              <w:spacing w:line="360" w:lineRule="auto"/>
              <w:jc w:val="left"/>
              <w:rPr>
                <w:rFonts w:ascii="宋体" w:hAnsi="宋体" w:cs="宋体"/>
                <w:color w:val="000000" w:themeColor="text1"/>
                <w:kern w:val="0"/>
                <w:szCs w:val="21"/>
                <w:highlight w:val="green"/>
              </w:rPr>
            </w:pPr>
            <w:r w:rsidRPr="005B5C10">
              <w:rPr>
                <w:rFonts w:ascii="宋体" w:hAnsi="宋体" w:hint="eastAsia"/>
                <w:bCs/>
                <w:color w:val="000000" w:themeColor="text1"/>
                <w:szCs w:val="21"/>
              </w:rPr>
              <w:t>小计</w:t>
            </w:r>
          </w:p>
        </w:tc>
        <w:tc>
          <w:tcPr>
            <w:tcW w:w="129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13,391,000,000.00</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52,601,234.11</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298,186,719.60</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612,840.99</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13,741,175,112.72</w:t>
            </w:r>
          </w:p>
        </w:tc>
      </w:tr>
      <w:tr w:rsidR="005B5C10" w:rsidRPr="005B5C10" w:rsidTr="006425F8">
        <w:trPr>
          <w:trHeight w:val="285"/>
        </w:trPr>
        <w:tc>
          <w:tcPr>
            <w:tcW w:w="2980" w:type="dxa"/>
            <w:gridSpan w:val="2"/>
            <w:shd w:val="clear" w:color="auto" w:fill="auto"/>
            <w:vAlign w:val="center"/>
            <w:hideMark/>
          </w:tcPr>
          <w:p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资产支持证券</w:t>
            </w:r>
          </w:p>
        </w:tc>
        <w:tc>
          <w:tcPr>
            <w:tcW w:w="1296" w:type="dxa"/>
            <w:shd w:val="clear" w:color="auto" w:fill="auto"/>
            <w:vAlign w:val="center"/>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425F8">
        <w:trPr>
          <w:trHeight w:val="285"/>
        </w:trPr>
        <w:tc>
          <w:tcPr>
            <w:tcW w:w="2980" w:type="dxa"/>
            <w:gridSpan w:val="2"/>
            <w:shd w:val="clear" w:color="auto" w:fill="auto"/>
            <w:vAlign w:val="center"/>
            <w:hideMark/>
          </w:tcPr>
          <w:p w:rsidR="00FC3DA7" w:rsidRPr="005B5C10" w:rsidRDefault="00FC3DA7" w:rsidP="006425F8">
            <w:pPr>
              <w:spacing w:line="360" w:lineRule="auto"/>
              <w:jc w:val="left"/>
              <w:rPr>
                <w:rFonts w:ascii="宋体" w:hAnsi="宋体"/>
                <w:bCs/>
                <w:color w:val="000000" w:themeColor="text1"/>
                <w:szCs w:val="21"/>
              </w:rPr>
            </w:pPr>
            <w:r w:rsidRPr="005B5C10">
              <w:rPr>
                <w:rFonts w:ascii="宋体" w:hAnsi="宋体" w:hint="eastAsia"/>
                <w:bCs/>
                <w:color w:val="000000" w:themeColor="text1"/>
                <w:szCs w:val="21"/>
              </w:rPr>
              <w:t>其他</w:t>
            </w:r>
          </w:p>
        </w:tc>
        <w:tc>
          <w:tcPr>
            <w:tcW w:w="1296" w:type="dxa"/>
            <w:shd w:val="clear" w:color="auto" w:fill="auto"/>
            <w:vAlign w:val="center"/>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6425F8">
        <w:trPr>
          <w:trHeight w:val="285"/>
        </w:trPr>
        <w:tc>
          <w:tcPr>
            <w:tcW w:w="2980" w:type="dxa"/>
            <w:gridSpan w:val="2"/>
            <w:shd w:val="clear" w:color="auto" w:fill="auto"/>
            <w:vAlign w:val="center"/>
            <w:hideMark/>
          </w:tcPr>
          <w:p w:rsidR="00FC3DA7" w:rsidRPr="005B5C10" w:rsidRDefault="00FC3DA7" w:rsidP="006425F8">
            <w:pPr>
              <w:spacing w:line="360" w:lineRule="auto"/>
              <w:jc w:val="center"/>
              <w:rPr>
                <w:rFonts w:ascii="宋体" w:hAnsi="宋体"/>
                <w:bCs/>
                <w:color w:val="000000" w:themeColor="text1"/>
                <w:szCs w:val="21"/>
              </w:rPr>
            </w:pPr>
            <w:r w:rsidRPr="005B5C10">
              <w:rPr>
                <w:rFonts w:ascii="宋体" w:hAnsi="宋体" w:hint="eastAsia"/>
                <w:bCs/>
                <w:color w:val="000000" w:themeColor="text1"/>
                <w:szCs w:val="21"/>
              </w:rPr>
              <w:t>合计</w:t>
            </w:r>
          </w:p>
        </w:tc>
        <w:tc>
          <w:tcPr>
            <w:tcW w:w="1296" w:type="dxa"/>
            <w:shd w:val="clear" w:color="auto" w:fill="auto"/>
            <w:vAlign w:val="center"/>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13,391,000,000.00</w:t>
            </w:r>
          </w:p>
        </w:tc>
        <w:tc>
          <w:tcPr>
            <w:tcW w:w="1255"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52,601,234.11</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298,186,719.60</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612,840.99</w:t>
            </w:r>
          </w:p>
        </w:tc>
        <w:tc>
          <w:tcPr>
            <w:tcW w:w="1276" w:type="dxa"/>
            <w:shd w:val="clear" w:color="auto" w:fill="auto"/>
            <w:hideMark/>
          </w:tcPr>
          <w:p w:rsidR="00FC3DA7" w:rsidRPr="005B5C10" w:rsidRDefault="00FC3DA7" w:rsidP="001D2611">
            <w:pPr>
              <w:spacing w:line="360" w:lineRule="auto"/>
              <w:jc w:val="right"/>
              <w:rPr>
                <w:rFonts w:eastAsiaTheme="minorEastAsia"/>
                <w:color w:val="000000" w:themeColor="text1"/>
                <w:szCs w:val="21"/>
              </w:rPr>
            </w:pPr>
            <w:r w:rsidRPr="005B5C10">
              <w:rPr>
                <w:rFonts w:eastAsiaTheme="minorEastAsia"/>
                <w:color w:val="000000" w:themeColor="text1"/>
                <w:szCs w:val="21"/>
              </w:rPr>
              <w:t>13,741,175,112.72</w:t>
            </w:r>
          </w:p>
        </w:tc>
      </w:tr>
    </w:tbl>
    <w:p w:rsidR="003F0477" w:rsidRPr="005B5C10" w:rsidRDefault="003F0477" w:rsidP="00FE0A24">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6.4.7.5.2 </w:t>
      </w:r>
      <w:r w:rsidRPr="005B5C10">
        <w:rPr>
          <w:rFonts w:eastAsiaTheme="minorEastAsia" w:hint="eastAsia"/>
          <w:b/>
          <w:bCs/>
          <w:color w:val="000000" w:themeColor="text1"/>
          <w:kern w:val="0"/>
          <w:szCs w:val="21"/>
        </w:rPr>
        <w:t>债权投资减值准备计提情况</w:t>
      </w:r>
    </w:p>
    <w:p w:rsidR="003F0477" w:rsidRPr="005B5C10" w:rsidRDefault="003F0477" w:rsidP="003F0477">
      <w:pPr>
        <w:autoSpaceDE w:val="0"/>
        <w:autoSpaceDN w:val="0"/>
        <w:adjustRightInd w:val="0"/>
        <w:spacing w:before="29" w:line="288"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5B5C10" w:rsidRPr="005B5C10" w:rsidTr="003F0477">
        <w:tc>
          <w:tcPr>
            <w:tcW w:w="1962" w:type="dxa"/>
            <w:vMerge w:val="restart"/>
            <w:shd w:val="clear" w:color="auto" w:fill="auto"/>
            <w:vAlign w:val="center"/>
          </w:tcPr>
          <w:p w:rsidR="003F0477" w:rsidRPr="005B5C10" w:rsidRDefault="003F0477" w:rsidP="00FE0A24">
            <w:pPr>
              <w:autoSpaceDE w:val="0"/>
              <w:autoSpaceDN w:val="0"/>
              <w:adjustRightInd w:val="0"/>
              <w:spacing w:before="29" w:line="360" w:lineRule="auto"/>
              <w:jc w:val="center"/>
              <w:rPr>
                <w:rFonts w:ascii="宋体" w:hAnsi="宋体"/>
                <w:bCs/>
                <w:color w:val="000000" w:themeColor="text1"/>
                <w:szCs w:val="21"/>
              </w:rPr>
            </w:pPr>
            <w:r w:rsidRPr="005B5C10">
              <w:rPr>
                <w:rFonts w:eastAsiaTheme="minorEastAsia" w:hint="eastAsia"/>
                <w:color w:val="000000" w:themeColor="text1"/>
                <w:kern w:val="0"/>
                <w:szCs w:val="21"/>
              </w:rPr>
              <w:lastRenderedPageBreak/>
              <w:t>减值准备</w:t>
            </w:r>
          </w:p>
        </w:tc>
        <w:tc>
          <w:tcPr>
            <w:tcW w:w="1753" w:type="dxa"/>
            <w:shd w:val="clear" w:color="auto" w:fill="auto"/>
          </w:tcPr>
          <w:p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第一阶段</w:t>
            </w:r>
          </w:p>
        </w:tc>
        <w:tc>
          <w:tcPr>
            <w:tcW w:w="1857" w:type="dxa"/>
            <w:shd w:val="clear" w:color="auto" w:fill="auto"/>
          </w:tcPr>
          <w:p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第二阶段</w:t>
            </w:r>
          </w:p>
        </w:tc>
        <w:tc>
          <w:tcPr>
            <w:tcW w:w="1857" w:type="dxa"/>
            <w:shd w:val="clear" w:color="auto" w:fill="auto"/>
          </w:tcPr>
          <w:p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第三阶段</w:t>
            </w:r>
          </w:p>
        </w:tc>
        <w:tc>
          <w:tcPr>
            <w:tcW w:w="1857" w:type="dxa"/>
            <w:vMerge w:val="restart"/>
            <w:shd w:val="clear" w:color="auto" w:fill="auto"/>
            <w:vAlign w:val="center"/>
          </w:tcPr>
          <w:p w:rsidR="003F0477" w:rsidRPr="005B5C10" w:rsidRDefault="003F0477" w:rsidP="00FE0A24">
            <w:pPr>
              <w:spacing w:line="360" w:lineRule="auto"/>
              <w:jc w:val="center"/>
              <w:rPr>
                <w:rFonts w:ascii="宋体" w:hAnsi="宋体"/>
                <w:bCs/>
                <w:color w:val="000000" w:themeColor="text1"/>
                <w:szCs w:val="21"/>
              </w:rPr>
            </w:pPr>
            <w:r w:rsidRPr="005B5C10">
              <w:rPr>
                <w:rFonts w:eastAsiaTheme="minorEastAsia" w:hint="eastAsia"/>
                <w:color w:val="000000" w:themeColor="text1"/>
                <w:kern w:val="0"/>
                <w:szCs w:val="21"/>
              </w:rPr>
              <w:t>合计</w:t>
            </w:r>
          </w:p>
        </w:tc>
      </w:tr>
      <w:tr w:rsidR="005B5C10" w:rsidRPr="005B5C10" w:rsidTr="003F0477">
        <w:tc>
          <w:tcPr>
            <w:tcW w:w="1962" w:type="dxa"/>
            <w:vMerge/>
            <w:shd w:val="clear" w:color="auto" w:fill="auto"/>
          </w:tcPr>
          <w:p w:rsidR="003F0477" w:rsidRPr="005B5C10" w:rsidRDefault="003F0477" w:rsidP="003F0477">
            <w:pPr>
              <w:rPr>
                <w:rFonts w:ascii="宋体" w:hAnsi="宋体"/>
                <w:bCs/>
                <w:color w:val="000000" w:themeColor="text1"/>
                <w:szCs w:val="21"/>
              </w:rPr>
            </w:pPr>
          </w:p>
        </w:tc>
        <w:tc>
          <w:tcPr>
            <w:tcW w:w="1753" w:type="dxa"/>
            <w:shd w:val="clear" w:color="auto" w:fill="auto"/>
            <w:vAlign w:val="center"/>
          </w:tcPr>
          <w:p w:rsidR="003F0477" w:rsidRPr="005B5C10" w:rsidRDefault="003F0477" w:rsidP="00FE0A24">
            <w:pPr>
              <w:spacing w:line="360" w:lineRule="auto"/>
              <w:jc w:val="center"/>
              <w:rPr>
                <w:rFonts w:eastAsiaTheme="minorEastAsia"/>
                <w:color w:val="000000" w:themeColor="text1"/>
                <w:kern w:val="0"/>
                <w:szCs w:val="21"/>
              </w:rPr>
            </w:pPr>
            <w:r w:rsidRPr="005B5C10">
              <w:rPr>
                <w:rFonts w:eastAsiaTheme="minorEastAsia" w:hint="eastAsia"/>
                <w:color w:val="000000" w:themeColor="text1"/>
                <w:kern w:val="0"/>
                <w:szCs w:val="21"/>
              </w:rPr>
              <w:t>未来</w:t>
            </w:r>
            <w:r w:rsidRPr="005B5C10">
              <w:rPr>
                <w:rFonts w:eastAsiaTheme="minorEastAsia" w:hint="eastAsia"/>
                <w:color w:val="000000" w:themeColor="text1"/>
                <w:kern w:val="0"/>
                <w:szCs w:val="21"/>
              </w:rPr>
              <w:t>12</w:t>
            </w:r>
            <w:r w:rsidRPr="005B5C10">
              <w:rPr>
                <w:rFonts w:eastAsiaTheme="minorEastAsia" w:hint="eastAsia"/>
                <w:color w:val="000000" w:themeColor="text1"/>
                <w:kern w:val="0"/>
                <w:szCs w:val="21"/>
              </w:rPr>
              <w:t>个月预期信用损失</w:t>
            </w:r>
          </w:p>
        </w:tc>
        <w:tc>
          <w:tcPr>
            <w:tcW w:w="1857" w:type="dxa"/>
            <w:shd w:val="clear" w:color="auto" w:fill="auto"/>
          </w:tcPr>
          <w:p w:rsidR="003F0477" w:rsidRPr="005B5C10" w:rsidRDefault="003F0477" w:rsidP="00FE0A24">
            <w:pPr>
              <w:spacing w:line="360" w:lineRule="auto"/>
              <w:rPr>
                <w:rFonts w:eastAsiaTheme="minorEastAsia"/>
                <w:color w:val="000000" w:themeColor="text1"/>
                <w:kern w:val="0"/>
                <w:szCs w:val="21"/>
              </w:rPr>
            </w:pPr>
            <w:r w:rsidRPr="005B5C10">
              <w:rPr>
                <w:rFonts w:eastAsiaTheme="minorEastAsia" w:hint="eastAsia"/>
                <w:color w:val="000000" w:themeColor="text1"/>
                <w:kern w:val="0"/>
                <w:szCs w:val="21"/>
              </w:rPr>
              <w:t>整个存续期预期信用损失</w:t>
            </w:r>
            <w:r w:rsidRPr="005B5C10">
              <w:rPr>
                <w:rFonts w:eastAsiaTheme="minorEastAsia" w:hint="eastAsia"/>
                <w:color w:val="000000" w:themeColor="text1"/>
                <w:kern w:val="0"/>
                <w:szCs w:val="21"/>
              </w:rPr>
              <w:t>(</w:t>
            </w:r>
            <w:r w:rsidRPr="005B5C10">
              <w:rPr>
                <w:rFonts w:eastAsiaTheme="minorEastAsia" w:hint="eastAsia"/>
                <w:color w:val="000000" w:themeColor="text1"/>
                <w:kern w:val="0"/>
                <w:szCs w:val="21"/>
              </w:rPr>
              <w:t>未发生信用减值</w:t>
            </w:r>
            <w:r w:rsidRPr="005B5C10">
              <w:rPr>
                <w:rFonts w:eastAsiaTheme="minorEastAsia" w:hint="eastAsia"/>
                <w:color w:val="000000" w:themeColor="text1"/>
                <w:kern w:val="0"/>
                <w:szCs w:val="21"/>
              </w:rPr>
              <w:t>)</w:t>
            </w:r>
          </w:p>
        </w:tc>
        <w:tc>
          <w:tcPr>
            <w:tcW w:w="1857" w:type="dxa"/>
            <w:shd w:val="clear" w:color="auto" w:fill="auto"/>
          </w:tcPr>
          <w:p w:rsidR="003F0477" w:rsidRPr="005B5C10" w:rsidRDefault="003F0477" w:rsidP="00FE0A24">
            <w:pPr>
              <w:spacing w:line="360" w:lineRule="auto"/>
              <w:rPr>
                <w:rFonts w:eastAsiaTheme="minorEastAsia"/>
                <w:color w:val="000000" w:themeColor="text1"/>
                <w:kern w:val="0"/>
                <w:szCs w:val="21"/>
              </w:rPr>
            </w:pPr>
            <w:r w:rsidRPr="005B5C10">
              <w:rPr>
                <w:rFonts w:eastAsiaTheme="minorEastAsia" w:hint="eastAsia"/>
                <w:color w:val="000000" w:themeColor="text1"/>
                <w:kern w:val="0"/>
                <w:szCs w:val="21"/>
              </w:rPr>
              <w:t>整个存续期预期信用损失</w:t>
            </w:r>
            <w:r w:rsidRPr="005B5C10">
              <w:rPr>
                <w:rFonts w:eastAsiaTheme="minorEastAsia" w:hint="eastAsia"/>
                <w:color w:val="000000" w:themeColor="text1"/>
                <w:kern w:val="0"/>
                <w:szCs w:val="21"/>
              </w:rPr>
              <w:t>(</w:t>
            </w:r>
            <w:r w:rsidRPr="005B5C10">
              <w:rPr>
                <w:rFonts w:eastAsiaTheme="minorEastAsia" w:hint="eastAsia"/>
                <w:color w:val="000000" w:themeColor="text1"/>
                <w:kern w:val="0"/>
                <w:szCs w:val="21"/>
              </w:rPr>
              <w:t>已发生信用减值</w:t>
            </w:r>
            <w:r w:rsidRPr="005B5C10">
              <w:rPr>
                <w:rFonts w:eastAsiaTheme="minorEastAsia" w:hint="eastAsia"/>
                <w:color w:val="000000" w:themeColor="text1"/>
                <w:kern w:val="0"/>
                <w:szCs w:val="21"/>
              </w:rPr>
              <w:t>)</w:t>
            </w:r>
          </w:p>
        </w:tc>
        <w:tc>
          <w:tcPr>
            <w:tcW w:w="1857" w:type="dxa"/>
            <w:vMerge/>
            <w:shd w:val="clear" w:color="auto" w:fill="auto"/>
          </w:tcPr>
          <w:p w:rsidR="003F0477" w:rsidRPr="005B5C10" w:rsidRDefault="003F0477" w:rsidP="003F0477">
            <w:pPr>
              <w:rPr>
                <w:rFonts w:ascii="宋体" w:hAnsi="宋体"/>
                <w:bCs/>
                <w:color w:val="000000" w:themeColor="text1"/>
                <w:szCs w:val="21"/>
              </w:rPr>
            </w:pPr>
          </w:p>
        </w:tc>
      </w:tr>
      <w:tr w:rsidR="00D52797" w:rsidRPr="005B5C10" w:rsidTr="0052248F">
        <w:tc>
          <w:tcPr>
            <w:tcW w:w="1962" w:type="dxa"/>
            <w:shd w:val="clear" w:color="auto" w:fill="auto"/>
            <w:vAlign w:val="center"/>
          </w:tcPr>
          <w:p w:rsidR="00D52797" w:rsidRPr="005B5C10" w:rsidRDefault="00D5279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期初余额</w:t>
            </w:r>
          </w:p>
        </w:tc>
        <w:tc>
          <w:tcPr>
            <w:tcW w:w="1753" w:type="dxa"/>
            <w:shd w:val="clear" w:color="auto" w:fill="auto"/>
            <w:vAlign w:val="center"/>
          </w:tcPr>
          <w:p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570,536.07</w:t>
            </w:r>
          </w:p>
        </w:tc>
        <w:tc>
          <w:tcPr>
            <w:tcW w:w="1857" w:type="dxa"/>
            <w:shd w:val="clear" w:color="auto" w:fill="auto"/>
            <w:vAlign w:val="center"/>
          </w:tcPr>
          <w:p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w:t>
            </w:r>
          </w:p>
        </w:tc>
        <w:tc>
          <w:tcPr>
            <w:tcW w:w="1857" w:type="dxa"/>
            <w:shd w:val="clear" w:color="auto" w:fill="auto"/>
            <w:vAlign w:val="center"/>
          </w:tcPr>
          <w:p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w:t>
            </w:r>
          </w:p>
        </w:tc>
        <w:tc>
          <w:tcPr>
            <w:tcW w:w="1857" w:type="dxa"/>
            <w:shd w:val="clear" w:color="auto" w:fill="auto"/>
            <w:vAlign w:val="center"/>
          </w:tcPr>
          <w:p w:rsidR="00D52797" w:rsidRPr="005B5C10" w:rsidRDefault="00D52797" w:rsidP="00D52797">
            <w:pPr>
              <w:jc w:val="right"/>
              <w:rPr>
                <w:rFonts w:eastAsiaTheme="minorEastAsia"/>
                <w:color w:val="000000" w:themeColor="text1"/>
                <w:szCs w:val="21"/>
              </w:rPr>
            </w:pPr>
            <w:r w:rsidRPr="00D52797">
              <w:rPr>
                <w:rFonts w:eastAsiaTheme="minorEastAsia"/>
                <w:color w:val="000000" w:themeColor="text1"/>
                <w:szCs w:val="21"/>
              </w:rPr>
              <w:t>570,536.07</w:t>
            </w:r>
          </w:p>
        </w:tc>
      </w:tr>
      <w:tr w:rsidR="005B5C10" w:rsidRPr="005B5C10" w:rsidTr="0052248F">
        <w:tc>
          <w:tcPr>
            <w:tcW w:w="1962" w:type="dxa"/>
            <w:shd w:val="clear" w:color="auto" w:fill="auto"/>
            <w:vAlign w:val="center"/>
          </w:tcPr>
          <w:p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本期从</w:t>
            </w:r>
            <w:r w:rsidRPr="00D52797">
              <w:rPr>
                <w:rFonts w:eastAsiaTheme="minorEastAsia"/>
                <w:color w:val="000000" w:themeColor="text1"/>
                <w:szCs w:val="21"/>
              </w:rPr>
              <w:t>其他阶段</w:t>
            </w:r>
            <w:r w:rsidRPr="00D52797">
              <w:rPr>
                <w:rFonts w:eastAsiaTheme="minorEastAsia" w:hint="eastAsia"/>
                <w:color w:val="000000" w:themeColor="text1"/>
                <w:szCs w:val="21"/>
              </w:rPr>
              <w:t>转入</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52248F">
        <w:tc>
          <w:tcPr>
            <w:tcW w:w="1962" w:type="dxa"/>
            <w:shd w:val="clear" w:color="auto" w:fill="auto"/>
            <w:vAlign w:val="center"/>
          </w:tcPr>
          <w:p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本期转出至</w:t>
            </w:r>
            <w:r w:rsidRPr="00D52797">
              <w:rPr>
                <w:rFonts w:eastAsiaTheme="minorEastAsia"/>
                <w:color w:val="000000" w:themeColor="text1"/>
                <w:szCs w:val="21"/>
              </w:rPr>
              <w:t>其他阶段</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52248F">
        <w:tc>
          <w:tcPr>
            <w:tcW w:w="1962" w:type="dxa"/>
            <w:shd w:val="clear" w:color="auto" w:fill="auto"/>
            <w:vAlign w:val="center"/>
          </w:tcPr>
          <w:p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本期新增</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44,156.82</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44,156.82</w:t>
            </w:r>
          </w:p>
        </w:tc>
      </w:tr>
      <w:tr w:rsidR="005B5C10" w:rsidRPr="005B5C10" w:rsidTr="0052248F">
        <w:tc>
          <w:tcPr>
            <w:tcW w:w="1962" w:type="dxa"/>
            <w:shd w:val="clear" w:color="auto" w:fill="auto"/>
            <w:vAlign w:val="center"/>
          </w:tcPr>
          <w:p w:rsidR="003F0477" w:rsidRPr="005B5C10" w:rsidRDefault="003F0477" w:rsidP="00D52797">
            <w:pPr>
              <w:spacing w:line="360" w:lineRule="auto"/>
              <w:rPr>
                <w:rFonts w:ascii="宋体" w:hAnsi="宋体"/>
                <w:color w:val="000000" w:themeColor="text1"/>
                <w:sz w:val="24"/>
              </w:rPr>
            </w:pPr>
            <w:r w:rsidRPr="00D52797">
              <w:rPr>
                <w:rFonts w:eastAsiaTheme="minorEastAsia" w:hint="eastAsia"/>
                <w:color w:val="000000" w:themeColor="text1"/>
                <w:szCs w:val="21"/>
              </w:rPr>
              <w:t>本期转回</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1,851.90</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1,851.90</w:t>
            </w:r>
          </w:p>
        </w:tc>
      </w:tr>
      <w:tr w:rsidR="005B5C10" w:rsidRPr="005B5C10" w:rsidTr="0052248F">
        <w:tc>
          <w:tcPr>
            <w:tcW w:w="1962" w:type="dxa"/>
            <w:shd w:val="clear" w:color="auto" w:fill="auto"/>
            <w:vAlign w:val="center"/>
          </w:tcPr>
          <w:p w:rsidR="003F0477" w:rsidRPr="005B5C10" w:rsidRDefault="003F0477" w:rsidP="00FE0A24">
            <w:pPr>
              <w:spacing w:line="360" w:lineRule="auto"/>
              <w:rPr>
                <w:rFonts w:ascii="宋体" w:hAnsi="宋体"/>
                <w:bCs/>
                <w:color w:val="000000" w:themeColor="text1"/>
                <w:szCs w:val="21"/>
              </w:rPr>
            </w:pPr>
            <w:r w:rsidRPr="005B5C10">
              <w:rPr>
                <w:rFonts w:eastAsiaTheme="minorEastAsia" w:hint="eastAsia"/>
                <w:color w:val="000000" w:themeColor="text1"/>
                <w:szCs w:val="21"/>
              </w:rPr>
              <w:t>其他变动</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r>
      <w:tr w:rsidR="005B5C10" w:rsidRPr="005B5C10" w:rsidTr="0052248F">
        <w:tc>
          <w:tcPr>
            <w:tcW w:w="1962" w:type="dxa"/>
            <w:shd w:val="clear" w:color="auto" w:fill="auto"/>
            <w:vAlign w:val="center"/>
          </w:tcPr>
          <w:p w:rsidR="003F0477" w:rsidRPr="005B5C10" w:rsidRDefault="003F0477" w:rsidP="00924E1A">
            <w:pPr>
              <w:spacing w:line="360" w:lineRule="auto"/>
              <w:rPr>
                <w:rFonts w:ascii="宋体" w:hAnsi="宋体"/>
                <w:bCs/>
                <w:color w:val="000000" w:themeColor="text1"/>
                <w:szCs w:val="21"/>
              </w:rPr>
            </w:pPr>
            <w:r w:rsidRPr="005B5C10">
              <w:rPr>
                <w:rFonts w:eastAsiaTheme="minorEastAsia" w:hint="eastAsia"/>
                <w:color w:val="000000" w:themeColor="text1"/>
                <w:szCs w:val="21"/>
              </w:rPr>
              <w:t>期末余额</w:t>
            </w:r>
          </w:p>
        </w:tc>
        <w:tc>
          <w:tcPr>
            <w:tcW w:w="1753"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612,840.99</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w:t>
            </w:r>
          </w:p>
        </w:tc>
        <w:tc>
          <w:tcPr>
            <w:tcW w:w="1857" w:type="dxa"/>
            <w:shd w:val="clear" w:color="auto" w:fill="auto"/>
            <w:vAlign w:val="center"/>
          </w:tcPr>
          <w:p w:rsidR="003F0477" w:rsidRPr="005B5C10" w:rsidRDefault="003F0477" w:rsidP="00674A57">
            <w:pPr>
              <w:jc w:val="right"/>
              <w:rPr>
                <w:rFonts w:eastAsiaTheme="minorEastAsia"/>
                <w:color w:val="000000" w:themeColor="text1"/>
                <w:szCs w:val="21"/>
              </w:rPr>
            </w:pPr>
            <w:r w:rsidRPr="005B5C10">
              <w:rPr>
                <w:rFonts w:eastAsiaTheme="minorEastAsia"/>
                <w:color w:val="000000" w:themeColor="text1"/>
                <w:szCs w:val="21"/>
              </w:rPr>
              <w:t>612,840.99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其他资产</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其他负债</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rsidTr="00443EF8">
        <w:trPr>
          <w:trHeight w:val="330"/>
        </w:trPr>
        <w:tc>
          <w:tcPr>
            <w:tcW w:w="372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119,244.00</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443EF8">
        <w:trPr>
          <w:trHeight w:val="325"/>
        </w:trPr>
        <w:tc>
          <w:tcPr>
            <w:tcW w:w="3725" w:type="dxa"/>
            <w:vAlign w:val="bottom"/>
          </w:tcPr>
          <w:p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119,244.00</w:t>
            </w:r>
          </w:p>
        </w:tc>
      </w:tr>
      <w:tr w:rsidR="008148A4" w:rsidRPr="005B5C10" w:rsidTr="00213A41">
        <w:trPr>
          <w:trHeight w:val="325"/>
        </w:trPr>
        <w:tc>
          <w:tcPr>
            <w:tcW w:w="3725" w:type="dxa"/>
            <w:vAlign w:val="bottom"/>
          </w:tcPr>
          <w:p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AF52A5">
        <w:tc>
          <w:tcPr>
            <w:tcW w:w="3725" w:type="dxa"/>
            <w:vAlign w:val="center"/>
          </w:tcPr>
          <w:p w:rsidR="00AF52A5" w:rsidRDefault="00DD1EC6">
            <w:pPr>
              <w:jc w:val="left"/>
            </w:pPr>
            <w:r>
              <w:rPr>
                <w:rFonts w:eastAsiaTheme="minorEastAsia"/>
                <w:color w:val="000000" w:themeColor="text1"/>
                <w:szCs w:val="21"/>
              </w:rPr>
              <w:t>预提费用</w:t>
            </w:r>
          </w:p>
        </w:tc>
        <w:tc>
          <w:tcPr>
            <w:tcW w:w="5504" w:type="dxa"/>
            <w:vAlign w:val="center"/>
          </w:tcPr>
          <w:p w:rsidR="00AF52A5" w:rsidRDefault="00DD1EC6">
            <w:pPr>
              <w:jc w:val="right"/>
            </w:pPr>
            <w:r>
              <w:rPr>
                <w:rFonts w:eastAsiaTheme="minorEastAsia"/>
                <w:color w:val="000000" w:themeColor="text1"/>
                <w:szCs w:val="21"/>
              </w:rPr>
              <w:t>381,452.03</w:t>
            </w:r>
          </w:p>
        </w:tc>
      </w:tr>
      <w:tr w:rsidR="008148A4" w:rsidRPr="005B5C10" w:rsidTr="00443EF8">
        <w:trPr>
          <w:trHeight w:val="325"/>
        </w:trPr>
        <w:tc>
          <w:tcPr>
            <w:tcW w:w="3725" w:type="dxa"/>
            <w:vAlign w:val="center"/>
          </w:tcPr>
          <w:p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500,696.03</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实收基金</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tc>
          <w:tcPr>
            <w:tcW w:w="3119" w:type="dxa"/>
            <w:vMerge w:val="restart"/>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lastRenderedPageBreak/>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119" w:type="dxa"/>
            <w:vMerge/>
            <w:vAlign w:val="center"/>
          </w:tcPr>
          <w:p w:rsidR="006B65E1" w:rsidRPr="005B5C10" w:rsidRDefault="006B65E1">
            <w:pPr>
              <w:widowControl/>
              <w:jc w:val="left"/>
              <w:rPr>
                <w:rFonts w:eastAsiaTheme="minorEastAsia"/>
                <w:color w:val="000000" w:themeColor="text1"/>
                <w:szCs w:val="21"/>
              </w:rPr>
            </w:pPr>
          </w:p>
        </w:tc>
        <w:tc>
          <w:tcPr>
            <w:tcW w:w="287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119"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c>
          <w:tcPr>
            <w:tcW w:w="3364"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未分配利润</w:t>
      </w:r>
    </w:p>
    <w:p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rsidTr="00FA08C3">
        <w:tc>
          <w:tcPr>
            <w:tcW w:w="27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291,517,087.73</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w:t>
            </w:r>
          </w:p>
        </w:tc>
        <w:tc>
          <w:tcPr>
            <w:tcW w:w="2100" w:type="dxa"/>
            <w:vAlign w:val="bottom"/>
          </w:tcPr>
          <w:p w:rsidR="006161B4" w:rsidRPr="00C56F63" w:rsidRDefault="006161B4" w:rsidP="00FA08C3">
            <w:pPr>
              <w:jc w:val="right"/>
              <w:rPr>
                <w:rFonts w:eastAsiaTheme="minorEastAsia"/>
                <w:szCs w:val="21"/>
              </w:rPr>
            </w:pPr>
            <w:r w:rsidRPr="005B5C10">
              <w:rPr>
                <w:color w:val="000000" w:themeColor="text1"/>
                <w:szCs w:val="21"/>
              </w:rPr>
              <w:t>291,517,087.73</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162,756,106.04</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162,756,106.04</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center"/>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rsidTr="00FA08C3">
        <w:tc>
          <w:tcPr>
            <w:tcW w:w="2700" w:type="dxa"/>
            <w:vAlign w:val="center"/>
          </w:tcPr>
          <w:p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454,273,193.77</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rsidR="006161B4" w:rsidRPr="00C56F63" w:rsidRDefault="006161B4" w:rsidP="00FA08C3">
            <w:pPr>
              <w:jc w:val="right"/>
              <w:rPr>
                <w:rFonts w:eastAsiaTheme="minorEastAsia"/>
                <w:szCs w:val="21"/>
              </w:rPr>
            </w:pPr>
            <w:r w:rsidRPr="00C56F63">
              <w:rPr>
                <w:rFonts w:eastAsiaTheme="minorEastAsia"/>
                <w:szCs w:val="21"/>
              </w:rPr>
              <w:t>454,273,193.77</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存款利息收入</w:t>
      </w:r>
    </w:p>
    <w:p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tc>
          <w:tcPr>
            <w:tcW w:w="382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17,516.50</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1,589,071.79</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3828"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1,606,588.29</w:t>
            </w:r>
          </w:p>
        </w:tc>
      </w:tr>
    </w:tbl>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6.4.7.11 </w:t>
      </w:r>
      <w:r w:rsidRPr="005B5C10">
        <w:rPr>
          <w:rFonts w:eastAsiaTheme="minorEastAsia"/>
          <w:b/>
          <w:color w:val="000000" w:themeColor="text1"/>
          <w:szCs w:val="21"/>
        </w:rPr>
        <w:t>股票投资收益</w:t>
      </w:r>
    </w:p>
    <w:p w:rsidR="006B65E1" w:rsidRPr="005B5C10" w:rsidRDefault="00945F2E">
      <w:pPr>
        <w:spacing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6.4.7.11.1 </w:t>
      </w:r>
      <w:r w:rsidRPr="005B5C10">
        <w:rPr>
          <w:rFonts w:eastAsiaTheme="minorEastAsia"/>
          <w:b/>
          <w:color w:val="000000" w:themeColor="text1"/>
          <w:szCs w:val="21"/>
        </w:rPr>
        <w:t>股票投资收益项目构成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6.4.7.11.2 </w:t>
      </w:r>
      <w:r w:rsidRPr="005B5C10">
        <w:rPr>
          <w:rFonts w:eastAsiaTheme="minorEastAsia"/>
          <w:b/>
          <w:color w:val="000000" w:themeColor="text1"/>
          <w:szCs w:val="21"/>
        </w:rPr>
        <w:t>股票投资收益</w:t>
      </w:r>
      <w:r w:rsidRPr="005B5C10">
        <w:rPr>
          <w:rFonts w:eastAsiaTheme="minorEastAsia"/>
          <w:b/>
          <w:color w:val="000000" w:themeColor="text1"/>
          <w:szCs w:val="21"/>
        </w:rPr>
        <w:t>——</w:t>
      </w:r>
      <w:r w:rsidRPr="005B5C10">
        <w:rPr>
          <w:rFonts w:eastAsiaTheme="minorEastAsia"/>
          <w:b/>
          <w:color w:val="000000" w:themeColor="text1"/>
          <w:szCs w:val="21"/>
        </w:rPr>
        <w:t>买卖股票差价收入</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本基金本报告期无股票投资收益。</w:t>
      </w:r>
    </w:p>
    <w:p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6.4.7.12</w:t>
      </w:r>
      <w:r w:rsidRPr="005B5C10">
        <w:rPr>
          <w:b/>
          <w:color w:val="000000" w:themeColor="text1"/>
          <w:szCs w:val="21"/>
        </w:rPr>
        <w:t>债券投资收益</w:t>
      </w:r>
    </w:p>
    <w:p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lastRenderedPageBreak/>
        <w:t xml:space="preserve">6.4.7.13 </w:t>
      </w:r>
      <w:r w:rsidRPr="005B5C10">
        <w:rPr>
          <w:rFonts w:eastAsiaTheme="minorEastAsia"/>
          <w:b/>
          <w:color w:val="000000" w:themeColor="text1"/>
          <w:szCs w:val="21"/>
        </w:rPr>
        <w:t>衍生工具收益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股利收益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Pr="005B5C10">
        <w:rPr>
          <w:rFonts w:eastAsiaTheme="minorEastAsia"/>
          <w:b/>
          <w:color w:val="000000" w:themeColor="text1"/>
          <w:szCs w:val="21"/>
        </w:rPr>
        <w:t>公允价值变动收益</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6.4.7.16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BD7BFD" w:rsidRPr="005B5C10" w:rsidRDefault="00BD7BFD" w:rsidP="00BD7BFD">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6.4.7.17 </w:t>
      </w:r>
      <w:r w:rsidRPr="005B5C10">
        <w:rPr>
          <w:rFonts w:eastAsiaTheme="minorEastAsia" w:hint="eastAsia"/>
          <w:b/>
          <w:bCs/>
          <w:color w:val="000000" w:themeColor="text1"/>
          <w:kern w:val="0"/>
          <w:szCs w:val="21"/>
        </w:rPr>
        <w:t>信用减值损失</w:t>
      </w:r>
    </w:p>
    <w:p w:rsidR="00BD7BFD" w:rsidRPr="005B5C10" w:rsidRDefault="00BD7BFD" w:rsidP="00BD7BFD">
      <w:pPr>
        <w:tabs>
          <w:tab w:val="left" w:pos="7200"/>
          <w:tab w:val="left" w:pos="8280"/>
          <w:tab w:val="left" w:pos="9000"/>
        </w:tabs>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3499"/>
      </w:tblGrid>
      <w:tr w:rsidR="008148A4" w:rsidRPr="005B5C10" w:rsidTr="00E60085">
        <w:trPr>
          <w:jc w:val="center"/>
        </w:trPr>
        <w:tc>
          <w:tcPr>
            <w:tcW w:w="5722" w:type="dxa"/>
            <w:vAlign w:val="center"/>
          </w:tcPr>
          <w:p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项目</w:t>
            </w:r>
          </w:p>
        </w:tc>
        <w:tc>
          <w:tcPr>
            <w:tcW w:w="3499" w:type="dxa"/>
            <w:vAlign w:val="center"/>
          </w:tcPr>
          <w:p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本期</w:t>
            </w:r>
          </w:p>
          <w:p w:rsidR="00BD7BFD" w:rsidRPr="005B5C10" w:rsidRDefault="00BD7BFD" w:rsidP="00E60085">
            <w:pPr>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rsidTr="00E60085">
        <w:trPr>
          <w:jc w:val="center"/>
        </w:trPr>
        <w:tc>
          <w:tcPr>
            <w:tcW w:w="5722" w:type="dxa"/>
            <w:vAlign w:val="bottom"/>
          </w:tcPr>
          <w:p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银行存款</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E60085">
        <w:trPr>
          <w:jc w:val="center"/>
        </w:trPr>
        <w:tc>
          <w:tcPr>
            <w:tcW w:w="5722" w:type="dxa"/>
            <w:vAlign w:val="bottom"/>
          </w:tcPr>
          <w:p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买入返售金融资产</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E60085">
        <w:trPr>
          <w:jc w:val="center"/>
        </w:trPr>
        <w:tc>
          <w:tcPr>
            <w:tcW w:w="5722" w:type="dxa"/>
            <w:vAlign w:val="bottom"/>
          </w:tcPr>
          <w:p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债权投资</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42,304.92</w:t>
            </w:r>
          </w:p>
        </w:tc>
      </w:tr>
      <w:tr w:rsidR="008148A4" w:rsidRPr="005B5C10" w:rsidTr="00E60085">
        <w:trPr>
          <w:jc w:val="center"/>
        </w:trPr>
        <w:tc>
          <w:tcPr>
            <w:tcW w:w="5722" w:type="dxa"/>
            <w:vAlign w:val="bottom"/>
          </w:tcPr>
          <w:p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其他债权投资</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E60085">
        <w:trPr>
          <w:jc w:val="center"/>
        </w:trPr>
        <w:tc>
          <w:tcPr>
            <w:tcW w:w="5722" w:type="dxa"/>
            <w:vAlign w:val="bottom"/>
          </w:tcPr>
          <w:p w:rsidR="00BD7BFD" w:rsidRPr="005B5C10" w:rsidRDefault="00BD7BFD" w:rsidP="00E60085">
            <w:pPr>
              <w:rPr>
                <w:rFonts w:eastAsiaTheme="minorEastAsia"/>
                <w:color w:val="000000" w:themeColor="text1"/>
                <w:szCs w:val="21"/>
              </w:rPr>
            </w:pPr>
            <w:r w:rsidRPr="005B5C10">
              <w:rPr>
                <w:rFonts w:eastAsiaTheme="minorEastAsia" w:hint="eastAsia"/>
                <w:color w:val="000000" w:themeColor="text1"/>
                <w:szCs w:val="21"/>
              </w:rPr>
              <w:t>其他</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E60085">
        <w:trPr>
          <w:jc w:val="center"/>
        </w:trPr>
        <w:tc>
          <w:tcPr>
            <w:tcW w:w="5722" w:type="dxa"/>
            <w:vAlign w:val="bottom"/>
          </w:tcPr>
          <w:p w:rsidR="00BD7BFD" w:rsidRPr="005B5C10" w:rsidRDefault="00BD7BFD" w:rsidP="00E60085">
            <w:pPr>
              <w:rPr>
                <w:rFonts w:ascii="宋体" w:hAnsi="宋体"/>
                <w:color w:val="000000" w:themeColor="text1"/>
                <w:szCs w:val="21"/>
              </w:rPr>
            </w:pPr>
            <w:r w:rsidRPr="005B5C10">
              <w:rPr>
                <w:rFonts w:eastAsiaTheme="minorEastAsia"/>
                <w:color w:val="000000" w:themeColor="text1"/>
                <w:szCs w:val="21"/>
              </w:rPr>
              <w:t>合计</w:t>
            </w:r>
          </w:p>
        </w:tc>
        <w:tc>
          <w:tcPr>
            <w:tcW w:w="3499" w:type="dxa"/>
          </w:tcPr>
          <w:p w:rsidR="00BD7BFD" w:rsidRPr="005B5C10" w:rsidRDefault="00BD7BFD" w:rsidP="00E60085">
            <w:pPr>
              <w:jc w:val="right"/>
              <w:rPr>
                <w:rFonts w:eastAsiaTheme="minorEastAsia"/>
                <w:color w:val="000000" w:themeColor="text1"/>
                <w:szCs w:val="21"/>
              </w:rPr>
            </w:pPr>
            <w:r w:rsidRPr="005B5C10">
              <w:rPr>
                <w:rFonts w:eastAsiaTheme="minorEastAsia"/>
                <w:color w:val="000000" w:themeColor="text1"/>
                <w:szCs w:val="21"/>
              </w:rPr>
              <w:t>42,304.92</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6.4.7.18 </w:t>
      </w:r>
      <w:r w:rsidRPr="005B5C10">
        <w:rPr>
          <w:rFonts w:eastAsiaTheme="minorEastAsia"/>
          <w:b/>
          <w:color w:val="000000" w:themeColor="text1"/>
          <w:szCs w:val="21"/>
        </w:rPr>
        <w:t>其他费用</w:t>
      </w:r>
    </w:p>
    <w:p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tc>
          <w:tcPr>
            <w:tcW w:w="3853"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66,944.66</w:t>
            </w:r>
          </w:p>
        </w:tc>
      </w:tr>
      <w:tr w:rsidR="008148A4" w:rsidRPr="005B5C10">
        <w:tc>
          <w:tcPr>
            <w:tcW w:w="3853"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59,507.37</w:t>
            </w:r>
          </w:p>
        </w:tc>
      </w:tr>
      <w:tr w:rsidR="008148A4" w:rsidRPr="005B5C10">
        <w:tc>
          <w:tcPr>
            <w:tcW w:w="3853" w:type="dxa"/>
            <w:vAlign w:val="center"/>
          </w:tcPr>
          <w:p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AF52A5">
        <w:tc>
          <w:tcPr>
            <w:tcW w:w="3853" w:type="dxa"/>
            <w:vAlign w:val="center"/>
          </w:tcPr>
          <w:p w:rsidR="00AF52A5" w:rsidRDefault="00DD1EC6">
            <w:pPr>
              <w:jc w:val="left"/>
            </w:pPr>
            <w:r>
              <w:rPr>
                <w:rFonts w:eastAsiaTheme="minorEastAsia"/>
                <w:color w:val="000000" w:themeColor="text1"/>
                <w:szCs w:val="21"/>
              </w:rPr>
              <w:t>银行汇划费</w:t>
            </w:r>
          </w:p>
        </w:tc>
        <w:tc>
          <w:tcPr>
            <w:tcW w:w="5551" w:type="dxa"/>
            <w:vAlign w:val="center"/>
          </w:tcPr>
          <w:p w:rsidR="00AF52A5" w:rsidRDefault="00DD1EC6">
            <w:pPr>
              <w:jc w:val="right"/>
            </w:pPr>
            <w:r>
              <w:rPr>
                <w:rFonts w:eastAsiaTheme="minorEastAsia"/>
                <w:color w:val="000000" w:themeColor="text1"/>
                <w:szCs w:val="21"/>
              </w:rPr>
              <w:t>3,278.89</w:t>
            </w:r>
          </w:p>
        </w:tc>
      </w:tr>
      <w:tr w:rsidR="00AF52A5">
        <w:tc>
          <w:tcPr>
            <w:tcW w:w="3853" w:type="dxa"/>
            <w:vAlign w:val="center"/>
          </w:tcPr>
          <w:p w:rsidR="00AF52A5" w:rsidRDefault="00DD1EC6">
            <w:pPr>
              <w:jc w:val="left"/>
            </w:pPr>
            <w:r>
              <w:rPr>
                <w:rFonts w:eastAsiaTheme="minorEastAsia"/>
                <w:color w:val="000000" w:themeColor="text1"/>
                <w:szCs w:val="21"/>
              </w:rPr>
              <w:t>其他</w:t>
            </w:r>
          </w:p>
        </w:tc>
        <w:tc>
          <w:tcPr>
            <w:tcW w:w="5551" w:type="dxa"/>
            <w:vAlign w:val="center"/>
          </w:tcPr>
          <w:p w:rsidR="00AF52A5" w:rsidRDefault="00DD1EC6">
            <w:pPr>
              <w:jc w:val="right"/>
            </w:pPr>
            <w:r>
              <w:rPr>
                <w:rFonts w:eastAsiaTheme="minorEastAsia"/>
                <w:color w:val="000000" w:themeColor="text1"/>
                <w:szCs w:val="21"/>
              </w:rPr>
              <w:t>800.00</w:t>
            </w:r>
          </w:p>
        </w:tc>
      </w:tr>
      <w:tr w:rsidR="00AF52A5">
        <w:tc>
          <w:tcPr>
            <w:tcW w:w="3853" w:type="dxa"/>
            <w:vAlign w:val="center"/>
          </w:tcPr>
          <w:p w:rsidR="00AF52A5" w:rsidRDefault="00DD1EC6">
            <w:pPr>
              <w:jc w:val="left"/>
            </w:pPr>
            <w:r>
              <w:rPr>
                <w:rFonts w:eastAsiaTheme="minorEastAsia"/>
                <w:color w:val="000000" w:themeColor="text1"/>
                <w:szCs w:val="21"/>
              </w:rPr>
              <w:t>账户维护费</w:t>
            </w:r>
          </w:p>
        </w:tc>
        <w:tc>
          <w:tcPr>
            <w:tcW w:w="5551" w:type="dxa"/>
            <w:vAlign w:val="center"/>
          </w:tcPr>
          <w:p w:rsidR="00AF52A5" w:rsidRDefault="00DD1EC6">
            <w:pPr>
              <w:jc w:val="right"/>
            </w:pPr>
            <w:r>
              <w:rPr>
                <w:rFonts w:eastAsiaTheme="minorEastAsia"/>
                <w:color w:val="000000" w:themeColor="text1"/>
                <w:szCs w:val="21"/>
              </w:rPr>
              <w:t>18,000.00</w:t>
            </w:r>
          </w:p>
        </w:tc>
      </w:tr>
      <w:tr w:rsidR="008148A4" w:rsidRPr="005B5C10">
        <w:tc>
          <w:tcPr>
            <w:tcW w:w="3853" w:type="dxa"/>
            <w:vAlign w:val="bottom"/>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148,530.92</w:t>
            </w:r>
          </w:p>
        </w:tc>
      </w:tr>
    </w:tbl>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截至资产负债表日，本基金并无须作披露的或有事项。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 </w:t>
      </w:r>
      <w:r w:rsidRPr="005B5C10">
        <w:rPr>
          <w:rFonts w:eastAsiaTheme="minorEastAsia"/>
          <w:b/>
          <w:color w:val="000000" w:themeColor="text1"/>
          <w:kern w:val="0"/>
          <w:szCs w:val="21"/>
        </w:rPr>
        <w:t>关联方关系</w:t>
      </w:r>
    </w:p>
    <w:p w:rsidR="006B65E1" w:rsidRPr="005B5C10" w:rsidRDefault="00945F2E">
      <w:pPr>
        <w:spacing w:line="360" w:lineRule="auto"/>
        <w:rPr>
          <w:rFonts w:eastAsiaTheme="minorEastAsia"/>
          <w:b/>
          <w:color w:val="000000" w:themeColor="text1"/>
          <w:kern w:val="0"/>
          <w:szCs w:val="21"/>
        </w:rPr>
      </w:pPr>
      <w:r w:rsidRPr="005B5C10">
        <w:rPr>
          <w:rFonts w:eastAsiaTheme="minorEastAsia"/>
          <w:b/>
          <w:bCs/>
          <w:color w:val="000000" w:themeColor="text1"/>
          <w:kern w:val="0"/>
          <w:szCs w:val="21"/>
        </w:rPr>
        <w:t>6.4.9.1</w:t>
      </w:r>
      <w:r w:rsidRPr="005B5C10">
        <w:rPr>
          <w:rFonts w:eastAsiaTheme="minorEastAsia"/>
          <w:b/>
          <w:color w:val="000000" w:themeColor="text1"/>
          <w:kern w:val="0"/>
          <w:szCs w:val="21"/>
        </w:rPr>
        <w:t>本报告期存在控制关系或其他重大利害关系的关联方发生变化的情况</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根据中国证监会证监许可</w:t>
      </w:r>
      <w:r w:rsidRPr="005B5C10">
        <w:rPr>
          <w:rFonts w:eastAsiaTheme="minorEastAsia"/>
          <w:color w:val="000000" w:themeColor="text1"/>
          <w:szCs w:val="21"/>
        </w:rPr>
        <w:t xml:space="preserve">(2023)151 </w:t>
      </w:r>
      <w:r w:rsidRPr="005B5C10">
        <w:rPr>
          <w:rFonts w:eastAsiaTheme="minorEastAsia"/>
          <w:color w:val="000000" w:themeColor="text1"/>
          <w:szCs w:val="21"/>
        </w:rPr>
        <w:t>号《关于核准上投摩根基金管理有限公司变更股东、实际控制人的批复》，核准摩根资产管理控股公司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成为上投摩根基金管理有限公司主要股东；核准摩根大通公司</w:t>
      </w:r>
      <w:r w:rsidRPr="005B5C10">
        <w:rPr>
          <w:rFonts w:eastAsiaTheme="minorEastAsia"/>
          <w:color w:val="000000" w:themeColor="text1"/>
          <w:szCs w:val="21"/>
        </w:rPr>
        <w:t>(JPMorgan Chase &amp;Co. )</w:t>
      </w:r>
      <w:r w:rsidRPr="005B5C10">
        <w:rPr>
          <w:rFonts w:eastAsiaTheme="minorEastAsia"/>
          <w:color w:val="000000" w:themeColor="text1"/>
          <w:szCs w:val="21"/>
        </w:rPr>
        <w:t>成为上投摩根基金管理有限公司实际控制人；对摩根资产管理控股公司依法受让上投摩根基金管理有限公司</w:t>
      </w:r>
      <w:r w:rsidRPr="005B5C10">
        <w:rPr>
          <w:rFonts w:eastAsiaTheme="minorEastAsia"/>
          <w:color w:val="000000" w:themeColor="text1"/>
          <w:szCs w:val="21"/>
        </w:rPr>
        <w:t xml:space="preserve"> 2.5 </w:t>
      </w:r>
      <w:r w:rsidRPr="005B5C10">
        <w:rPr>
          <w:rFonts w:eastAsiaTheme="minorEastAsia"/>
          <w:color w:val="000000" w:themeColor="text1"/>
          <w:szCs w:val="21"/>
        </w:rPr>
        <w:t>亿元出资</w:t>
      </w:r>
      <w:r w:rsidRPr="005B5C10">
        <w:rPr>
          <w:rFonts w:eastAsiaTheme="minorEastAsia"/>
          <w:color w:val="000000" w:themeColor="text1"/>
          <w:szCs w:val="21"/>
        </w:rPr>
        <w:t>(</w:t>
      </w:r>
      <w:r w:rsidRPr="005B5C10">
        <w:rPr>
          <w:rFonts w:eastAsiaTheme="minorEastAsia"/>
          <w:color w:val="000000" w:themeColor="text1"/>
          <w:szCs w:val="21"/>
        </w:rPr>
        <w:t>占注册资本比例</w:t>
      </w:r>
      <w:r w:rsidRPr="005B5C10">
        <w:rPr>
          <w:rFonts w:eastAsiaTheme="minorEastAsia"/>
          <w:color w:val="000000" w:themeColor="text1"/>
          <w:szCs w:val="21"/>
        </w:rPr>
        <w:t xml:space="preserve"> 100%)</w:t>
      </w:r>
      <w:r w:rsidRPr="005B5C10">
        <w:rPr>
          <w:rFonts w:eastAsiaTheme="minorEastAsia"/>
          <w:color w:val="000000" w:themeColor="text1"/>
          <w:szCs w:val="21"/>
        </w:rPr>
        <w:t>无异议。相关股权变更工商变更手续于</w:t>
      </w:r>
      <w:r w:rsidRPr="005B5C10">
        <w:rPr>
          <w:rFonts w:eastAsiaTheme="minorEastAsia"/>
          <w:color w:val="000000" w:themeColor="text1"/>
          <w:szCs w:val="21"/>
        </w:rPr>
        <w:t xml:space="preserve"> 2023 </w:t>
      </w:r>
      <w:r w:rsidRPr="005B5C10">
        <w:rPr>
          <w:rFonts w:eastAsiaTheme="minorEastAsia"/>
          <w:color w:val="000000" w:themeColor="text1"/>
          <w:szCs w:val="21"/>
        </w:rPr>
        <w:t>年</w:t>
      </w:r>
      <w:r w:rsidRPr="005B5C10">
        <w:rPr>
          <w:rFonts w:eastAsiaTheme="minorEastAsia"/>
          <w:color w:val="000000" w:themeColor="text1"/>
          <w:szCs w:val="21"/>
        </w:rPr>
        <w:t xml:space="preserve"> 3 </w:t>
      </w:r>
      <w:r w:rsidRPr="005B5C10">
        <w:rPr>
          <w:rFonts w:eastAsiaTheme="minorEastAsia"/>
          <w:color w:val="000000" w:themeColor="text1"/>
          <w:szCs w:val="21"/>
        </w:rPr>
        <w:t>月</w:t>
      </w:r>
      <w:r w:rsidRPr="005B5C10">
        <w:rPr>
          <w:rFonts w:eastAsiaTheme="minorEastAsia"/>
          <w:color w:val="000000" w:themeColor="text1"/>
          <w:szCs w:val="21"/>
        </w:rPr>
        <w:t xml:space="preserve"> 24 </w:t>
      </w:r>
      <w:r w:rsidRPr="005B5C10">
        <w:rPr>
          <w:rFonts w:eastAsiaTheme="minorEastAsia"/>
          <w:color w:val="000000" w:themeColor="text1"/>
          <w:szCs w:val="21"/>
        </w:rPr>
        <w:t>日完成。公司股东由摩根资产管理</w:t>
      </w:r>
      <w:r w:rsidRPr="005B5C10">
        <w:rPr>
          <w:rFonts w:eastAsiaTheme="minorEastAsia"/>
          <w:color w:val="000000" w:themeColor="text1"/>
          <w:szCs w:val="21"/>
        </w:rPr>
        <w:t>(</w:t>
      </w:r>
      <w:r w:rsidRPr="005B5C10">
        <w:rPr>
          <w:rFonts w:eastAsiaTheme="minorEastAsia"/>
          <w:color w:val="000000" w:themeColor="text1"/>
          <w:szCs w:val="21"/>
        </w:rPr>
        <w:t>英国</w:t>
      </w:r>
      <w:r w:rsidRPr="005B5C10">
        <w:rPr>
          <w:rFonts w:eastAsiaTheme="minorEastAsia"/>
          <w:color w:val="000000" w:themeColor="text1"/>
          <w:szCs w:val="21"/>
        </w:rPr>
        <w:t>)</w:t>
      </w:r>
      <w:r w:rsidRPr="005B5C10">
        <w:rPr>
          <w:rFonts w:eastAsiaTheme="minorEastAsia"/>
          <w:color w:val="000000" w:themeColor="text1"/>
          <w:szCs w:val="21"/>
        </w:rPr>
        <w:t>有限公司及上海浦东发展银行股份有限公司变更为摩根资产管理控股公司。</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6.4.9.2 </w:t>
      </w:r>
      <w:r w:rsidRPr="005B5C10">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8148A4" w:rsidRPr="005B5C10">
        <w:tc>
          <w:tcPr>
            <w:tcW w:w="522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关联方名称</w:t>
            </w:r>
          </w:p>
        </w:tc>
        <w:tc>
          <w:tcPr>
            <w:tcW w:w="3780"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与本基金的关系</w:t>
            </w:r>
          </w:p>
        </w:tc>
      </w:tr>
      <w:tr w:rsidR="00AF52A5">
        <w:tc>
          <w:tcPr>
            <w:tcW w:w="5220" w:type="dxa"/>
            <w:vAlign w:val="center"/>
          </w:tcPr>
          <w:p w:rsidR="00AF52A5" w:rsidRDefault="00DD1EC6">
            <w:pPr>
              <w:jc w:val="left"/>
            </w:pPr>
            <w:r>
              <w:rPr>
                <w:rFonts w:eastAsiaTheme="minorEastAsia"/>
                <w:color w:val="000000" w:themeColor="text1"/>
                <w:szCs w:val="21"/>
              </w:rPr>
              <w:t>摩根基金管理（中国）有限公司</w:t>
            </w:r>
          </w:p>
        </w:tc>
        <w:tc>
          <w:tcPr>
            <w:tcW w:w="3780" w:type="dxa"/>
            <w:vAlign w:val="center"/>
          </w:tcPr>
          <w:p w:rsidR="00AF52A5" w:rsidRDefault="00DD1EC6">
            <w:pPr>
              <w:jc w:val="left"/>
            </w:pPr>
            <w:r>
              <w:rPr>
                <w:rFonts w:eastAsiaTheme="minorEastAsia"/>
                <w:color w:val="000000" w:themeColor="text1"/>
                <w:szCs w:val="21"/>
              </w:rPr>
              <w:t>基金管理人、注册登记机构、基金销售机构</w:t>
            </w:r>
          </w:p>
        </w:tc>
      </w:tr>
      <w:tr w:rsidR="00AF52A5">
        <w:tc>
          <w:tcPr>
            <w:tcW w:w="5220" w:type="dxa"/>
            <w:vAlign w:val="center"/>
          </w:tcPr>
          <w:p w:rsidR="00AF52A5" w:rsidRDefault="00DD1EC6">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rsidR="00AF52A5" w:rsidRDefault="00DD1EC6">
            <w:pPr>
              <w:jc w:val="left"/>
            </w:pPr>
            <w:r>
              <w:rPr>
                <w:rFonts w:eastAsiaTheme="minorEastAsia"/>
                <w:color w:val="000000" w:themeColor="text1"/>
                <w:szCs w:val="21"/>
              </w:rPr>
              <w:t>基金托管人</w:t>
            </w:r>
          </w:p>
        </w:tc>
      </w:tr>
      <w:tr w:rsidR="00AF52A5">
        <w:tc>
          <w:tcPr>
            <w:tcW w:w="5220" w:type="dxa"/>
            <w:vAlign w:val="center"/>
          </w:tcPr>
          <w:p w:rsidR="00AF52A5" w:rsidRDefault="00DD1EC6">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AF52A5" w:rsidRDefault="00DD1EC6">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6B65E1" w:rsidRPr="005B5C10" w:rsidRDefault="00945F2E">
      <w:pPr>
        <w:tabs>
          <w:tab w:val="left" w:pos="426"/>
        </w:tabs>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kern w:val="0"/>
          <w:szCs w:val="21"/>
        </w:rPr>
        <w:t>注：下述关联交易均在正常业务范围内按一般商业条款订立。</w:t>
      </w:r>
    </w:p>
    <w:p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6.4.10.2.1 </w:t>
      </w:r>
      <w:r w:rsidRPr="005B5C10">
        <w:rPr>
          <w:rFonts w:eastAsiaTheme="minorEastAsia"/>
          <w:b/>
          <w:color w:val="000000" w:themeColor="text1"/>
          <w:kern w:val="0"/>
          <w:szCs w:val="21"/>
        </w:rPr>
        <w:t>基金管理费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729"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当期发生的基金应支付的管理费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6,219,294.95</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6,199,466.90</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其中：支付销售机构的客户维护费</w:t>
            </w:r>
          </w:p>
        </w:tc>
        <w:tc>
          <w:tcPr>
            <w:tcW w:w="265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1.81</w:t>
            </w:r>
          </w:p>
        </w:tc>
        <w:tc>
          <w:tcPr>
            <w:tcW w:w="2729"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1.81</w:t>
            </w:r>
          </w:p>
        </w:tc>
      </w:tr>
    </w:tbl>
    <w:p w:rsidR="006B65E1" w:rsidRPr="005B5C10" w:rsidRDefault="00945F2E">
      <w:pPr>
        <w:spacing w:line="288"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注：支付基金管理人的管理人报酬按前一日基金资产净值</w:t>
      </w:r>
      <w:r w:rsidRPr="005B5C10">
        <w:rPr>
          <w:rFonts w:eastAsiaTheme="minorEastAsia"/>
          <w:color w:val="000000" w:themeColor="text1"/>
          <w:kern w:val="0"/>
          <w:szCs w:val="21"/>
        </w:rPr>
        <w:t>0.15%</w:t>
      </w:r>
      <w:r w:rsidRPr="005B5C10">
        <w:rPr>
          <w:rFonts w:eastAsiaTheme="minorEastAsia"/>
          <w:color w:val="000000" w:themeColor="text1"/>
          <w:kern w:val="0"/>
          <w:szCs w:val="21"/>
        </w:rPr>
        <w:t>的年费率计提，逐日累计至每月月底，按月支付。其计算公式为：日管理人报酬＝前一日基金资产净值</w:t>
      </w:r>
      <w:r w:rsidRPr="005B5C10">
        <w:rPr>
          <w:rFonts w:eastAsiaTheme="minorEastAsia"/>
          <w:color w:val="000000" w:themeColor="text1"/>
          <w:kern w:val="0"/>
          <w:szCs w:val="21"/>
        </w:rPr>
        <w:t xml:space="preserve"> X 0.15%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tc>
          <w:tcPr>
            <w:tcW w:w="368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3686"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2,073,098.33</w:t>
            </w:r>
          </w:p>
        </w:tc>
        <w:tc>
          <w:tcPr>
            <w:tcW w:w="2588"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2,066,489.00</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0.05%</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0.05% / </w:t>
      </w:r>
      <w:r w:rsidRPr="005B5C10">
        <w:rPr>
          <w:rFonts w:eastAsiaTheme="minorEastAsia"/>
          <w:color w:val="000000" w:themeColor="text1"/>
          <w:kern w:val="0"/>
          <w:szCs w:val="21"/>
        </w:rPr>
        <w:t>当年天数。</w:t>
      </w:r>
    </w:p>
    <w:p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8148A4" w:rsidRPr="005B5C10">
        <w:tc>
          <w:tcPr>
            <w:tcW w:w="9435" w:type="dxa"/>
            <w:gridSpan w:val="7"/>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bCs/>
                <w:color w:val="000000" w:themeColor="text1"/>
                <w:szCs w:val="21"/>
              </w:rPr>
            </w:pPr>
            <w:r w:rsidRPr="005B5C10">
              <w:rPr>
                <w:rFonts w:eastAsiaTheme="minorEastAsia"/>
                <w:bCs/>
                <w:color w:val="000000" w:themeColor="text1"/>
                <w:szCs w:val="21"/>
              </w:rPr>
              <w:t>2023</w:t>
            </w:r>
            <w:r w:rsidRPr="005B5C10">
              <w:rPr>
                <w:rFonts w:eastAsiaTheme="minorEastAsia"/>
                <w:bCs/>
                <w:color w:val="000000" w:themeColor="text1"/>
                <w:szCs w:val="21"/>
              </w:rPr>
              <w:t>年</w:t>
            </w:r>
            <w:r w:rsidRPr="005B5C10">
              <w:rPr>
                <w:rFonts w:eastAsiaTheme="minorEastAsia"/>
                <w:bCs/>
                <w:color w:val="000000" w:themeColor="text1"/>
                <w:szCs w:val="21"/>
              </w:rPr>
              <w:t>1</w:t>
            </w:r>
            <w:r w:rsidRPr="005B5C10">
              <w:rPr>
                <w:rFonts w:eastAsiaTheme="minorEastAsia"/>
                <w:bCs/>
                <w:color w:val="000000" w:themeColor="text1"/>
                <w:szCs w:val="21"/>
              </w:rPr>
              <w:t>月</w:t>
            </w:r>
            <w:r w:rsidRPr="005B5C10">
              <w:rPr>
                <w:rFonts w:eastAsiaTheme="minorEastAsia"/>
                <w:bCs/>
                <w:color w:val="000000" w:themeColor="text1"/>
                <w:szCs w:val="21"/>
              </w:rPr>
              <w:t>1</w:t>
            </w:r>
            <w:r w:rsidRPr="005B5C10">
              <w:rPr>
                <w:rFonts w:eastAsiaTheme="minorEastAsia"/>
                <w:bCs/>
                <w:color w:val="000000" w:themeColor="text1"/>
                <w:szCs w:val="21"/>
              </w:rPr>
              <w:t>日至</w:t>
            </w:r>
            <w:r w:rsidRPr="005B5C10">
              <w:rPr>
                <w:rFonts w:eastAsiaTheme="minorEastAsia"/>
                <w:bCs/>
                <w:color w:val="000000" w:themeColor="text1"/>
                <w:szCs w:val="21"/>
              </w:rPr>
              <w:t>2023</w:t>
            </w:r>
            <w:r w:rsidRPr="005B5C10">
              <w:rPr>
                <w:rFonts w:eastAsiaTheme="minorEastAsia"/>
                <w:bCs/>
                <w:color w:val="000000" w:themeColor="text1"/>
                <w:szCs w:val="21"/>
              </w:rPr>
              <w:t>年</w:t>
            </w:r>
            <w:r w:rsidRPr="005B5C10">
              <w:rPr>
                <w:rFonts w:eastAsiaTheme="minorEastAsia"/>
                <w:bCs/>
                <w:color w:val="000000" w:themeColor="text1"/>
                <w:szCs w:val="21"/>
              </w:rPr>
              <w:t>6</w:t>
            </w:r>
            <w:r w:rsidRPr="005B5C10">
              <w:rPr>
                <w:rFonts w:eastAsiaTheme="minorEastAsia"/>
                <w:bCs/>
                <w:color w:val="000000" w:themeColor="text1"/>
                <w:szCs w:val="21"/>
              </w:rPr>
              <w:t>月</w:t>
            </w:r>
            <w:r w:rsidRPr="005B5C10">
              <w:rPr>
                <w:rFonts w:eastAsiaTheme="minorEastAsia"/>
                <w:bCs/>
                <w:color w:val="000000" w:themeColor="text1"/>
                <w:szCs w:val="21"/>
              </w:rPr>
              <w:t>30</w:t>
            </w:r>
            <w:r w:rsidRPr="005B5C10">
              <w:rPr>
                <w:rFonts w:eastAsiaTheme="minorEastAsia"/>
                <w:bCs/>
                <w:color w:val="000000" w:themeColor="text1"/>
                <w:szCs w:val="21"/>
              </w:rPr>
              <w:t>日</w:t>
            </w:r>
          </w:p>
        </w:tc>
      </w:tr>
      <w:tr w:rsidR="008148A4" w:rsidRPr="005B5C10">
        <w:tc>
          <w:tcPr>
            <w:tcW w:w="1422" w:type="dxa"/>
            <w:vMerge w:val="restart"/>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银行间市场交易的各关联方名称</w:t>
            </w:r>
          </w:p>
        </w:tc>
        <w:tc>
          <w:tcPr>
            <w:tcW w:w="3078"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债券交易金额</w:t>
            </w:r>
          </w:p>
        </w:tc>
        <w:tc>
          <w:tcPr>
            <w:tcW w:w="2340"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基金逆回购</w:t>
            </w:r>
          </w:p>
        </w:tc>
        <w:tc>
          <w:tcPr>
            <w:tcW w:w="2595"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基金正回购</w:t>
            </w:r>
          </w:p>
        </w:tc>
      </w:tr>
      <w:tr w:rsidR="008148A4" w:rsidRPr="005B5C10">
        <w:tc>
          <w:tcPr>
            <w:tcW w:w="1422" w:type="dxa"/>
            <w:vMerge/>
            <w:vAlign w:val="center"/>
          </w:tcPr>
          <w:p w:rsidR="006B65E1" w:rsidRPr="005B5C10" w:rsidRDefault="006B65E1">
            <w:pPr>
              <w:widowControl/>
              <w:spacing w:line="360" w:lineRule="auto"/>
              <w:jc w:val="left"/>
              <w:rPr>
                <w:rFonts w:eastAsiaTheme="minorEastAsia"/>
                <w:bCs/>
                <w:color w:val="000000" w:themeColor="text1"/>
                <w:szCs w:val="21"/>
              </w:rPr>
            </w:pPr>
          </w:p>
        </w:tc>
        <w:tc>
          <w:tcPr>
            <w:tcW w:w="1818"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基金买入</w:t>
            </w:r>
          </w:p>
        </w:tc>
        <w:tc>
          <w:tcPr>
            <w:tcW w:w="126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基金卖出</w:t>
            </w:r>
          </w:p>
        </w:tc>
        <w:tc>
          <w:tcPr>
            <w:tcW w:w="126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利息收入</w:t>
            </w:r>
          </w:p>
        </w:tc>
        <w:tc>
          <w:tcPr>
            <w:tcW w:w="1512"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3"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利息支出</w:t>
            </w:r>
          </w:p>
        </w:tc>
      </w:tr>
      <w:tr w:rsidR="00AF52A5">
        <w:tc>
          <w:tcPr>
            <w:tcW w:w="1422" w:type="dxa"/>
            <w:vAlign w:val="center"/>
          </w:tcPr>
          <w:p w:rsidR="00AF52A5" w:rsidRDefault="00DD1EC6">
            <w:pPr>
              <w:jc w:val="left"/>
            </w:pPr>
            <w:r>
              <w:rPr>
                <w:rFonts w:eastAsiaTheme="minorEastAsia"/>
                <w:bCs/>
                <w:color w:val="000000" w:themeColor="text1"/>
                <w:szCs w:val="21"/>
              </w:rPr>
              <w:t>浦发银行</w:t>
            </w:r>
          </w:p>
        </w:tc>
        <w:tc>
          <w:tcPr>
            <w:tcW w:w="1818"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080" w:type="dxa"/>
            <w:vAlign w:val="center"/>
          </w:tcPr>
          <w:p w:rsidR="00AF52A5" w:rsidRDefault="00DD1EC6">
            <w:pPr>
              <w:jc w:val="right"/>
            </w:pPr>
            <w:r>
              <w:rPr>
                <w:rFonts w:eastAsiaTheme="minorEastAsia"/>
                <w:bCs/>
                <w:color w:val="000000" w:themeColor="text1"/>
                <w:szCs w:val="21"/>
              </w:rPr>
              <w:t>-</w:t>
            </w:r>
          </w:p>
        </w:tc>
        <w:tc>
          <w:tcPr>
            <w:tcW w:w="1512" w:type="dxa"/>
            <w:vAlign w:val="center"/>
          </w:tcPr>
          <w:p w:rsidR="00AF52A5" w:rsidRDefault="00DD1EC6">
            <w:pPr>
              <w:jc w:val="right"/>
            </w:pPr>
            <w:r>
              <w:rPr>
                <w:rFonts w:eastAsiaTheme="minorEastAsia"/>
                <w:bCs/>
                <w:color w:val="000000" w:themeColor="text1"/>
                <w:szCs w:val="21"/>
              </w:rPr>
              <w:t>4,880,000,000.00</w:t>
            </w:r>
          </w:p>
        </w:tc>
        <w:tc>
          <w:tcPr>
            <w:tcW w:w="1083" w:type="dxa"/>
            <w:vAlign w:val="center"/>
          </w:tcPr>
          <w:p w:rsidR="00AF52A5" w:rsidRDefault="00DD1EC6">
            <w:pPr>
              <w:jc w:val="right"/>
            </w:pPr>
            <w:r>
              <w:rPr>
                <w:rFonts w:eastAsiaTheme="minorEastAsia"/>
                <w:bCs/>
                <w:color w:val="000000" w:themeColor="text1"/>
                <w:szCs w:val="21"/>
              </w:rPr>
              <w:t>350,932.03</w:t>
            </w:r>
          </w:p>
        </w:tc>
      </w:tr>
      <w:tr w:rsidR="00AF52A5">
        <w:tc>
          <w:tcPr>
            <w:tcW w:w="1422" w:type="dxa"/>
            <w:vAlign w:val="center"/>
          </w:tcPr>
          <w:p w:rsidR="00AF52A5" w:rsidRDefault="00DD1EC6">
            <w:pPr>
              <w:jc w:val="left"/>
            </w:pPr>
            <w:r>
              <w:rPr>
                <w:rFonts w:eastAsiaTheme="minorEastAsia"/>
                <w:bCs/>
                <w:color w:val="000000" w:themeColor="text1"/>
                <w:szCs w:val="21"/>
              </w:rPr>
              <w:t>兴业银行</w:t>
            </w:r>
          </w:p>
        </w:tc>
        <w:tc>
          <w:tcPr>
            <w:tcW w:w="1818"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080" w:type="dxa"/>
            <w:vAlign w:val="center"/>
          </w:tcPr>
          <w:p w:rsidR="00AF52A5" w:rsidRDefault="00DD1EC6">
            <w:pPr>
              <w:jc w:val="right"/>
            </w:pPr>
            <w:r>
              <w:rPr>
                <w:rFonts w:eastAsiaTheme="minorEastAsia"/>
                <w:bCs/>
                <w:color w:val="000000" w:themeColor="text1"/>
                <w:szCs w:val="21"/>
              </w:rPr>
              <w:t>-</w:t>
            </w:r>
          </w:p>
        </w:tc>
        <w:tc>
          <w:tcPr>
            <w:tcW w:w="1512" w:type="dxa"/>
            <w:vAlign w:val="center"/>
          </w:tcPr>
          <w:p w:rsidR="00AF52A5" w:rsidRDefault="00DD1EC6">
            <w:pPr>
              <w:jc w:val="right"/>
            </w:pPr>
            <w:r>
              <w:rPr>
                <w:rFonts w:eastAsiaTheme="minorEastAsia"/>
                <w:bCs/>
                <w:color w:val="000000" w:themeColor="text1"/>
                <w:szCs w:val="21"/>
              </w:rPr>
              <w:t>2,203,000,000.00</w:t>
            </w:r>
          </w:p>
        </w:tc>
        <w:tc>
          <w:tcPr>
            <w:tcW w:w="1083" w:type="dxa"/>
            <w:vAlign w:val="center"/>
          </w:tcPr>
          <w:p w:rsidR="00AF52A5" w:rsidRDefault="00DD1EC6">
            <w:pPr>
              <w:jc w:val="right"/>
            </w:pPr>
            <w:r>
              <w:rPr>
                <w:rFonts w:eastAsiaTheme="minorEastAsia"/>
                <w:bCs/>
                <w:color w:val="000000" w:themeColor="text1"/>
                <w:szCs w:val="21"/>
              </w:rPr>
              <w:t>257,054.27</w:t>
            </w:r>
          </w:p>
        </w:tc>
      </w:tr>
      <w:tr w:rsidR="008148A4" w:rsidRPr="005B5C10">
        <w:tc>
          <w:tcPr>
            <w:tcW w:w="9435" w:type="dxa"/>
            <w:gridSpan w:val="7"/>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bCs/>
                <w:color w:val="000000" w:themeColor="text1"/>
                <w:szCs w:val="21"/>
              </w:rPr>
            </w:pPr>
            <w:r w:rsidRPr="005B5C10">
              <w:rPr>
                <w:rFonts w:eastAsiaTheme="minorEastAsia"/>
                <w:bCs/>
                <w:color w:val="000000" w:themeColor="text1"/>
                <w:szCs w:val="21"/>
              </w:rPr>
              <w:t>2022</w:t>
            </w:r>
            <w:r w:rsidRPr="005B5C10">
              <w:rPr>
                <w:rFonts w:eastAsiaTheme="minorEastAsia"/>
                <w:bCs/>
                <w:color w:val="000000" w:themeColor="text1"/>
                <w:szCs w:val="21"/>
              </w:rPr>
              <w:t>年</w:t>
            </w:r>
            <w:r w:rsidRPr="005B5C10">
              <w:rPr>
                <w:rFonts w:eastAsiaTheme="minorEastAsia"/>
                <w:bCs/>
                <w:color w:val="000000" w:themeColor="text1"/>
                <w:szCs w:val="21"/>
              </w:rPr>
              <w:t>1</w:t>
            </w:r>
            <w:r w:rsidRPr="005B5C10">
              <w:rPr>
                <w:rFonts w:eastAsiaTheme="minorEastAsia"/>
                <w:bCs/>
                <w:color w:val="000000" w:themeColor="text1"/>
                <w:szCs w:val="21"/>
              </w:rPr>
              <w:t>月</w:t>
            </w:r>
            <w:r w:rsidRPr="005B5C10">
              <w:rPr>
                <w:rFonts w:eastAsiaTheme="minorEastAsia"/>
                <w:bCs/>
                <w:color w:val="000000" w:themeColor="text1"/>
                <w:szCs w:val="21"/>
              </w:rPr>
              <w:t>1</w:t>
            </w:r>
            <w:r w:rsidRPr="005B5C10">
              <w:rPr>
                <w:rFonts w:eastAsiaTheme="minorEastAsia"/>
                <w:bCs/>
                <w:color w:val="000000" w:themeColor="text1"/>
                <w:szCs w:val="21"/>
              </w:rPr>
              <w:t>日至</w:t>
            </w:r>
            <w:r w:rsidRPr="005B5C10">
              <w:rPr>
                <w:rFonts w:eastAsiaTheme="minorEastAsia"/>
                <w:bCs/>
                <w:color w:val="000000" w:themeColor="text1"/>
                <w:szCs w:val="21"/>
              </w:rPr>
              <w:t>2022</w:t>
            </w:r>
            <w:r w:rsidRPr="005B5C10">
              <w:rPr>
                <w:rFonts w:eastAsiaTheme="minorEastAsia"/>
                <w:bCs/>
                <w:color w:val="000000" w:themeColor="text1"/>
                <w:szCs w:val="21"/>
              </w:rPr>
              <w:t>年</w:t>
            </w:r>
            <w:r w:rsidRPr="005B5C10">
              <w:rPr>
                <w:rFonts w:eastAsiaTheme="minorEastAsia"/>
                <w:bCs/>
                <w:color w:val="000000" w:themeColor="text1"/>
                <w:szCs w:val="21"/>
              </w:rPr>
              <w:t>6</w:t>
            </w:r>
            <w:r w:rsidRPr="005B5C10">
              <w:rPr>
                <w:rFonts w:eastAsiaTheme="minorEastAsia"/>
                <w:bCs/>
                <w:color w:val="000000" w:themeColor="text1"/>
                <w:szCs w:val="21"/>
              </w:rPr>
              <w:t>月</w:t>
            </w:r>
            <w:r w:rsidRPr="005B5C10">
              <w:rPr>
                <w:rFonts w:eastAsiaTheme="minorEastAsia"/>
                <w:bCs/>
                <w:color w:val="000000" w:themeColor="text1"/>
                <w:szCs w:val="21"/>
              </w:rPr>
              <w:t>30</w:t>
            </w:r>
            <w:r w:rsidRPr="005B5C10">
              <w:rPr>
                <w:rFonts w:eastAsiaTheme="minorEastAsia"/>
                <w:bCs/>
                <w:color w:val="000000" w:themeColor="text1"/>
                <w:szCs w:val="21"/>
              </w:rPr>
              <w:t>日</w:t>
            </w:r>
          </w:p>
        </w:tc>
      </w:tr>
      <w:tr w:rsidR="008148A4" w:rsidRPr="005B5C10">
        <w:tc>
          <w:tcPr>
            <w:tcW w:w="1422" w:type="dxa"/>
            <w:vMerge w:val="restart"/>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银行间市场交易的各关联方名称</w:t>
            </w:r>
          </w:p>
        </w:tc>
        <w:tc>
          <w:tcPr>
            <w:tcW w:w="3078"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债券交易金额</w:t>
            </w:r>
          </w:p>
        </w:tc>
        <w:tc>
          <w:tcPr>
            <w:tcW w:w="2340"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基金逆回购</w:t>
            </w:r>
          </w:p>
        </w:tc>
        <w:tc>
          <w:tcPr>
            <w:tcW w:w="2595" w:type="dxa"/>
            <w:gridSpan w:val="2"/>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基金正回购</w:t>
            </w:r>
          </w:p>
        </w:tc>
      </w:tr>
      <w:tr w:rsidR="008148A4" w:rsidRPr="005B5C10">
        <w:tc>
          <w:tcPr>
            <w:tcW w:w="1422" w:type="dxa"/>
            <w:vMerge/>
            <w:vAlign w:val="center"/>
          </w:tcPr>
          <w:p w:rsidR="006B65E1" w:rsidRPr="005B5C10" w:rsidRDefault="006B65E1">
            <w:pPr>
              <w:widowControl/>
              <w:spacing w:line="360" w:lineRule="auto"/>
              <w:jc w:val="left"/>
              <w:rPr>
                <w:rFonts w:eastAsiaTheme="minorEastAsia"/>
                <w:bCs/>
                <w:color w:val="000000" w:themeColor="text1"/>
                <w:szCs w:val="21"/>
              </w:rPr>
            </w:pPr>
          </w:p>
        </w:tc>
        <w:tc>
          <w:tcPr>
            <w:tcW w:w="1818"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基金买入</w:t>
            </w:r>
          </w:p>
        </w:tc>
        <w:tc>
          <w:tcPr>
            <w:tcW w:w="126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基金卖出</w:t>
            </w:r>
          </w:p>
        </w:tc>
        <w:tc>
          <w:tcPr>
            <w:tcW w:w="126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0"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利息收入</w:t>
            </w:r>
          </w:p>
        </w:tc>
        <w:tc>
          <w:tcPr>
            <w:tcW w:w="1512"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交易金额</w:t>
            </w:r>
          </w:p>
        </w:tc>
        <w:tc>
          <w:tcPr>
            <w:tcW w:w="1083" w:type="dxa"/>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利息支出</w:t>
            </w:r>
          </w:p>
        </w:tc>
      </w:tr>
      <w:tr w:rsidR="00AF52A5">
        <w:tc>
          <w:tcPr>
            <w:tcW w:w="1422" w:type="dxa"/>
            <w:vAlign w:val="center"/>
          </w:tcPr>
          <w:p w:rsidR="00AF52A5" w:rsidRDefault="00DD1EC6">
            <w:pPr>
              <w:jc w:val="left"/>
            </w:pPr>
            <w:r>
              <w:rPr>
                <w:rFonts w:eastAsiaTheme="minorEastAsia"/>
                <w:bCs/>
                <w:color w:val="000000" w:themeColor="text1"/>
                <w:szCs w:val="21"/>
              </w:rPr>
              <w:t>兴业银行</w:t>
            </w:r>
          </w:p>
        </w:tc>
        <w:tc>
          <w:tcPr>
            <w:tcW w:w="1818"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260" w:type="dxa"/>
            <w:vAlign w:val="center"/>
          </w:tcPr>
          <w:p w:rsidR="00AF52A5" w:rsidRDefault="00DD1EC6">
            <w:pPr>
              <w:jc w:val="right"/>
            </w:pPr>
            <w:r>
              <w:rPr>
                <w:rFonts w:eastAsiaTheme="minorEastAsia"/>
                <w:bCs/>
                <w:color w:val="000000" w:themeColor="text1"/>
                <w:szCs w:val="21"/>
              </w:rPr>
              <w:t>-</w:t>
            </w:r>
          </w:p>
        </w:tc>
        <w:tc>
          <w:tcPr>
            <w:tcW w:w="1080" w:type="dxa"/>
            <w:vAlign w:val="center"/>
          </w:tcPr>
          <w:p w:rsidR="00AF52A5" w:rsidRDefault="00DD1EC6">
            <w:pPr>
              <w:jc w:val="right"/>
            </w:pPr>
            <w:r>
              <w:rPr>
                <w:rFonts w:eastAsiaTheme="minorEastAsia"/>
                <w:bCs/>
                <w:color w:val="000000" w:themeColor="text1"/>
                <w:szCs w:val="21"/>
              </w:rPr>
              <w:t>-</w:t>
            </w:r>
          </w:p>
        </w:tc>
        <w:tc>
          <w:tcPr>
            <w:tcW w:w="1512" w:type="dxa"/>
            <w:vAlign w:val="center"/>
          </w:tcPr>
          <w:p w:rsidR="00AF52A5" w:rsidRDefault="00DD1EC6">
            <w:pPr>
              <w:jc w:val="right"/>
            </w:pPr>
            <w:r>
              <w:rPr>
                <w:rFonts w:eastAsiaTheme="minorEastAsia"/>
                <w:bCs/>
                <w:color w:val="000000" w:themeColor="text1"/>
                <w:szCs w:val="21"/>
              </w:rPr>
              <w:t>5,391,000,000.00</w:t>
            </w:r>
          </w:p>
        </w:tc>
        <w:tc>
          <w:tcPr>
            <w:tcW w:w="1083" w:type="dxa"/>
            <w:vAlign w:val="center"/>
          </w:tcPr>
          <w:p w:rsidR="00AF52A5" w:rsidRDefault="00DD1EC6">
            <w:pPr>
              <w:jc w:val="right"/>
            </w:pPr>
            <w:r>
              <w:rPr>
                <w:rFonts w:eastAsiaTheme="minorEastAsia"/>
                <w:bCs/>
                <w:color w:val="000000" w:themeColor="text1"/>
                <w:szCs w:val="21"/>
              </w:rPr>
              <w:t>384,205.11</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24</w:t>
      </w:r>
      <w:r w:rsidRPr="005B5C10">
        <w:rPr>
          <w:rFonts w:eastAsiaTheme="minorEastAsia"/>
          <w:color w:val="000000" w:themeColor="text1"/>
          <w:kern w:val="0"/>
          <w:szCs w:val="21"/>
        </w:rPr>
        <w:t>日公司完成股权变更，浦发银行作为本期关联方的期间为：</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w:t>
      </w:r>
      <w:r w:rsidRPr="005B5C10">
        <w:rPr>
          <w:rFonts w:eastAsiaTheme="minorEastAsia"/>
          <w:color w:val="000000" w:themeColor="text1"/>
          <w:kern w:val="0"/>
          <w:szCs w:val="21"/>
        </w:rPr>
        <w:t>月</w:t>
      </w:r>
      <w:r w:rsidRPr="005B5C10">
        <w:rPr>
          <w:rFonts w:eastAsiaTheme="minorEastAsia"/>
          <w:color w:val="000000" w:themeColor="text1"/>
          <w:kern w:val="0"/>
          <w:szCs w:val="21"/>
        </w:rPr>
        <w:t>1</w:t>
      </w:r>
      <w:r w:rsidRPr="005B5C10">
        <w:rPr>
          <w:rFonts w:eastAsiaTheme="minorEastAsia"/>
          <w:color w:val="000000" w:themeColor="text1"/>
          <w:kern w:val="0"/>
          <w:szCs w:val="21"/>
        </w:rPr>
        <w:lastRenderedPageBreak/>
        <w:t>日至</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3</w:t>
      </w:r>
      <w:r w:rsidRPr="005B5C10">
        <w:rPr>
          <w:rFonts w:eastAsiaTheme="minorEastAsia"/>
          <w:color w:val="000000" w:themeColor="text1"/>
          <w:kern w:val="0"/>
          <w:szCs w:val="21"/>
        </w:rPr>
        <w:t>月</w:t>
      </w:r>
      <w:r w:rsidRPr="005B5C10">
        <w:rPr>
          <w:rFonts w:eastAsiaTheme="minorEastAsia"/>
          <w:color w:val="000000" w:themeColor="text1"/>
          <w:kern w:val="0"/>
          <w:szCs w:val="21"/>
        </w:rPr>
        <w:t>23</w:t>
      </w:r>
      <w:r w:rsidRPr="005B5C10">
        <w:rPr>
          <w:rFonts w:eastAsiaTheme="minorEastAsia"/>
          <w:color w:val="000000" w:themeColor="text1"/>
          <w:kern w:val="0"/>
          <w:szCs w:val="21"/>
        </w:rPr>
        <w:t>日。</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 </w:t>
      </w:r>
      <w:r w:rsidRPr="005B5C10">
        <w:rPr>
          <w:rFonts w:eastAsiaTheme="minorEastAsia"/>
          <w:b/>
          <w:bCs/>
          <w:color w:val="000000" w:themeColor="text1"/>
          <w:szCs w:val="21"/>
        </w:rPr>
        <w:t>各关联方投资本基金的情况</w:t>
      </w:r>
    </w:p>
    <w:p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6.4.10.4.1 </w:t>
      </w:r>
      <w:r w:rsidRPr="005B5C10">
        <w:rPr>
          <w:rFonts w:eastAsiaTheme="minorEastAsia"/>
          <w:b/>
          <w:bCs/>
          <w:color w:val="000000" w:themeColor="text1"/>
          <w:szCs w:val="21"/>
        </w:rPr>
        <w:t>报告期内基金管理人运用固有资金投资本基金的情况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6.4.10.4.2 </w:t>
      </w:r>
      <w:r w:rsidRPr="005B5C10">
        <w:rPr>
          <w:rFonts w:eastAsiaTheme="minorEastAsia"/>
          <w:b/>
          <w:bCs/>
          <w:color w:val="000000" w:themeColor="text1"/>
          <w:szCs w:val="21"/>
        </w:rPr>
        <w:t>报告期末除基金管理人之外的其他关联方投资本基金的情况</w:t>
      </w:r>
    </w:p>
    <w:p w:rsidR="006B65E1" w:rsidRPr="005B5C10" w:rsidRDefault="00945F2E">
      <w:pPr>
        <w:adjustRightInd w:val="0"/>
        <w:snapToGrid w:val="0"/>
        <w:spacing w:line="288" w:lineRule="auto"/>
        <w:jc w:val="right"/>
        <w:rPr>
          <w:rFonts w:eastAsiaTheme="minorEastAsia"/>
          <w:color w:val="000000" w:themeColor="text1"/>
          <w:szCs w:val="21"/>
        </w:rPr>
      </w:pPr>
      <w:r w:rsidRPr="005B5C10">
        <w:rPr>
          <w:rFonts w:eastAsiaTheme="minorEastAsia"/>
          <w:color w:val="000000" w:themeColor="text1"/>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8148A4" w:rsidRPr="005B5C10">
        <w:tc>
          <w:tcPr>
            <w:tcW w:w="1800"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42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780" w:type="dxa"/>
            <w:gridSpan w:val="2"/>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rPr>
          <w:trHeight w:val="2046"/>
        </w:trPr>
        <w:tc>
          <w:tcPr>
            <w:tcW w:w="1800"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98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c>
          <w:tcPr>
            <w:tcW w:w="216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w:t>
            </w:r>
          </w:p>
        </w:tc>
        <w:tc>
          <w:tcPr>
            <w:tcW w:w="16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持有的基金份额占基金总份额的比例</w:t>
            </w:r>
          </w:p>
        </w:tc>
      </w:tr>
      <w:tr w:rsidR="00AF52A5">
        <w:tc>
          <w:tcPr>
            <w:tcW w:w="1800" w:type="dxa"/>
            <w:vAlign w:val="center"/>
          </w:tcPr>
          <w:p w:rsidR="00AF52A5" w:rsidRDefault="00DD1EC6">
            <w:pPr>
              <w:jc w:val="left"/>
            </w:pPr>
            <w:r>
              <w:rPr>
                <w:rFonts w:eastAsiaTheme="minorEastAsia"/>
                <w:color w:val="000000" w:themeColor="text1"/>
                <w:szCs w:val="21"/>
              </w:rPr>
              <w:t>兴业银行</w:t>
            </w:r>
          </w:p>
        </w:tc>
        <w:tc>
          <w:tcPr>
            <w:tcW w:w="1980" w:type="dxa"/>
            <w:vAlign w:val="center"/>
          </w:tcPr>
          <w:p w:rsidR="00AF52A5" w:rsidRDefault="00DD1EC6">
            <w:pPr>
              <w:jc w:val="right"/>
            </w:pPr>
            <w:r>
              <w:rPr>
                <w:rFonts w:eastAsiaTheme="minorEastAsia"/>
                <w:color w:val="000000" w:themeColor="text1"/>
                <w:szCs w:val="21"/>
              </w:rPr>
              <w:t>3,989,999,000.00</w:t>
            </w:r>
          </w:p>
        </w:tc>
        <w:tc>
          <w:tcPr>
            <w:tcW w:w="1440" w:type="dxa"/>
            <w:vAlign w:val="center"/>
          </w:tcPr>
          <w:p w:rsidR="00AF52A5" w:rsidRDefault="00DD1EC6">
            <w:pPr>
              <w:jc w:val="right"/>
            </w:pPr>
            <w:r>
              <w:rPr>
                <w:rFonts w:eastAsiaTheme="minorEastAsia"/>
                <w:color w:val="000000" w:themeColor="text1"/>
                <w:szCs w:val="21"/>
              </w:rPr>
              <w:t>49.94%</w:t>
            </w:r>
          </w:p>
        </w:tc>
        <w:tc>
          <w:tcPr>
            <w:tcW w:w="2160" w:type="dxa"/>
            <w:vAlign w:val="center"/>
          </w:tcPr>
          <w:p w:rsidR="00AF52A5" w:rsidRDefault="00DD1EC6">
            <w:pPr>
              <w:jc w:val="right"/>
            </w:pPr>
            <w:r>
              <w:rPr>
                <w:rFonts w:eastAsiaTheme="minorEastAsia"/>
                <w:color w:val="000000" w:themeColor="text1"/>
                <w:szCs w:val="21"/>
              </w:rPr>
              <w:t>3,989,999,000.00</w:t>
            </w:r>
          </w:p>
        </w:tc>
        <w:tc>
          <w:tcPr>
            <w:tcW w:w="1620" w:type="dxa"/>
            <w:vAlign w:val="center"/>
          </w:tcPr>
          <w:p w:rsidR="00AF52A5" w:rsidRDefault="00DD1EC6">
            <w:pPr>
              <w:jc w:val="right"/>
            </w:pPr>
            <w:r>
              <w:rPr>
                <w:rFonts w:eastAsiaTheme="minorEastAsia"/>
                <w:color w:val="000000" w:themeColor="text1"/>
                <w:szCs w:val="21"/>
              </w:rPr>
              <w:t>49.94%</w:t>
            </w:r>
          </w:p>
        </w:tc>
      </w:tr>
    </w:tbl>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由关联方保管的银行存款余额及当期产生的利息收入</w:t>
      </w:r>
    </w:p>
    <w:p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tc>
          <w:tcPr>
            <w:tcW w:w="2694" w:type="dxa"/>
            <w:vMerge w:val="restart"/>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tc>
          <w:tcPr>
            <w:tcW w:w="2694" w:type="dxa"/>
            <w:vMerge/>
            <w:vAlign w:val="center"/>
          </w:tcPr>
          <w:p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AF52A5">
        <w:tc>
          <w:tcPr>
            <w:tcW w:w="2694" w:type="dxa"/>
            <w:vAlign w:val="center"/>
          </w:tcPr>
          <w:p w:rsidR="00AF52A5" w:rsidRDefault="00DD1EC6">
            <w:pPr>
              <w:jc w:val="left"/>
            </w:pPr>
            <w:r>
              <w:rPr>
                <w:rFonts w:eastAsiaTheme="minorEastAsia"/>
                <w:color w:val="000000" w:themeColor="text1"/>
                <w:szCs w:val="21"/>
              </w:rPr>
              <w:t>兴业银行</w:t>
            </w:r>
          </w:p>
        </w:tc>
        <w:tc>
          <w:tcPr>
            <w:tcW w:w="1417" w:type="dxa"/>
            <w:vAlign w:val="center"/>
          </w:tcPr>
          <w:p w:rsidR="00AF52A5" w:rsidRDefault="00DD1EC6">
            <w:pPr>
              <w:jc w:val="right"/>
            </w:pPr>
            <w:r>
              <w:rPr>
                <w:rFonts w:eastAsiaTheme="minorEastAsia"/>
                <w:color w:val="000000" w:themeColor="text1"/>
                <w:szCs w:val="21"/>
              </w:rPr>
              <w:t>1,594,837.81</w:t>
            </w:r>
          </w:p>
        </w:tc>
        <w:tc>
          <w:tcPr>
            <w:tcW w:w="1736" w:type="dxa"/>
            <w:vAlign w:val="center"/>
          </w:tcPr>
          <w:p w:rsidR="00AF52A5" w:rsidRDefault="00DD1EC6">
            <w:pPr>
              <w:jc w:val="right"/>
            </w:pPr>
            <w:r>
              <w:rPr>
                <w:rFonts w:eastAsiaTheme="minorEastAsia"/>
                <w:color w:val="000000" w:themeColor="text1"/>
                <w:szCs w:val="21"/>
              </w:rPr>
              <w:t>17,516.50</w:t>
            </w:r>
          </w:p>
        </w:tc>
        <w:tc>
          <w:tcPr>
            <w:tcW w:w="1383" w:type="dxa"/>
            <w:vAlign w:val="center"/>
          </w:tcPr>
          <w:p w:rsidR="00AF52A5" w:rsidRDefault="00DD1EC6">
            <w:pPr>
              <w:jc w:val="right"/>
            </w:pPr>
            <w:r>
              <w:rPr>
                <w:rFonts w:eastAsiaTheme="minorEastAsia"/>
                <w:color w:val="000000" w:themeColor="text1"/>
                <w:szCs w:val="21"/>
              </w:rPr>
              <w:t>2,926,806.62</w:t>
            </w:r>
          </w:p>
        </w:tc>
        <w:tc>
          <w:tcPr>
            <w:tcW w:w="1770" w:type="dxa"/>
            <w:vAlign w:val="center"/>
          </w:tcPr>
          <w:p w:rsidR="00AF52A5" w:rsidRDefault="00DD1EC6">
            <w:pPr>
              <w:jc w:val="right"/>
            </w:pPr>
            <w:r>
              <w:rPr>
                <w:rFonts w:eastAsiaTheme="minorEastAsia"/>
                <w:color w:val="000000" w:themeColor="text1"/>
                <w:szCs w:val="21"/>
              </w:rPr>
              <w:t>16,321.99</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注：本基金的银行存款由基金托管人兴业银行保管，按银行同业利率计息。</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本基金在承销期内参与关联方承销证券的情况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2023</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无。</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截至本报告期末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06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日止，本基金从事银行间市场债券正回购交易形成的卖出回购证券款余额</w:t>
      </w:r>
      <w:r w:rsidRPr="005B5C10">
        <w:rPr>
          <w:rFonts w:eastAsiaTheme="minorEastAsia"/>
          <w:color w:val="000000" w:themeColor="text1"/>
          <w:szCs w:val="21"/>
        </w:rPr>
        <w:t>3,300,812,579.40</w:t>
      </w:r>
      <w:r w:rsidRPr="005B5C10">
        <w:rPr>
          <w:rFonts w:eastAsiaTheme="minorEastAsia"/>
          <w:color w:val="000000" w:themeColor="text1"/>
          <w:szCs w:val="21"/>
        </w:rPr>
        <w:t>元，是以如下债券作为抵押：</w:t>
      </w:r>
    </w:p>
    <w:p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8148A4" w:rsidRPr="005B5C10">
        <w:tc>
          <w:tcPr>
            <w:tcW w:w="150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债券代码</w:t>
            </w:r>
          </w:p>
        </w:tc>
        <w:tc>
          <w:tcPr>
            <w:tcW w:w="150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债券名称</w:t>
            </w:r>
          </w:p>
        </w:tc>
        <w:tc>
          <w:tcPr>
            <w:tcW w:w="150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回购到期日</w:t>
            </w:r>
          </w:p>
        </w:tc>
        <w:tc>
          <w:tcPr>
            <w:tcW w:w="126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期末估值单价</w:t>
            </w:r>
          </w:p>
        </w:tc>
        <w:tc>
          <w:tcPr>
            <w:tcW w:w="1440"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数量（张）</w:t>
            </w:r>
          </w:p>
        </w:tc>
        <w:tc>
          <w:tcPr>
            <w:tcW w:w="1836"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期末估值总额</w:t>
            </w:r>
          </w:p>
        </w:tc>
      </w:tr>
      <w:tr w:rsidR="00AF52A5">
        <w:tc>
          <w:tcPr>
            <w:tcW w:w="1500" w:type="dxa"/>
            <w:vAlign w:val="center"/>
          </w:tcPr>
          <w:p w:rsidR="00AF52A5" w:rsidRDefault="00DD1EC6">
            <w:pPr>
              <w:jc w:val="center"/>
            </w:pPr>
            <w:r>
              <w:rPr>
                <w:rFonts w:eastAsiaTheme="minorEastAsia"/>
                <w:color w:val="000000" w:themeColor="text1"/>
                <w:kern w:val="0"/>
                <w:szCs w:val="21"/>
              </w:rPr>
              <w:t>170210</w:t>
            </w:r>
          </w:p>
        </w:tc>
        <w:tc>
          <w:tcPr>
            <w:tcW w:w="1500" w:type="dxa"/>
            <w:vAlign w:val="center"/>
          </w:tcPr>
          <w:p w:rsidR="00AF52A5" w:rsidRDefault="00DD1EC6">
            <w:pPr>
              <w:jc w:val="center"/>
            </w:pPr>
            <w:r>
              <w:rPr>
                <w:rFonts w:eastAsiaTheme="minorEastAsia"/>
                <w:color w:val="000000" w:themeColor="text1"/>
                <w:kern w:val="0"/>
                <w:szCs w:val="21"/>
              </w:rPr>
              <w:t>17</w:t>
            </w:r>
            <w:r>
              <w:rPr>
                <w:rFonts w:eastAsiaTheme="minorEastAsia"/>
                <w:color w:val="000000" w:themeColor="text1"/>
                <w:kern w:val="0"/>
                <w:szCs w:val="21"/>
              </w:rPr>
              <w:t>国开</w:t>
            </w:r>
            <w:r>
              <w:rPr>
                <w:rFonts w:eastAsiaTheme="minorEastAsia"/>
                <w:color w:val="000000" w:themeColor="text1"/>
                <w:kern w:val="0"/>
                <w:szCs w:val="21"/>
              </w:rPr>
              <w:t>10</w:t>
            </w:r>
          </w:p>
        </w:tc>
        <w:tc>
          <w:tcPr>
            <w:tcW w:w="1500" w:type="dxa"/>
            <w:vAlign w:val="center"/>
          </w:tcPr>
          <w:p w:rsidR="00AF52A5" w:rsidRDefault="00DD1EC6">
            <w:pPr>
              <w:jc w:val="center"/>
            </w:pPr>
            <w:r>
              <w:rPr>
                <w:rFonts w:eastAsiaTheme="minorEastAsia"/>
                <w:color w:val="000000" w:themeColor="text1"/>
                <w:kern w:val="0"/>
                <w:szCs w:val="21"/>
              </w:rPr>
              <w:t>2023-07-03</w:t>
            </w:r>
          </w:p>
        </w:tc>
        <w:tc>
          <w:tcPr>
            <w:tcW w:w="1260" w:type="dxa"/>
            <w:vAlign w:val="center"/>
          </w:tcPr>
          <w:p w:rsidR="00AF52A5" w:rsidRDefault="00DD1EC6">
            <w:pPr>
              <w:jc w:val="right"/>
            </w:pPr>
            <w:r>
              <w:rPr>
                <w:rFonts w:eastAsiaTheme="minorEastAsia"/>
                <w:color w:val="000000" w:themeColor="text1"/>
                <w:kern w:val="0"/>
                <w:szCs w:val="21"/>
              </w:rPr>
              <w:t>106.24</w:t>
            </w:r>
          </w:p>
        </w:tc>
        <w:tc>
          <w:tcPr>
            <w:tcW w:w="1440" w:type="dxa"/>
            <w:vAlign w:val="center"/>
          </w:tcPr>
          <w:p w:rsidR="00AF52A5" w:rsidRDefault="00DD1EC6">
            <w:pPr>
              <w:jc w:val="right"/>
            </w:pPr>
            <w:r>
              <w:rPr>
                <w:rFonts w:eastAsiaTheme="minorEastAsia"/>
                <w:color w:val="000000" w:themeColor="text1"/>
                <w:kern w:val="0"/>
                <w:szCs w:val="21"/>
              </w:rPr>
              <w:t>9,970,000.00</w:t>
            </w:r>
          </w:p>
        </w:tc>
        <w:tc>
          <w:tcPr>
            <w:tcW w:w="1836" w:type="dxa"/>
            <w:vAlign w:val="center"/>
          </w:tcPr>
          <w:p w:rsidR="00AF52A5" w:rsidRDefault="00DD1EC6">
            <w:pPr>
              <w:jc w:val="right"/>
            </w:pPr>
            <w:r>
              <w:rPr>
                <w:rFonts w:eastAsiaTheme="minorEastAsia"/>
                <w:color w:val="000000" w:themeColor="text1"/>
                <w:kern w:val="0"/>
                <w:szCs w:val="21"/>
              </w:rPr>
              <w:t>1,059,164,312.02</w:t>
            </w:r>
          </w:p>
        </w:tc>
      </w:tr>
      <w:tr w:rsidR="00AF52A5">
        <w:tc>
          <w:tcPr>
            <w:tcW w:w="1500" w:type="dxa"/>
            <w:vAlign w:val="center"/>
          </w:tcPr>
          <w:p w:rsidR="00AF52A5" w:rsidRDefault="00DD1EC6">
            <w:pPr>
              <w:jc w:val="center"/>
            </w:pPr>
            <w:r>
              <w:rPr>
                <w:rFonts w:eastAsiaTheme="minorEastAsia"/>
                <w:color w:val="000000" w:themeColor="text1"/>
                <w:kern w:val="0"/>
                <w:szCs w:val="21"/>
              </w:rPr>
              <w:t>170215</w:t>
            </w:r>
          </w:p>
        </w:tc>
        <w:tc>
          <w:tcPr>
            <w:tcW w:w="1500" w:type="dxa"/>
            <w:vAlign w:val="center"/>
          </w:tcPr>
          <w:p w:rsidR="00AF52A5" w:rsidRDefault="00DD1EC6">
            <w:pPr>
              <w:jc w:val="center"/>
            </w:pPr>
            <w:r>
              <w:rPr>
                <w:rFonts w:eastAsiaTheme="minorEastAsia"/>
                <w:color w:val="000000" w:themeColor="text1"/>
                <w:kern w:val="0"/>
                <w:szCs w:val="21"/>
              </w:rPr>
              <w:t>17</w:t>
            </w:r>
            <w:r>
              <w:rPr>
                <w:rFonts w:eastAsiaTheme="minorEastAsia"/>
                <w:color w:val="000000" w:themeColor="text1"/>
                <w:kern w:val="0"/>
                <w:szCs w:val="21"/>
              </w:rPr>
              <w:t>国开</w:t>
            </w:r>
            <w:r>
              <w:rPr>
                <w:rFonts w:eastAsiaTheme="minorEastAsia"/>
                <w:color w:val="000000" w:themeColor="text1"/>
                <w:kern w:val="0"/>
                <w:szCs w:val="21"/>
              </w:rPr>
              <w:t>15</w:t>
            </w:r>
          </w:p>
        </w:tc>
        <w:tc>
          <w:tcPr>
            <w:tcW w:w="1500" w:type="dxa"/>
            <w:vAlign w:val="center"/>
          </w:tcPr>
          <w:p w:rsidR="00AF52A5" w:rsidRDefault="00DD1EC6">
            <w:pPr>
              <w:jc w:val="center"/>
            </w:pPr>
            <w:r>
              <w:rPr>
                <w:rFonts w:eastAsiaTheme="minorEastAsia"/>
                <w:color w:val="000000" w:themeColor="text1"/>
                <w:kern w:val="0"/>
                <w:szCs w:val="21"/>
              </w:rPr>
              <w:t>2023-07-04</w:t>
            </w:r>
          </w:p>
        </w:tc>
        <w:tc>
          <w:tcPr>
            <w:tcW w:w="1260" w:type="dxa"/>
            <w:vAlign w:val="center"/>
          </w:tcPr>
          <w:p w:rsidR="00AF52A5" w:rsidRDefault="00DD1EC6">
            <w:pPr>
              <w:jc w:val="right"/>
            </w:pPr>
            <w:r>
              <w:rPr>
                <w:rFonts w:eastAsiaTheme="minorEastAsia"/>
                <w:color w:val="000000" w:themeColor="text1"/>
                <w:kern w:val="0"/>
                <w:szCs w:val="21"/>
              </w:rPr>
              <w:t>110.08</w:t>
            </w:r>
          </w:p>
        </w:tc>
        <w:tc>
          <w:tcPr>
            <w:tcW w:w="1440" w:type="dxa"/>
            <w:vAlign w:val="center"/>
          </w:tcPr>
          <w:p w:rsidR="00AF52A5" w:rsidRDefault="00DD1EC6">
            <w:pPr>
              <w:jc w:val="right"/>
            </w:pPr>
            <w:r>
              <w:rPr>
                <w:rFonts w:eastAsiaTheme="minorEastAsia"/>
                <w:color w:val="000000" w:themeColor="text1"/>
                <w:kern w:val="0"/>
                <w:szCs w:val="21"/>
              </w:rPr>
              <w:t>2,200,000.00</w:t>
            </w:r>
          </w:p>
        </w:tc>
        <w:tc>
          <w:tcPr>
            <w:tcW w:w="1836" w:type="dxa"/>
            <w:vAlign w:val="center"/>
          </w:tcPr>
          <w:p w:rsidR="00AF52A5" w:rsidRDefault="00DD1EC6">
            <w:pPr>
              <w:jc w:val="right"/>
            </w:pPr>
            <w:r>
              <w:rPr>
                <w:rFonts w:eastAsiaTheme="minorEastAsia"/>
                <w:color w:val="000000" w:themeColor="text1"/>
                <w:kern w:val="0"/>
                <w:szCs w:val="21"/>
              </w:rPr>
              <w:t>242,181,967.12</w:t>
            </w:r>
          </w:p>
        </w:tc>
      </w:tr>
      <w:tr w:rsidR="00AF52A5">
        <w:tc>
          <w:tcPr>
            <w:tcW w:w="1500" w:type="dxa"/>
            <w:vAlign w:val="center"/>
          </w:tcPr>
          <w:p w:rsidR="00AF52A5" w:rsidRDefault="00DD1EC6">
            <w:pPr>
              <w:jc w:val="center"/>
            </w:pPr>
            <w:r>
              <w:rPr>
                <w:rFonts w:eastAsiaTheme="minorEastAsia"/>
                <w:color w:val="000000" w:themeColor="text1"/>
                <w:kern w:val="0"/>
                <w:szCs w:val="21"/>
              </w:rPr>
              <w:t>170215</w:t>
            </w:r>
          </w:p>
        </w:tc>
        <w:tc>
          <w:tcPr>
            <w:tcW w:w="1500" w:type="dxa"/>
            <w:vAlign w:val="center"/>
          </w:tcPr>
          <w:p w:rsidR="00AF52A5" w:rsidRDefault="00DD1EC6">
            <w:pPr>
              <w:jc w:val="center"/>
            </w:pPr>
            <w:r>
              <w:rPr>
                <w:rFonts w:eastAsiaTheme="minorEastAsia"/>
                <w:color w:val="000000" w:themeColor="text1"/>
                <w:kern w:val="0"/>
                <w:szCs w:val="21"/>
              </w:rPr>
              <w:t>17</w:t>
            </w:r>
            <w:r>
              <w:rPr>
                <w:rFonts w:eastAsiaTheme="minorEastAsia"/>
                <w:color w:val="000000" w:themeColor="text1"/>
                <w:kern w:val="0"/>
                <w:szCs w:val="21"/>
              </w:rPr>
              <w:t>国开</w:t>
            </w:r>
            <w:r>
              <w:rPr>
                <w:rFonts w:eastAsiaTheme="minorEastAsia"/>
                <w:color w:val="000000" w:themeColor="text1"/>
                <w:kern w:val="0"/>
                <w:szCs w:val="21"/>
              </w:rPr>
              <w:t>15</w:t>
            </w:r>
          </w:p>
        </w:tc>
        <w:tc>
          <w:tcPr>
            <w:tcW w:w="1500" w:type="dxa"/>
            <w:vAlign w:val="center"/>
          </w:tcPr>
          <w:p w:rsidR="00AF52A5" w:rsidRDefault="00DD1EC6">
            <w:pPr>
              <w:jc w:val="center"/>
            </w:pPr>
            <w:r>
              <w:rPr>
                <w:rFonts w:eastAsiaTheme="minorEastAsia"/>
                <w:color w:val="000000" w:themeColor="text1"/>
                <w:kern w:val="0"/>
                <w:szCs w:val="21"/>
              </w:rPr>
              <w:t>2023-07-05</w:t>
            </w:r>
          </w:p>
        </w:tc>
        <w:tc>
          <w:tcPr>
            <w:tcW w:w="1260" w:type="dxa"/>
            <w:vAlign w:val="center"/>
          </w:tcPr>
          <w:p w:rsidR="00AF52A5" w:rsidRDefault="00DD1EC6">
            <w:pPr>
              <w:jc w:val="right"/>
            </w:pPr>
            <w:r>
              <w:rPr>
                <w:rFonts w:eastAsiaTheme="minorEastAsia"/>
                <w:color w:val="000000" w:themeColor="text1"/>
                <w:kern w:val="0"/>
                <w:szCs w:val="21"/>
              </w:rPr>
              <w:t>110.08</w:t>
            </w:r>
          </w:p>
        </w:tc>
        <w:tc>
          <w:tcPr>
            <w:tcW w:w="1440" w:type="dxa"/>
            <w:vAlign w:val="center"/>
          </w:tcPr>
          <w:p w:rsidR="00AF52A5" w:rsidRDefault="00DD1EC6">
            <w:pPr>
              <w:jc w:val="right"/>
            </w:pPr>
            <w:r>
              <w:rPr>
                <w:rFonts w:eastAsiaTheme="minorEastAsia"/>
                <w:color w:val="000000" w:themeColor="text1"/>
                <w:kern w:val="0"/>
                <w:szCs w:val="21"/>
              </w:rPr>
              <w:t>2,200,000.00</w:t>
            </w:r>
          </w:p>
        </w:tc>
        <w:tc>
          <w:tcPr>
            <w:tcW w:w="1836" w:type="dxa"/>
            <w:vAlign w:val="center"/>
          </w:tcPr>
          <w:p w:rsidR="00AF52A5" w:rsidRDefault="00DD1EC6">
            <w:pPr>
              <w:jc w:val="right"/>
            </w:pPr>
            <w:r>
              <w:rPr>
                <w:rFonts w:eastAsiaTheme="minorEastAsia"/>
                <w:color w:val="000000" w:themeColor="text1"/>
                <w:kern w:val="0"/>
                <w:szCs w:val="21"/>
              </w:rPr>
              <w:t>242,181,967.12</w:t>
            </w:r>
          </w:p>
        </w:tc>
      </w:tr>
      <w:tr w:rsidR="00AF52A5">
        <w:tc>
          <w:tcPr>
            <w:tcW w:w="1500" w:type="dxa"/>
            <w:vAlign w:val="center"/>
          </w:tcPr>
          <w:p w:rsidR="00AF52A5" w:rsidRDefault="00DD1EC6">
            <w:pPr>
              <w:jc w:val="center"/>
            </w:pPr>
            <w:r>
              <w:rPr>
                <w:rFonts w:eastAsiaTheme="minorEastAsia"/>
                <w:color w:val="000000" w:themeColor="text1"/>
                <w:kern w:val="0"/>
                <w:szCs w:val="21"/>
              </w:rPr>
              <w:t>170415</w:t>
            </w:r>
          </w:p>
        </w:tc>
        <w:tc>
          <w:tcPr>
            <w:tcW w:w="1500" w:type="dxa"/>
            <w:vAlign w:val="center"/>
          </w:tcPr>
          <w:p w:rsidR="00AF52A5" w:rsidRDefault="00DD1EC6">
            <w:pPr>
              <w:jc w:val="center"/>
            </w:pPr>
            <w:r>
              <w:rPr>
                <w:rFonts w:eastAsiaTheme="minorEastAsia"/>
                <w:color w:val="000000" w:themeColor="text1"/>
                <w:kern w:val="0"/>
                <w:szCs w:val="21"/>
              </w:rPr>
              <w:t>17</w:t>
            </w:r>
            <w:r>
              <w:rPr>
                <w:rFonts w:eastAsiaTheme="minorEastAsia"/>
                <w:color w:val="000000" w:themeColor="text1"/>
                <w:kern w:val="0"/>
                <w:szCs w:val="21"/>
              </w:rPr>
              <w:t>农发</w:t>
            </w:r>
            <w:r>
              <w:rPr>
                <w:rFonts w:eastAsiaTheme="minorEastAsia"/>
                <w:color w:val="000000" w:themeColor="text1"/>
                <w:kern w:val="0"/>
                <w:szCs w:val="21"/>
              </w:rPr>
              <w:t>15</w:t>
            </w:r>
          </w:p>
        </w:tc>
        <w:tc>
          <w:tcPr>
            <w:tcW w:w="1500" w:type="dxa"/>
            <w:vAlign w:val="center"/>
          </w:tcPr>
          <w:p w:rsidR="00AF52A5" w:rsidRDefault="00DD1EC6">
            <w:pPr>
              <w:jc w:val="center"/>
            </w:pPr>
            <w:r>
              <w:rPr>
                <w:rFonts w:eastAsiaTheme="minorEastAsia"/>
                <w:color w:val="000000" w:themeColor="text1"/>
                <w:kern w:val="0"/>
                <w:szCs w:val="21"/>
              </w:rPr>
              <w:t>2023-07-04</w:t>
            </w:r>
          </w:p>
        </w:tc>
        <w:tc>
          <w:tcPr>
            <w:tcW w:w="1260" w:type="dxa"/>
            <w:vAlign w:val="center"/>
          </w:tcPr>
          <w:p w:rsidR="00AF52A5" w:rsidRDefault="00DD1EC6">
            <w:pPr>
              <w:jc w:val="right"/>
            </w:pPr>
            <w:r>
              <w:rPr>
                <w:rFonts w:eastAsiaTheme="minorEastAsia"/>
                <w:color w:val="000000" w:themeColor="text1"/>
                <w:kern w:val="0"/>
                <w:szCs w:val="21"/>
              </w:rPr>
              <w:t>110.57</w:t>
            </w:r>
          </w:p>
        </w:tc>
        <w:tc>
          <w:tcPr>
            <w:tcW w:w="1440" w:type="dxa"/>
            <w:vAlign w:val="center"/>
          </w:tcPr>
          <w:p w:rsidR="00AF52A5" w:rsidRDefault="00DD1EC6">
            <w:pPr>
              <w:jc w:val="right"/>
            </w:pPr>
            <w:r>
              <w:rPr>
                <w:rFonts w:eastAsiaTheme="minorEastAsia"/>
                <w:color w:val="000000" w:themeColor="text1"/>
                <w:kern w:val="0"/>
                <w:szCs w:val="21"/>
              </w:rPr>
              <w:t>6,400,000.00</w:t>
            </w:r>
          </w:p>
        </w:tc>
        <w:tc>
          <w:tcPr>
            <w:tcW w:w="1836" w:type="dxa"/>
            <w:vAlign w:val="center"/>
          </w:tcPr>
          <w:p w:rsidR="00AF52A5" w:rsidRDefault="00DD1EC6">
            <w:pPr>
              <w:jc w:val="right"/>
            </w:pPr>
            <w:r>
              <w:rPr>
                <w:rFonts w:eastAsiaTheme="minorEastAsia"/>
                <w:color w:val="000000" w:themeColor="text1"/>
                <w:kern w:val="0"/>
                <w:szCs w:val="21"/>
              </w:rPr>
              <w:t>707,648,701.37</w:t>
            </w:r>
          </w:p>
        </w:tc>
      </w:tr>
      <w:tr w:rsidR="00AF52A5">
        <w:tc>
          <w:tcPr>
            <w:tcW w:w="1500" w:type="dxa"/>
            <w:vAlign w:val="center"/>
          </w:tcPr>
          <w:p w:rsidR="00AF52A5" w:rsidRDefault="00DD1EC6">
            <w:pPr>
              <w:jc w:val="center"/>
            </w:pPr>
            <w:r>
              <w:rPr>
                <w:rFonts w:eastAsiaTheme="minorEastAsia"/>
                <w:color w:val="000000" w:themeColor="text1"/>
                <w:kern w:val="0"/>
                <w:szCs w:val="21"/>
              </w:rPr>
              <w:t>200209</w:t>
            </w:r>
          </w:p>
        </w:tc>
        <w:tc>
          <w:tcPr>
            <w:tcW w:w="1500" w:type="dxa"/>
            <w:vAlign w:val="center"/>
          </w:tcPr>
          <w:p w:rsidR="00AF52A5" w:rsidRDefault="00DD1EC6">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09</w:t>
            </w:r>
          </w:p>
        </w:tc>
        <w:tc>
          <w:tcPr>
            <w:tcW w:w="1500" w:type="dxa"/>
            <w:vAlign w:val="center"/>
          </w:tcPr>
          <w:p w:rsidR="00AF52A5" w:rsidRDefault="00DD1EC6">
            <w:pPr>
              <w:jc w:val="center"/>
            </w:pPr>
            <w:r>
              <w:rPr>
                <w:rFonts w:eastAsiaTheme="minorEastAsia"/>
                <w:color w:val="000000" w:themeColor="text1"/>
                <w:kern w:val="0"/>
                <w:szCs w:val="21"/>
              </w:rPr>
              <w:t>2023-07-03</w:t>
            </w:r>
          </w:p>
        </w:tc>
        <w:tc>
          <w:tcPr>
            <w:tcW w:w="1260" w:type="dxa"/>
            <w:vAlign w:val="center"/>
          </w:tcPr>
          <w:p w:rsidR="00AF52A5" w:rsidRDefault="00DD1EC6">
            <w:pPr>
              <w:jc w:val="right"/>
            </w:pPr>
            <w:r>
              <w:rPr>
                <w:rFonts w:eastAsiaTheme="minorEastAsia"/>
                <w:color w:val="000000" w:themeColor="text1"/>
                <w:kern w:val="0"/>
                <w:szCs w:val="21"/>
              </w:rPr>
              <w:t>106.37</w:t>
            </w:r>
          </w:p>
        </w:tc>
        <w:tc>
          <w:tcPr>
            <w:tcW w:w="1440" w:type="dxa"/>
            <w:vAlign w:val="center"/>
          </w:tcPr>
          <w:p w:rsidR="00AF52A5" w:rsidRDefault="00DD1EC6">
            <w:pPr>
              <w:jc w:val="right"/>
            </w:pPr>
            <w:r>
              <w:rPr>
                <w:rFonts w:eastAsiaTheme="minorEastAsia"/>
                <w:color w:val="000000" w:themeColor="text1"/>
                <w:kern w:val="0"/>
                <w:szCs w:val="21"/>
              </w:rPr>
              <w:t>8,000,000.00</w:t>
            </w:r>
          </w:p>
        </w:tc>
        <w:tc>
          <w:tcPr>
            <w:tcW w:w="1836" w:type="dxa"/>
            <w:vAlign w:val="center"/>
          </w:tcPr>
          <w:p w:rsidR="00AF52A5" w:rsidRDefault="00DD1EC6">
            <w:pPr>
              <w:jc w:val="right"/>
            </w:pPr>
            <w:r>
              <w:rPr>
                <w:rFonts w:eastAsiaTheme="minorEastAsia"/>
                <w:color w:val="000000" w:themeColor="text1"/>
                <w:kern w:val="0"/>
                <w:szCs w:val="21"/>
              </w:rPr>
              <w:t>850,931,287.67</w:t>
            </w:r>
          </w:p>
        </w:tc>
      </w:tr>
      <w:tr w:rsidR="00AF52A5">
        <w:tc>
          <w:tcPr>
            <w:tcW w:w="1500" w:type="dxa"/>
            <w:vAlign w:val="center"/>
          </w:tcPr>
          <w:p w:rsidR="00AF52A5" w:rsidRDefault="00DD1EC6">
            <w:pPr>
              <w:jc w:val="center"/>
            </w:pPr>
            <w:r>
              <w:rPr>
                <w:rFonts w:eastAsiaTheme="minorEastAsia"/>
                <w:color w:val="000000" w:themeColor="text1"/>
                <w:kern w:val="0"/>
                <w:szCs w:val="21"/>
              </w:rPr>
              <w:t>200209</w:t>
            </w:r>
          </w:p>
        </w:tc>
        <w:tc>
          <w:tcPr>
            <w:tcW w:w="1500" w:type="dxa"/>
            <w:vAlign w:val="center"/>
          </w:tcPr>
          <w:p w:rsidR="00AF52A5" w:rsidRDefault="00DD1EC6">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09</w:t>
            </w:r>
          </w:p>
        </w:tc>
        <w:tc>
          <w:tcPr>
            <w:tcW w:w="1500" w:type="dxa"/>
            <w:vAlign w:val="center"/>
          </w:tcPr>
          <w:p w:rsidR="00AF52A5" w:rsidRDefault="00DD1EC6">
            <w:pPr>
              <w:jc w:val="center"/>
            </w:pPr>
            <w:r>
              <w:rPr>
                <w:rFonts w:eastAsiaTheme="minorEastAsia"/>
                <w:color w:val="000000" w:themeColor="text1"/>
                <w:kern w:val="0"/>
                <w:szCs w:val="21"/>
              </w:rPr>
              <w:t>2023-07-05</w:t>
            </w:r>
          </w:p>
        </w:tc>
        <w:tc>
          <w:tcPr>
            <w:tcW w:w="1260" w:type="dxa"/>
            <w:vAlign w:val="center"/>
          </w:tcPr>
          <w:p w:rsidR="00AF52A5" w:rsidRDefault="00DD1EC6">
            <w:pPr>
              <w:jc w:val="right"/>
            </w:pPr>
            <w:r>
              <w:rPr>
                <w:rFonts w:eastAsiaTheme="minorEastAsia"/>
                <w:color w:val="000000" w:themeColor="text1"/>
                <w:kern w:val="0"/>
                <w:szCs w:val="21"/>
              </w:rPr>
              <w:t>106.37</w:t>
            </w:r>
          </w:p>
        </w:tc>
        <w:tc>
          <w:tcPr>
            <w:tcW w:w="1440" w:type="dxa"/>
            <w:vAlign w:val="center"/>
          </w:tcPr>
          <w:p w:rsidR="00AF52A5" w:rsidRDefault="00DD1EC6">
            <w:pPr>
              <w:jc w:val="right"/>
            </w:pPr>
            <w:r>
              <w:rPr>
                <w:rFonts w:eastAsiaTheme="minorEastAsia"/>
                <w:color w:val="000000" w:themeColor="text1"/>
                <w:kern w:val="0"/>
                <w:szCs w:val="21"/>
              </w:rPr>
              <w:t>6,400,000.00</w:t>
            </w:r>
          </w:p>
        </w:tc>
        <w:tc>
          <w:tcPr>
            <w:tcW w:w="1836" w:type="dxa"/>
            <w:vAlign w:val="center"/>
          </w:tcPr>
          <w:p w:rsidR="00AF52A5" w:rsidRDefault="00DD1EC6">
            <w:pPr>
              <w:jc w:val="right"/>
            </w:pPr>
            <w:r>
              <w:rPr>
                <w:rFonts w:eastAsiaTheme="minorEastAsia"/>
                <w:color w:val="000000" w:themeColor="text1"/>
                <w:kern w:val="0"/>
                <w:szCs w:val="21"/>
              </w:rPr>
              <w:t>680,745,030.14</w:t>
            </w:r>
          </w:p>
        </w:tc>
      </w:tr>
      <w:tr w:rsidR="008148A4" w:rsidRPr="005B5C10">
        <w:tc>
          <w:tcPr>
            <w:tcW w:w="1500"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合计</w:t>
            </w:r>
          </w:p>
        </w:tc>
        <w:tc>
          <w:tcPr>
            <w:tcW w:w="1500" w:type="dxa"/>
            <w:vAlign w:val="center"/>
          </w:tcPr>
          <w:p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vAlign w:val="center"/>
          </w:tcPr>
          <w:p w:rsidR="006B65E1" w:rsidRPr="005B5C10" w:rsidRDefault="006B65E1">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vAlign w:val="center"/>
          </w:tcPr>
          <w:p w:rsidR="006B65E1" w:rsidRPr="005B5C10" w:rsidRDefault="006B65E1">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35,170,000.00</w:t>
            </w:r>
          </w:p>
        </w:tc>
        <w:tc>
          <w:tcPr>
            <w:tcW w:w="1836"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3,782,853,265.44</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截至本报告期末</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日止，本基金从事证券交易所债券正回购交易形成的卖出回购证券款余额</w:t>
      </w:r>
      <w:r w:rsidRPr="005B5C10">
        <w:rPr>
          <w:rFonts w:eastAsiaTheme="minorEastAsia"/>
          <w:color w:val="000000" w:themeColor="text1"/>
          <w:szCs w:val="21"/>
        </w:rPr>
        <w:t>2,441,336,805.05</w:t>
      </w:r>
      <w:r w:rsidRPr="005B5C10">
        <w:rPr>
          <w:rFonts w:eastAsiaTheme="minorEastAsia"/>
          <w:color w:val="000000" w:themeColor="text1"/>
          <w:szCs w:val="21"/>
        </w:rPr>
        <w:t>元，于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日到期。该类交易要求本基金转入质押库的债券，按证券交易所规定的比例折算为标准券后，不低于债券回购交易的余额。</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color w:val="000000" w:themeColor="text1"/>
          <w:szCs w:val="21"/>
        </w:rPr>
        <w:lastRenderedPageBreak/>
        <w:t>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本基金债券投资的信用评级情况按《中国人民银行信用评级管理指导意见》设定的标准统计及汇总。</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6.4.13.2.1 </w:t>
      </w:r>
      <w:r w:rsidRPr="005B5C10">
        <w:rPr>
          <w:rFonts w:eastAsiaTheme="minorEastAsia"/>
          <w:b/>
          <w:color w:val="000000" w:themeColor="text1"/>
          <w:szCs w:val="21"/>
        </w:rPr>
        <w:t>按短期信用评级列示的债券投资</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6.4.13.2.2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按短期信用评级列示的资产支持证券投资</w:t>
      </w:r>
    </w:p>
    <w:p w:rsidR="00980F11" w:rsidRPr="005B5C10" w:rsidRDefault="00980F11" w:rsidP="00980F11">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980F11" w:rsidRPr="005B5C10" w:rsidRDefault="00980F11" w:rsidP="00980F11">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6.4.13.2.3</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按短期信用评级列示的同业存单投资</w:t>
      </w:r>
    </w:p>
    <w:p w:rsidR="00980F11" w:rsidRPr="005B5C10" w:rsidRDefault="00980F11" w:rsidP="00980F11">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6.4.13.2.4 </w:t>
      </w:r>
      <w:r w:rsidRPr="005B5C10">
        <w:rPr>
          <w:rFonts w:eastAsiaTheme="minorEastAsia"/>
          <w:b/>
          <w:color w:val="000000" w:themeColor="text1"/>
          <w:szCs w:val="21"/>
        </w:rPr>
        <w:t>按长期信用评级列示的债券投资</w:t>
      </w:r>
    </w:p>
    <w:p w:rsidR="006B65E1" w:rsidRPr="005B5C10" w:rsidRDefault="00945F2E">
      <w:pPr>
        <w:tabs>
          <w:tab w:val="left" w:pos="7200"/>
          <w:tab w:val="left" w:pos="8280"/>
        </w:tabs>
        <w:ind w:rightChars="268" w:right="563"/>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148A4" w:rsidRPr="005B5C10">
        <w:tc>
          <w:tcPr>
            <w:tcW w:w="2552"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长期信用评级</w:t>
            </w:r>
          </w:p>
        </w:tc>
        <w:tc>
          <w:tcPr>
            <w:tcW w:w="2841" w:type="dxa"/>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本期末</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247" w:type="dxa"/>
          </w:tcPr>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上年末</w:t>
            </w:r>
          </w:p>
          <w:p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tc>
          <w:tcPr>
            <w:tcW w:w="2552"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p>
        </w:tc>
        <w:tc>
          <w:tcPr>
            <w:tcW w:w="2841"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2,104,115,762.19</w:t>
            </w:r>
          </w:p>
        </w:tc>
        <w:tc>
          <w:tcPr>
            <w:tcW w:w="3247"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2,069,669,952.01</w:t>
            </w:r>
          </w:p>
        </w:tc>
      </w:tr>
      <w:tr w:rsidR="008148A4" w:rsidRPr="005B5C10">
        <w:tc>
          <w:tcPr>
            <w:tcW w:w="2552"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AAA</w:t>
            </w:r>
            <w:r w:rsidRPr="005B5C10">
              <w:rPr>
                <w:rFonts w:eastAsiaTheme="minorEastAsia"/>
                <w:color w:val="000000" w:themeColor="text1"/>
                <w:szCs w:val="21"/>
              </w:rPr>
              <w:t>以下</w:t>
            </w:r>
          </w:p>
        </w:tc>
        <w:tc>
          <w:tcPr>
            <w:tcW w:w="2841"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247"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2552"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kern w:val="0"/>
                <w:szCs w:val="21"/>
              </w:rPr>
              <w:t>未评级</w:t>
            </w:r>
          </w:p>
        </w:tc>
        <w:tc>
          <w:tcPr>
            <w:tcW w:w="2841"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11,637,059,350.53</w:t>
            </w:r>
          </w:p>
        </w:tc>
        <w:tc>
          <w:tcPr>
            <w:tcW w:w="3247"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11,596,282,982.80</w:t>
            </w:r>
          </w:p>
        </w:tc>
      </w:tr>
      <w:tr w:rsidR="008148A4" w:rsidRPr="005B5C10">
        <w:tc>
          <w:tcPr>
            <w:tcW w:w="2552" w:type="dxa"/>
            <w:vAlign w:val="center"/>
          </w:tcPr>
          <w:p w:rsidR="006B65E1" w:rsidRPr="005B5C10" w:rsidRDefault="00945F2E">
            <w:pPr>
              <w:rPr>
                <w:rFonts w:eastAsiaTheme="minorEastAsia"/>
                <w:color w:val="000000" w:themeColor="text1"/>
                <w:kern w:val="0"/>
                <w:szCs w:val="21"/>
              </w:rPr>
            </w:pPr>
            <w:r w:rsidRPr="005B5C10">
              <w:rPr>
                <w:rFonts w:eastAsiaTheme="minorEastAsia"/>
                <w:color w:val="000000" w:themeColor="text1"/>
                <w:kern w:val="0"/>
                <w:szCs w:val="21"/>
              </w:rPr>
              <w:t>合计</w:t>
            </w:r>
          </w:p>
        </w:tc>
        <w:tc>
          <w:tcPr>
            <w:tcW w:w="2841"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13,741,175,112.72</w:t>
            </w:r>
          </w:p>
        </w:tc>
        <w:tc>
          <w:tcPr>
            <w:tcW w:w="3247" w:type="dxa"/>
            <w:vAlign w:val="center"/>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13,665,952,934.81</w:t>
            </w:r>
          </w:p>
        </w:tc>
      </w:tr>
    </w:tbl>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注：未评级债券为地方政府债和政策性金融债。债券信用评级取自第三方机构的评级。</w:t>
      </w:r>
    </w:p>
    <w:p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6.4.13.2.5</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按长期信用评级列示的资产支持证券投资</w:t>
      </w:r>
    </w:p>
    <w:p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14DF9" w:rsidRPr="005B5C10" w:rsidRDefault="00614DF9" w:rsidP="00614DF9">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6.4.13.2.6</w:t>
      </w:r>
      <w:r w:rsidRPr="005B5C10">
        <w:rPr>
          <w:rFonts w:eastAsiaTheme="minorEastAsia" w:hint="eastAsia"/>
          <w:b/>
          <w:color w:val="000000" w:themeColor="text1"/>
          <w:szCs w:val="21"/>
        </w:rPr>
        <w:t>按长期信用评级列示的同业存单投资</w:t>
      </w:r>
    </w:p>
    <w:p w:rsidR="00614DF9" w:rsidRPr="005B5C10" w:rsidRDefault="00614DF9" w:rsidP="00614DF9">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针对兑付赎回资金的流动性风险，本基金的基金管理人于开放期内每日对本基金的申购赎回情</w:t>
      </w:r>
      <w:r>
        <w:rPr>
          <w:rFonts w:eastAsiaTheme="minorEastAsia"/>
          <w:color w:val="000000" w:themeColor="text1"/>
          <w:szCs w:val="21"/>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日，除卖出回购金融资产款余额中有</w:t>
      </w:r>
      <w:r w:rsidRPr="005B5C10">
        <w:rPr>
          <w:rFonts w:eastAsiaTheme="minorEastAsia"/>
          <w:color w:val="000000" w:themeColor="text1"/>
          <w:szCs w:val="21"/>
        </w:rPr>
        <w:t>5,742,149,384.45</w:t>
      </w:r>
      <w:r w:rsidRPr="005B5C10">
        <w:rPr>
          <w:rFonts w:eastAsiaTheme="minorEastAsia"/>
          <w:color w:val="000000" w:themeColor="text1"/>
          <w:szCs w:val="21"/>
        </w:rPr>
        <w:t>元将在一个月以内到期且计息</w:t>
      </w:r>
      <w:r w:rsidRPr="005B5C10">
        <w:rPr>
          <w:rFonts w:eastAsiaTheme="minorEastAsia"/>
          <w:color w:val="000000" w:themeColor="text1"/>
          <w:szCs w:val="21"/>
        </w:rPr>
        <w:t>(</w:t>
      </w:r>
      <w:r w:rsidRPr="005B5C10">
        <w:rPr>
          <w:rFonts w:eastAsiaTheme="minorEastAsia"/>
          <w:color w:val="000000" w:themeColor="text1"/>
          <w:szCs w:val="21"/>
        </w:rPr>
        <w:t>该利息金额不重大</w:t>
      </w:r>
      <w:r w:rsidRPr="005B5C10">
        <w:rPr>
          <w:rFonts w:eastAsiaTheme="minorEastAsia"/>
          <w:color w:val="000000" w:themeColor="text1"/>
          <w:szCs w:val="21"/>
        </w:rPr>
        <w:t>)</w:t>
      </w:r>
      <w:r w:rsidRPr="005B5C10">
        <w:rPr>
          <w:rFonts w:eastAsiaTheme="minorEastAsia"/>
          <w:color w:val="000000" w:themeColor="text1"/>
          <w:szCs w:val="21"/>
        </w:rPr>
        <w:t>外，本基金所承担的其他金融负债的合约约定到期日均为一个月以内且不计息，可赎回基金份额净值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所有者权益</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无固定到期日且不计息，因此账面余额约为未折现的合约到期现金流量。</w:t>
      </w:r>
    </w:p>
    <w:p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rsidR="00AF52A5" w:rsidRDefault="00DD1E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F52A5" w:rsidRDefault="00AF52A5">
      <w:pPr>
        <w:widowControl/>
        <w:spacing w:line="360" w:lineRule="auto"/>
        <w:ind w:firstLineChars="200" w:firstLine="420"/>
        <w:rPr>
          <w:rFonts w:eastAsiaTheme="minorEastAsia"/>
          <w:color w:val="000000" w:themeColor="text1"/>
          <w:kern w:val="0"/>
          <w:szCs w:val="21"/>
        </w:rPr>
      </w:pPr>
    </w:p>
    <w:p w:rsidR="00AF52A5" w:rsidRDefault="00DD1E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F52A5" w:rsidRDefault="00AF52A5">
      <w:pPr>
        <w:widowControl/>
        <w:spacing w:line="360" w:lineRule="auto"/>
        <w:ind w:firstLineChars="200" w:firstLine="420"/>
        <w:rPr>
          <w:rFonts w:eastAsiaTheme="minorEastAsia"/>
          <w:color w:val="000000" w:themeColor="text1"/>
          <w:kern w:val="0"/>
          <w:szCs w:val="21"/>
        </w:rPr>
      </w:pPr>
    </w:p>
    <w:p w:rsidR="00AF52A5" w:rsidRDefault="00DD1E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F52A5" w:rsidRDefault="00AF52A5">
      <w:pPr>
        <w:widowControl/>
        <w:spacing w:line="360" w:lineRule="auto"/>
        <w:ind w:firstLineChars="200" w:firstLine="420"/>
        <w:rPr>
          <w:rFonts w:eastAsiaTheme="minorEastAsia"/>
          <w:color w:val="000000" w:themeColor="text1"/>
          <w:kern w:val="0"/>
          <w:szCs w:val="21"/>
        </w:rPr>
      </w:pPr>
    </w:p>
    <w:p w:rsidR="00AF52A5" w:rsidRDefault="00DD1EC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F52A5" w:rsidRDefault="00AF52A5">
      <w:pPr>
        <w:widowControl/>
        <w:spacing w:line="360" w:lineRule="auto"/>
        <w:ind w:firstLineChars="200" w:firstLine="420"/>
        <w:rPr>
          <w:rFonts w:eastAsiaTheme="minorEastAsia"/>
          <w:color w:val="000000" w:themeColor="text1"/>
          <w:kern w:val="0"/>
          <w:szCs w:val="21"/>
        </w:rPr>
      </w:pPr>
    </w:p>
    <w:p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5B5C10">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F52A5" w:rsidRDefault="00AF52A5">
      <w:pPr>
        <w:spacing w:line="360" w:lineRule="auto"/>
        <w:ind w:firstLineChars="200" w:firstLine="420"/>
        <w:rPr>
          <w:rFonts w:eastAsiaTheme="minorEastAsia"/>
          <w:color w:val="000000" w:themeColor="text1"/>
          <w:szCs w:val="21"/>
        </w:rPr>
      </w:pP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AF52A5">
        <w:tc>
          <w:tcPr>
            <w:tcW w:w="1246" w:type="dxa"/>
            <w:vAlign w:val="center"/>
          </w:tcPr>
          <w:p w:rsidR="00AF52A5" w:rsidRDefault="00DD1EC6">
            <w:pPr>
              <w:jc w:val="center"/>
            </w:pPr>
            <w:r>
              <w:rPr>
                <w:rFonts w:eastAsiaTheme="minorEastAsia"/>
                <w:color w:val="000000" w:themeColor="text1"/>
                <w:szCs w:val="21"/>
              </w:rPr>
              <w:t>银行存款</w:t>
            </w:r>
          </w:p>
        </w:tc>
        <w:tc>
          <w:tcPr>
            <w:tcW w:w="1586" w:type="dxa"/>
            <w:vAlign w:val="center"/>
          </w:tcPr>
          <w:p w:rsidR="00AF52A5" w:rsidRDefault="00DD1EC6">
            <w:pPr>
              <w:jc w:val="right"/>
            </w:pPr>
            <w:r>
              <w:rPr>
                <w:rFonts w:eastAsiaTheme="minorEastAsia"/>
                <w:color w:val="000000" w:themeColor="text1"/>
                <w:szCs w:val="21"/>
              </w:rPr>
              <w:t>1,594,837.81</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1,594,837.81</w:t>
            </w:r>
          </w:p>
        </w:tc>
      </w:tr>
      <w:tr w:rsidR="00AF52A5">
        <w:tc>
          <w:tcPr>
            <w:tcW w:w="1246" w:type="dxa"/>
            <w:vAlign w:val="center"/>
          </w:tcPr>
          <w:p w:rsidR="00AF52A5" w:rsidRDefault="00DD1EC6">
            <w:pPr>
              <w:jc w:val="center"/>
            </w:pPr>
            <w:r>
              <w:rPr>
                <w:rFonts w:eastAsiaTheme="minorEastAsia"/>
                <w:color w:val="000000" w:themeColor="text1"/>
                <w:szCs w:val="21"/>
              </w:rPr>
              <w:t>结算备付金</w:t>
            </w:r>
          </w:p>
        </w:tc>
        <w:tc>
          <w:tcPr>
            <w:tcW w:w="1586" w:type="dxa"/>
            <w:vAlign w:val="center"/>
          </w:tcPr>
          <w:p w:rsidR="00AF52A5" w:rsidRDefault="00DD1EC6">
            <w:pPr>
              <w:jc w:val="right"/>
            </w:pPr>
            <w:r>
              <w:rPr>
                <w:rFonts w:eastAsiaTheme="minorEastAsia"/>
                <w:color w:val="000000" w:themeColor="text1"/>
                <w:szCs w:val="21"/>
              </w:rPr>
              <w:t>244,611,608.70</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244,611,608.70</w:t>
            </w:r>
          </w:p>
        </w:tc>
      </w:tr>
      <w:tr w:rsidR="00AF52A5">
        <w:tc>
          <w:tcPr>
            <w:tcW w:w="1246" w:type="dxa"/>
            <w:vAlign w:val="center"/>
          </w:tcPr>
          <w:p w:rsidR="00AF52A5" w:rsidRDefault="00DD1EC6">
            <w:pPr>
              <w:jc w:val="center"/>
            </w:pPr>
            <w:r>
              <w:rPr>
                <w:rFonts w:eastAsiaTheme="minorEastAsia"/>
                <w:color w:val="000000" w:themeColor="text1"/>
                <w:szCs w:val="21"/>
              </w:rPr>
              <w:t>存出保证金</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债权投资</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13,741,175,112.72</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13,741,175,112.72</w:t>
            </w:r>
          </w:p>
        </w:tc>
      </w:tr>
      <w:tr w:rsidR="00AF52A5">
        <w:tc>
          <w:tcPr>
            <w:tcW w:w="1246" w:type="dxa"/>
            <w:vAlign w:val="center"/>
          </w:tcPr>
          <w:p w:rsidR="00AF52A5" w:rsidRDefault="00DD1EC6">
            <w:pPr>
              <w:jc w:val="center"/>
            </w:pPr>
            <w:r>
              <w:rPr>
                <w:rFonts w:eastAsiaTheme="minorEastAsia"/>
                <w:color w:val="000000" w:themeColor="text1"/>
                <w:szCs w:val="21"/>
              </w:rPr>
              <w:t>买入返售金融资产</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应收清算款</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201,005,207.57</w:t>
            </w:r>
          </w:p>
        </w:tc>
        <w:tc>
          <w:tcPr>
            <w:tcW w:w="1587" w:type="dxa"/>
            <w:vAlign w:val="center"/>
          </w:tcPr>
          <w:p w:rsidR="00AF52A5" w:rsidRDefault="00DD1EC6">
            <w:pPr>
              <w:jc w:val="right"/>
            </w:pPr>
            <w:r>
              <w:rPr>
                <w:rFonts w:eastAsiaTheme="minorEastAsia"/>
                <w:color w:val="000000" w:themeColor="text1"/>
                <w:szCs w:val="21"/>
              </w:rPr>
              <w:t>201,005,207.57</w:t>
            </w:r>
          </w:p>
        </w:tc>
      </w:tr>
      <w:tr w:rsidR="00AF52A5">
        <w:tc>
          <w:tcPr>
            <w:tcW w:w="1246" w:type="dxa"/>
            <w:vAlign w:val="center"/>
          </w:tcPr>
          <w:p w:rsidR="00AF52A5" w:rsidRDefault="00DD1EC6">
            <w:pPr>
              <w:jc w:val="center"/>
            </w:pPr>
            <w:r>
              <w:rPr>
                <w:rFonts w:eastAsiaTheme="minorEastAsia"/>
                <w:color w:val="000000" w:themeColor="text1"/>
                <w:szCs w:val="21"/>
              </w:rPr>
              <w:t>应收申购款</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其他资产</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lastRenderedPageBreak/>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246,206,446.51</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13,741,175,112.72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201,005,207.57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14,188,386,766.80</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AF52A5">
        <w:tc>
          <w:tcPr>
            <w:tcW w:w="1246" w:type="dxa"/>
            <w:vAlign w:val="center"/>
          </w:tcPr>
          <w:p w:rsidR="00AF52A5" w:rsidRDefault="00DD1EC6">
            <w:pPr>
              <w:jc w:val="center"/>
            </w:pPr>
            <w:r>
              <w:rPr>
                <w:rFonts w:eastAsiaTheme="minorEastAsia"/>
                <w:color w:val="000000" w:themeColor="text1"/>
                <w:szCs w:val="21"/>
              </w:rPr>
              <w:t>卖出回购金融资产款</w:t>
            </w:r>
          </w:p>
        </w:tc>
        <w:tc>
          <w:tcPr>
            <w:tcW w:w="1586" w:type="dxa"/>
            <w:vAlign w:val="center"/>
          </w:tcPr>
          <w:p w:rsidR="00AF52A5" w:rsidRDefault="00DD1EC6">
            <w:pPr>
              <w:jc w:val="right"/>
            </w:pPr>
            <w:r>
              <w:rPr>
                <w:rFonts w:eastAsiaTheme="minorEastAsia"/>
                <w:color w:val="000000" w:themeColor="text1"/>
                <w:szCs w:val="21"/>
              </w:rPr>
              <w:t>5,742,149,384.45</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5,742,149,384.45</w:t>
            </w:r>
          </w:p>
        </w:tc>
      </w:tr>
      <w:tr w:rsidR="00AF52A5">
        <w:tc>
          <w:tcPr>
            <w:tcW w:w="1246" w:type="dxa"/>
            <w:vAlign w:val="center"/>
          </w:tcPr>
          <w:p w:rsidR="00AF52A5" w:rsidRDefault="00DD1EC6">
            <w:pPr>
              <w:jc w:val="center"/>
            </w:pPr>
            <w:r>
              <w:rPr>
                <w:rFonts w:eastAsiaTheme="minorEastAsia"/>
                <w:color w:val="000000" w:themeColor="text1"/>
                <w:szCs w:val="21"/>
              </w:rPr>
              <w:t>应付清算款</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应付赎回款</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应付管理人报酬</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1,039,344.45</w:t>
            </w:r>
          </w:p>
        </w:tc>
        <w:tc>
          <w:tcPr>
            <w:tcW w:w="1587" w:type="dxa"/>
            <w:vAlign w:val="center"/>
          </w:tcPr>
          <w:p w:rsidR="00AF52A5" w:rsidRDefault="00DD1EC6">
            <w:pPr>
              <w:jc w:val="right"/>
            </w:pPr>
            <w:r>
              <w:rPr>
                <w:rFonts w:eastAsiaTheme="minorEastAsia"/>
                <w:color w:val="000000" w:themeColor="text1"/>
                <w:szCs w:val="21"/>
              </w:rPr>
              <w:t>1,039,344.45</w:t>
            </w:r>
          </w:p>
        </w:tc>
      </w:tr>
      <w:tr w:rsidR="00AF52A5">
        <w:tc>
          <w:tcPr>
            <w:tcW w:w="1246" w:type="dxa"/>
            <w:vAlign w:val="center"/>
          </w:tcPr>
          <w:p w:rsidR="00AF52A5" w:rsidRDefault="00DD1EC6">
            <w:pPr>
              <w:jc w:val="center"/>
            </w:pPr>
            <w:r>
              <w:rPr>
                <w:rFonts w:eastAsiaTheme="minorEastAsia"/>
                <w:color w:val="000000" w:themeColor="text1"/>
                <w:szCs w:val="21"/>
              </w:rPr>
              <w:t>应付托管费</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346,448.16</w:t>
            </w:r>
          </w:p>
        </w:tc>
        <w:tc>
          <w:tcPr>
            <w:tcW w:w="1587" w:type="dxa"/>
            <w:vAlign w:val="center"/>
          </w:tcPr>
          <w:p w:rsidR="00AF52A5" w:rsidRDefault="00DD1EC6">
            <w:pPr>
              <w:jc w:val="right"/>
            </w:pPr>
            <w:r>
              <w:rPr>
                <w:rFonts w:eastAsiaTheme="minorEastAsia"/>
                <w:color w:val="000000" w:themeColor="text1"/>
                <w:szCs w:val="21"/>
              </w:rPr>
              <w:t>346,448.16</w:t>
            </w:r>
          </w:p>
        </w:tc>
      </w:tr>
      <w:tr w:rsidR="00AF52A5">
        <w:tc>
          <w:tcPr>
            <w:tcW w:w="1246" w:type="dxa"/>
            <w:vAlign w:val="center"/>
          </w:tcPr>
          <w:p w:rsidR="00AF52A5" w:rsidRDefault="00DD1EC6">
            <w:pPr>
              <w:jc w:val="center"/>
            </w:pPr>
            <w:r>
              <w:rPr>
                <w:rFonts w:eastAsiaTheme="minorEastAsia"/>
                <w:color w:val="000000" w:themeColor="text1"/>
                <w:szCs w:val="21"/>
              </w:rPr>
              <w:t>应付销售服务费</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应付交易费用</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应交税费</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应付利润</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r>
      <w:tr w:rsidR="00AF52A5">
        <w:tc>
          <w:tcPr>
            <w:tcW w:w="1246" w:type="dxa"/>
            <w:vAlign w:val="center"/>
          </w:tcPr>
          <w:p w:rsidR="00AF52A5" w:rsidRDefault="00DD1EC6">
            <w:pPr>
              <w:jc w:val="center"/>
            </w:pPr>
            <w:r>
              <w:rPr>
                <w:rFonts w:eastAsiaTheme="minorEastAsia"/>
                <w:color w:val="000000" w:themeColor="text1"/>
                <w:szCs w:val="21"/>
              </w:rPr>
              <w:t>其他负债</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500,696.03</w:t>
            </w:r>
          </w:p>
        </w:tc>
        <w:tc>
          <w:tcPr>
            <w:tcW w:w="1587" w:type="dxa"/>
            <w:vAlign w:val="center"/>
          </w:tcPr>
          <w:p w:rsidR="00AF52A5" w:rsidRDefault="00DD1EC6">
            <w:pPr>
              <w:jc w:val="right"/>
            </w:pPr>
            <w:r>
              <w:rPr>
                <w:rFonts w:eastAsiaTheme="minorEastAsia"/>
                <w:color w:val="000000" w:themeColor="text1"/>
                <w:szCs w:val="21"/>
              </w:rPr>
              <w:t>500,696.03</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5,742,149,384.45</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1,886,488.64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5,744,035,873.09</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-5,495,942,937.94</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13,741,175,112.72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199,118,718.93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8,444,350,893.71</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AF52A5">
        <w:tc>
          <w:tcPr>
            <w:tcW w:w="1246" w:type="dxa"/>
            <w:vAlign w:val="center"/>
          </w:tcPr>
          <w:p w:rsidR="00AF52A5" w:rsidRDefault="00DD1EC6">
            <w:pPr>
              <w:jc w:val="center"/>
            </w:pPr>
            <w:r>
              <w:rPr>
                <w:rFonts w:eastAsiaTheme="minorEastAsia"/>
                <w:color w:val="000000" w:themeColor="text1"/>
                <w:szCs w:val="21"/>
              </w:rPr>
              <w:t>银行存款</w:t>
            </w:r>
          </w:p>
        </w:tc>
        <w:tc>
          <w:tcPr>
            <w:tcW w:w="1586" w:type="dxa"/>
            <w:vAlign w:val="center"/>
          </w:tcPr>
          <w:p w:rsidR="00AF52A5" w:rsidRDefault="00DD1EC6">
            <w:pPr>
              <w:jc w:val="right"/>
            </w:pPr>
            <w:r>
              <w:rPr>
                <w:rFonts w:eastAsiaTheme="minorEastAsia"/>
                <w:color w:val="000000" w:themeColor="text1"/>
                <w:szCs w:val="21"/>
              </w:rPr>
              <w:t>2,039,773.81</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2,039,773.81</w:t>
            </w:r>
          </w:p>
        </w:tc>
      </w:tr>
      <w:tr w:rsidR="00AF52A5">
        <w:tc>
          <w:tcPr>
            <w:tcW w:w="1246" w:type="dxa"/>
            <w:vAlign w:val="center"/>
          </w:tcPr>
          <w:p w:rsidR="00AF52A5" w:rsidRDefault="00DD1EC6">
            <w:pPr>
              <w:jc w:val="center"/>
            </w:pPr>
            <w:r>
              <w:rPr>
                <w:rFonts w:eastAsiaTheme="minorEastAsia"/>
                <w:color w:val="000000" w:themeColor="text1"/>
                <w:szCs w:val="21"/>
              </w:rPr>
              <w:t>结算备付金</w:t>
            </w:r>
          </w:p>
        </w:tc>
        <w:tc>
          <w:tcPr>
            <w:tcW w:w="1586" w:type="dxa"/>
            <w:vAlign w:val="center"/>
          </w:tcPr>
          <w:p w:rsidR="00AF52A5" w:rsidRDefault="00DD1EC6">
            <w:pPr>
              <w:jc w:val="right"/>
            </w:pPr>
            <w:r>
              <w:rPr>
                <w:rFonts w:eastAsiaTheme="minorEastAsia"/>
                <w:color w:val="000000" w:themeColor="text1"/>
                <w:szCs w:val="21"/>
              </w:rPr>
              <w:t>187,106,775.81</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187,106,775.81</w:t>
            </w:r>
          </w:p>
        </w:tc>
      </w:tr>
      <w:tr w:rsidR="00AF52A5">
        <w:tc>
          <w:tcPr>
            <w:tcW w:w="1246" w:type="dxa"/>
            <w:vAlign w:val="center"/>
          </w:tcPr>
          <w:p w:rsidR="00AF52A5" w:rsidRDefault="00DD1EC6">
            <w:pPr>
              <w:jc w:val="center"/>
            </w:pPr>
            <w:r>
              <w:rPr>
                <w:rFonts w:eastAsiaTheme="minorEastAsia"/>
                <w:color w:val="000000" w:themeColor="text1"/>
                <w:szCs w:val="21"/>
              </w:rPr>
              <w:t>债权投资</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13,665,952,934.81</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13,665,952,934.81</w:t>
            </w:r>
          </w:p>
        </w:tc>
      </w:tr>
      <w:tr w:rsidR="00AF52A5">
        <w:tc>
          <w:tcPr>
            <w:tcW w:w="1246" w:type="dxa"/>
            <w:vAlign w:val="center"/>
          </w:tcPr>
          <w:p w:rsidR="00AF52A5" w:rsidRDefault="00DD1EC6">
            <w:pPr>
              <w:jc w:val="center"/>
            </w:pPr>
            <w:r>
              <w:rPr>
                <w:rFonts w:eastAsiaTheme="minorEastAsia"/>
                <w:color w:val="000000" w:themeColor="text1"/>
                <w:szCs w:val="21"/>
              </w:rPr>
              <w:t>应收清算款</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202,563.44</w:t>
            </w:r>
          </w:p>
        </w:tc>
        <w:tc>
          <w:tcPr>
            <w:tcW w:w="1587" w:type="dxa"/>
            <w:vAlign w:val="center"/>
          </w:tcPr>
          <w:p w:rsidR="00AF52A5" w:rsidRDefault="00DD1EC6">
            <w:pPr>
              <w:jc w:val="right"/>
            </w:pPr>
            <w:r>
              <w:rPr>
                <w:rFonts w:eastAsiaTheme="minorEastAsia"/>
                <w:color w:val="000000" w:themeColor="text1"/>
                <w:szCs w:val="21"/>
              </w:rPr>
              <w:t>202,563.44</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189,146,549.62</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13,665,952,934.81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202,563.44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13,855,302,047.87</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p>
        </w:tc>
      </w:tr>
      <w:tr w:rsidR="00AF52A5">
        <w:tc>
          <w:tcPr>
            <w:tcW w:w="1246" w:type="dxa"/>
            <w:vAlign w:val="center"/>
          </w:tcPr>
          <w:p w:rsidR="00AF52A5" w:rsidRDefault="00DD1EC6">
            <w:pPr>
              <w:jc w:val="center"/>
            </w:pPr>
            <w:r>
              <w:rPr>
                <w:rFonts w:eastAsiaTheme="minorEastAsia"/>
                <w:color w:val="000000" w:themeColor="text1"/>
                <w:szCs w:val="21"/>
              </w:rPr>
              <w:t>卖出回购金融资产款</w:t>
            </w:r>
          </w:p>
        </w:tc>
        <w:tc>
          <w:tcPr>
            <w:tcW w:w="1586" w:type="dxa"/>
            <w:vAlign w:val="center"/>
          </w:tcPr>
          <w:p w:rsidR="00AF52A5" w:rsidRDefault="00DD1EC6">
            <w:pPr>
              <w:jc w:val="right"/>
            </w:pPr>
            <w:r>
              <w:rPr>
                <w:rFonts w:eastAsiaTheme="minorEastAsia"/>
                <w:color w:val="000000" w:themeColor="text1"/>
                <w:szCs w:val="21"/>
              </w:rPr>
              <w:t>5,571,925,298.99</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5,571,925,298.99</w:t>
            </w:r>
          </w:p>
        </w:tc>
      </w:tr>
      <w:tr w:rsidR="00AF52A5">
        <w:tc>
          <w:tcPr>
            <w:tcW w:w="1246" w:type="dxa"/>
            <w:vAlign w:val="center"/>
          </w:tcPr>
          <w:p w:rsidR="00AF52A5" w:rsidRDefault="00DD1EC6">
            <w:pPr>
              <w:jc w:val="center"/>
            </w:pPr>
            <w:r>
              <w:rPr>
                <w:rFonts w:eastAsiaTheme="minorEastAsia"/>
                <w:color w:val="000000" w:themeColor="text1"/>
                <w:szCs w:val="21"/>
              </w:rPr>
              <w:t>应付管理人报酬</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1,058,241.93</w:t>
            </w:r>
          </w:p>
        </w:tc>
        <w:tc>
          <w:tcPr>
            <w:tcW w:w="1587" w:type="dxa"/>
            <w:vAlign w:val="center"/>
          </w:tcPr>
          <w:p w:rsidR="00AF52A5" w:rsidRDefault="00DD1EC6">
            <w:pPr>
              <w:jc w:val="right"/>
            </w:pPr>
            <w:r>
              <w:rPr>
                <w:rFonts w:eastAsiaTheme="minorEastAsia"/>
                <w:color w:val="000000" w:themeColor="text1"/>
                <w:szCs w:val="21"/>
              </w:rPr>
              <w:t>1,058,241.93</w:t>
            </w:r>
          </w:p>
        </w:tc>
      </w:tr>
      <w:tr w:rsidR="00AF52A5">
        <w:tc>
          <w:tcPr>
            <w:tcW w:w="1246" w:type="dxa"/>
            <w:vAlign w:val="center"/>
          </w:tcPr>
          <w:p w:rsidR="00AF52A5" w:rsidRDefault="00DD1EC6">
            <w:pPr>
              <w:jc w:val="center"/>
            </w:pPr>
            <w:r>
              <w:rPr>
                <w:rFonts w:eastAsiaTheme="minorEastAsia"/>
                <w:color w:val="000000" w:themeColor="text1"/>
                <w:szCs w:val="21"/>
              </w:rPr>
              <w:t>应付托管费</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352,747.29</w:t>
            </w:r>
          </w:p>
        </w:tc>
        <w:tc>
          <w:tcPr>
            <w:tcW w:w="1587" w:type="dxa"/>
            <w:vAlign w:val="center"/>
          </w:tcPr>
          <w:p w:rsidR="00AF52A5" w:rsidRDefault="00DD1EC6">
            <w:pPr>
              <w:jc w:val="right"/>
            </w:pPr>
            <w:r>
              <w:rPr>
                <w:rFonts w:eastAsiaTheme="minorEastAsia"/>
                <w:color w:val="000000" w:themeColor="text1"/>
                <w:szCs w:val="21"/>
              </w:rPr>
              <w:t>352,747.29</w:t>
            </w:r>
          </w:p>
        </w:tc>
      </w:tr>
      <w:tr w:rsidR="00AF52A5">
        <w:tc>
          <w:tcPr>
            <w:tcW w:w="1246" w:type="dxa"/>
            <w:vAlign w:val="center"/>
          </w:tcPr>
          <w:p w:rsidR="00AF52A5" w:rsidRDefault="00DD1EC6">
            <w:pPr>
              <w:jc w:val="center"/>
            </w:pPr>
            <w:r>
              <w:rPr>
                <w:rFonts w:eastAsiaTheme="minorEastAsia"/>
                <w:color w:val="000000" w:themeColor="text1"/>
                <w:szCs w:val="21"/>
              </w:rPr>
              <w:lastRenderedPageBreak/>
              <w:t>其他负债</w:t>
            </w:r>
          </w:p>
        </w:tc>
        <w:tc>
          <w:tcPr>
            <w:tcW w:w="1586"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w:t>
            </w:r>
          </w:p>
        </w:tc>
        <w:tc>
          <w:tcPr>
            <w:tcW w:w="1587" w:type="dxa"/>
            <w:vAlign w:val="center"/>
          </w:tcPr>
          <w:p w:rsidR="00AF52A5" w:rsidRDefault="00DD1EC6">
            <w:pPr>
              <w:jc w:val="right"/>
            </w:pPr>
            <w:r>
              <w:rPr>
                <w:rFonts w:eastAsiaTheme="minorEastAsia"/>
                <w:color w:val="000000" w:themeColor="text1"/>
                <w:szCs w:val="21"/>
              </w:rPr>
              <w:t>370,971.99</w:t>
            </w:r>
          </w:p>
        </w:tc>
        <w:tc>
          <w:tcPr>
            <w:tcW w:w="1587" w:type="dxa"/>
            <w:vAlign w:val="center"/>
          </w:tcPr>
          <w:p w:rsidR="00AF52A5" w:rsidRDefault="00DD1EC6">
            <w:pPr>
              <w:jc w:val="right"/>
            </w:pPr>
            <w:r>
              <w:rPr>
                <w:rFonts w:eastAsiaTheme="minorEastAsia"/>
                <w:color w:val="000000" w:themeColor="text1"/>
                <w:szCs w:val="21"/>
              </w:rPr>
              <w:t>370,971.99</w:t>
            </w:r>
          </w:p>
        </w:tc>
      </w:tr>
      <w:tr w:rsidR="008148A4"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5,571,925,298.99</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1,781,961.21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5,573,707,260.20</w:t>
            </w:r>
          </w:p>
        </w:tc>
      </w:tr>
      <w:tr w:rsidR="00A438A6" w:rsidRPr="005B5C10"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-5,382,778,749.37</w:t>
            </w:r>
          </w:p>
          <w:p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13,665,952,934.81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-1,579,397.77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8,281,594,787.67</w:t>
            </w:r>
          </w:p>
        </w:tc>
      </w:tr>
    </w:tbl>
    <w:p w:rsidR="00AF52A5" w:rsidRDefault="00DD1EC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表中所示为本基金资产及负债的账面价值，并按照合约规定的利率重新定价日或到期日孰早者予以分类。</w:t>
      </w:r>
    </w:p>
    <w:p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2. </w:t>
      </w:r>
      <w:r w:rsidRPr="005B5C10">
        <w:rPr>
          <w:rFonts w:eastAsiaTheme="minorEastAsia"/>
          <w:color w:val="000000" w:themeColor="text1"/>
          <w:kern w:val="0"/>
          <w:szCs w:val="21"/>
        </w:rPr>
        <w:t>其他资产分类为持有至到期投资的债券投资和资产支持证券投资。</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6"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6"/>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7"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77"/>
    </w:p>
    <w:p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rsidR="004F35A5" w:rsidRPr="005B5C10" w:rsidRDefault="004F35A5" w:rsidP="004F35A5">
      <w:pPr>
        <w:widowControl/>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日，本基金未持有持续的以公允价值计量的金融工具</w:t>
      </w:r>
      <w:r w:rsidRPr="005B5C10">
        <w:rPr>
          <w:rFonts w:eastAsiaTheme="minorEastAsia"/>
          <w:color w:val="000000" w:themeColor="text1"/>
          <w:kern w:val="0"/>
          <w:szCs w:val="21"/>
        </w:rPr>
        <w:t>(2022</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lastRenderedPageBreak/>
        <w:t>无。</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不以公允价值计量的金融资产和负债主要包括应收款项、持有至到期投资和其他金融负债等。</w:t>
      </w:r>
    </w:p>
    <w:p w:rsidR="00AF52A5" w:rsidRDefault="00AF52A5">
      <w:pPr>
        <w:spacing w:line="360" w:lineRule="auto"/>
        <w:ind w:firstLineChars="200" w:firstLine="420"/>
        <w:rPr>
          <w:rFonts w:eastAsiaTheme="minorEastAsia"/>
          <w:color w:val="000000" w:themeColor="text1"/>
          <w:szCs w:val="21"/>
        </w:rPr>
      </w:pP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除持有至到期投资以外，其他不以公允价值计量的金融资产和金融负债的账面价值与公允价值差异很小。</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持有至到期投资按如下原则确定公允价值：</w:t>
      </w:r>
      <w:r>
        <w:rPr>
          <w:rFonts w:eastAsiaTheme="minorEastAsia"/>
          <w:color w:val="000000" w:themeColor="text1"/>
          <w:szCs w:val="21"/>
        </w:rPr>
        <w:t xml:space="preserve">(i)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rFonts w:eastAsiaTheme="minorEastAsia"/>
          <w:color w:val="000000" w:themeColor="text1"/>
          <w:szCs w:val="21"/>
        </w:rPr>
        <w:t xml:space="preserve">(ii)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szCs w:val="21"/>
        </w:rPr>
        <w:t xml:space="preserve">(iii) </w:t>
      </w:r>
      <w:r>
        <w:rPr>
          <w:rFonts w:eastAsiaTheme="minorEastAsia"/>
          <w:color w:val="000000" w:themeColor="text1"/>
          <w:szCs w:val="21"/>
        </w:rPr>
        <w:t>如经济环境发生重大变化或证券发行人发生影响金融工具价格的重大事件，应对估值进行调整并确定公允价值。</w:t>
      </w:r>
    </w:p>
    <w:p w:rsidR="00AF52A5" w:rsidRDefault="00AF52A5">
      <w:pPr>
        <w:spacing w:line="360" w:lineRule="auto"/>
        <w:ind w:firstLineChars="200" w:firstLine="420"/>
        <w:rPr>
          <w:rFonts w:eastAsiaTheme="minorEastAsia"/>
          <w:color w:val="000000" w:themeColor="text1"/>
          <w:szCs w:val="21"/>
        </w:rPr>
      </w:pPr>
    </w:p>
    <w:p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根据中国证监会公告</w:t>
      </w:r>
      <w:r w:rsidRPr="005B5C10">
        <w:rPr>
          <w:rFonts w:eastAsiaTheme="minorEastAsia"/>
          <w:color w:val="000000" w:themeColor="text1"/>
          <w:szCs w:val="21"/>
        </w:rPr>
        <w:t>[2017]13</w:t>
      </w:r>
      <w:r w:rsidRPr="005B5C10">
        <w:rPr>
          <w:rFonts w:eastAsiaTheme="minorEastAsia"/>
          <w:color w:val="000000" w:themeColor="text1"/>
          <w:szCs w:val="21"/>
        </w:rPr>
        <w:t>号《中国证监会关于证券投资基金估值业务的指导意见》及《中国证券投资基金业协会估值核算工作小组关于</w:t>
      </w:r>
      <w:r w:rsidRPr="005B5C10">
        <w:rPr>
          <w:rFonts w:eastAsiaTheme="minorEastAsia"/>
          <w:color w:val="000000" w:themeColor="text1"/>
          <w:szCs w:val="21"/>
        </w:rPr>
        <w:t>2015</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季度固定收益品种的估值处理标准》的有关规定，本基金持有的证券交易所上市或挂牌转让的固定收益品种</w:t>
      </w:r>
      <w:r w:rsidRPr="005B5C10">
        <w:rPr>
          <w:rFonts w:eastAsiaTheme="minorEastAsia"/>
          <w:color w:val="000000" w:themeColor="text1"/>
          <w:szCs w:val="21"/>
        </w:rPr>
        <w:t>(</w:t>
      </w:r>
      <w:r w:rsidRPr="005B5C10">
        <w:rPr>
          <w:rFonts w:eastAsiaTheme="minorEastAsia"/>
          <w:color w:val="000000" w:themeColor="text1"/>
          <w:szCs w:val="21"/>
        </w:rPr>
        <w:t>可转换债券和可交换债券除外</w:t>
      </w:r>
      <w:r w:rsidRPr="005B5C10">
        <w:rPr>
          <w:rFonts w:eastAsiaTheme="minorEastAsia"/>
          <w:color w:val="000000" w:themeColor="text1"/>
          <w:szCs w:val="21"/>
        </w:rPr>
        <w:t>)</w:t>
      </w:r>
      <w:r w:rsidRPr="005B5C10">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，按照中证指数有限公司所独立提供的估值结果确定公允价值；本基金持有的银行间同业市场固定收益品种按照中债金融估值中心有限公司所独立提供的估值结果确定公允价值。于</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日，本基金持有的上述投资的公允价值均属于第二层次</w:t>
      </w:r>
      <w:r w:rsidRPr="005B5C10">
        <w:rPr>
          <w:rFonts w:eastAsiaTheme="minorEastAsia"/>
          <w:color w:val="000000" w:themeColor="text1"/>
          <w:szCs w:val="21"/>
        </w:rPr>
        <w:t>(2022</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rsidR="006B65E1" w:rsidRPr="005B5C10" w:rsidRDefault="00945F2E" w:rsidP="004F35A5">
      <w:pPr>
        <w:pStyle w:val="1"/>
        <w:spacing w:beforeLines="100" w:before="312"/>
        <w:jc w:val="center"/>
        <w:rPr>
          <w:rFonts w:eastAsiaTheme="minorEastAsia"/>
          <w:b/>
          <w:color w:val="000000" w:themeColor="text1"/>
          <w:sz w:val="21"/>
          <w:szCs w:val="21"/>
        </w:rPr>
      </w:pPr>
      <w:bookmarkStart w:id="78" w:name="_Toc225498272"/>
      <w:bookmarkStart w:id="79" w:name="_Toc144286613"/>
      <w:r w:rsidRPr="005B5C10">
        <w:rPr>
          <w:rFonts w:eastAsiaTheme="minorEastAsia"/>
          <w:b/>
          <w:bCs/>
          <w:color w:val="000000" w:themeColor="text1"/>
          <w:sz w:val="21"/>
          <w:szCs w:val="21"/>
          <w:lang w:val="en-US"/>
        </w:rPr>
        <w:lastRenderedPageBreak/>
        <w:t xml:space="preserve">7  </w:t>
      </w:r>
      <w:r w:rsidRPr="005B5C10">
        <w:rPr>
          <w:rFonts w:eastAsiaTheme="minorEastAsia"/>
          <w:b/>
          <w:bCs/>
          <w:color w:val="000000" w:themeColor="text1"/>
          <w:sz w:val="21"/>
          <w:szCs w:val="21"/>
          <w:lang w:val="en-US"/>
        </w:rPr>
        <w:t>投资组合报告</w:t>
      </w:r>
      <w:bookmarkEnd w:id="78"/>
      <w:bookmarkEnd w:id="79"/>
    </w:p>
    <w:p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44286614"/>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13,741,175,112.72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96.85</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13,741,175,112.72</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96.85</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rsidTr="00052F8B">
        <w:tc>
          <w:tcPr>
            <w:tcW w:w="1080" w:type="dxa"/>
            <w:vAlign w:val="center"/>
          </w:tcPr>
          <w:p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246,206,446.51</w:t>
            </w:r>
          </w:p>
        </w:tc>
        <w:tc>
          <w:tcPr>
            <w:tcW w:w="2621" w:type="dxa"/>
            <w:vAlign w:val="center"/>
          </w:tcPr>
          <w:p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1.74</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201,005,207.57</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1.42</w:t>
            </w:r>
          </w:p>
        </w:tc>
      </w:tr>
      <w:tr w:rsidR="008148A4" w:rsidRPr="005B5C10" w:rsidTr="00052F8B">
        <w:tc>
          <w:tcPr>
            <w:tcW w:w="1080" w:type="dxa"/>
            <w:vAlign w:val="center"/>
          </w:tcPr>
          <w:p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14,188,386,766.80</w:t>
            </w:r>
          </w:p>
        </w:tc>
        <w:tc>
          <w:tcPr>
            <w:tcW w:w="2621" w:type="dxa"/>
            <w:vAlign w:val="center"/>
          </w:tcPr>
          <w:p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rsidR="006B65E1" w:rsidRPr="005B5C10" w:rsidRDefault="006B65E1">
      <w:pPr>
        <w:tabs>
          <w:tab w:val="left" w:pos="426"/>
        </w:tabs>
        <w:spacing w:line="360" w:lineRule="auto"/>
        <w:jc w:val="left"/>
        <w:rPr>
          <w:rFonts w:eastAsiaTheme="minorEastAsia"/>
          <w:color w:val="000000" w:themeColor="text1"/>
          <w:kern w:val="0"/>
          <w:szCs w:val="21"/>
        </w:rPr>
      </w:pPr>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4" w:name="_Toc390421256"/>
      <w:bookmarkStart w:id="85" w:name="_Toc225498274"/>
      <w:bookmarkStart w:id="86" w:name="_Toc144286615"/>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4"/>
      <w:bookmarkEnd w:id="85"/>
      <w:bookmarkEnd w:id="86"/>
    </w:p>
    <w:p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87" w:name="_Toc390421257"/>
      <w:bookmarkStart w:id="88" w:name="_Toc144286616"/>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87"/>
      <w:bookmarkEnd w:id="88"/>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本基金本报告期末未持有股票。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89" w:name="_Toc390421260"/>
      <w:bookmarkStart w:id="90" w:name="_Toc144286617"/>
      <w:r w:rsidRPr="005B5C10">
        <w:rPr>
          <w:rFonts w:ascii="Times New Roman" w:eastAsiaTheme="minorEastAsia" w:hAnsi="Times New Roman"/>
          <w:color w:val="000000" w:themeColor="text1"/>
          <w:kern w:val="0"/>
          <w:sz w:val="21"/>
          <w:szCs w:val="21"/>
        </w:rPr>
        <w:t>7.4</w:t>
      </w:r>
      <w:bookmarkStart w:id="91"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89"/>
      <w:bookmarkEnd w:id="91"/>
      <w:bookmarkEnd w:id="90"/>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本基金本报告期未买入股票。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本基金本报告期未卖出股票。</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本基金本报告期未买入卖出股票。</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234814104"/>
      <w:bookmarkStart w:id="93" w:name="_Toc390421261"/>
      <w:bookmarkStart w:id="94" w:name="_Toc144286618"/>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2"/>
      <w:bookmarkEnd w:id="93"/>
      <w:bookmarkEnd w:id="94"/>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10,599,013,738.11</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125.52</w:t>
            </w:r>
          </w:p>
        </w:tc>
      </w:tr>
      <w:tr w:rsidR="008148A4" w:rsidRPr="005B5C10">
        <w:tc>
          <w:tcPr>
            <w:tcW w:w="817" w:type="dxa"/>
            <w:vAlign w:val="center"/>
          </w:tcPr>
          <w:p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10,599,013,738.11</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125.52</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3,142,161,374.61</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37.21</w:t>
            </w:r>
          </w:p>
        </w:tc>
      </w:tr>
      <w:tr w:rsidR="008148A4" w:rsidRPr="005B5C10">
        <w:tc>
          <w:tcPr>
            <w:tcW w:w="817"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13,741,175,112.72</w:t>
            </w:r>
          </w:p>
        </w:tc>
        <w:tc>
          <w:tcPr>
            <w:tcW w:w="2041" w:type="dxa"/>
            <w:vAlign w:val="center"/>
          </w:tcPr>
          <w:p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162.73</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390421262"/>
      <w:bookmarkStart w:id="96" w:name="_Toc144286619"/>
      <w:r w:rsidRPr="005B5C10">
        <w:rPr>
          <w:rFonts w:ascii="Times New Roman" w:eastAsiaTheme="minorEastAsia" w:hAnsi="Times New Roman"/>
          <w:color w:val="000000" w:themeColor="text1"/>
          <w:kern w:val="0"/>
          <w:sz w:val="21"/>
          <w:szCs w:val="21"/>
        </w:rPr>
        <w:t>7.6</w:t>
      </w:r>
      <w:bookmarkStart w:id="97"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5"/>
      <w:bookmarkEnd w:id="97"/>
      <w:bookmarkEnd w:id="96"/>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559"/>
        <w:gridCol w:w="1584"/>
        <w:gridCol w:w="1818"/>
        <w:gridCol w:w="1440"/>
      </w:tblGrid>
      <w:tr w:rsidR="008148A4" w:rsidRPr="005B5C10" w:rsidTr="00CD439D">
        <w:tc>
          <w:tcPr>
            <w:tcW w:w="851"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559"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584"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818"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440" w:type="dxa"/>
            <w:vAlign w:val="center"/>
          </w:tcPr>
          <w:p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AF52A5" w:rsidTr="00CD439D">
        <w:tc>
          <w:tcPr>
            <w:tcW w:w="851" w:type="dxa"/>
            <w:vAlign w:val="center"/>
          </w:tcPr>
          <w:p w:rsidR="00AF52A5" w:rsidRDefault="00DD1EC6">
            <w:pPr>
              <w:jc w:val="center"/>
            </w:pPr>
            <w:r>
              <w:rPr>
                <w:rFonts w:eastAsiaTheme="minorEastAsia"/>
                <w:color w:val="000000" w:themeColor="text1"/>
                <w:szCs w:val="21"/>
              </w:rPr>
              <w:t>1</w:t>
            </w:r>
          </w:p>
        </w:tc>
        <w:tc>
          <w:tcPr>
            <w:tcW w:w="1276" w:type="dxa"/>
            <w:vAlign w:val="center"/>
          </w:tcPr>
          <w:p w:rsidR="00AF52A5" w:rsidRDefault="00DD1EC6">
            <w:pPr>
              <w:jc w:val="center"/>
            </w:pPr>
            <w:r>
              <w:rPr>
                <w:rFonts w:eastAsiaTheme="minorEastAsia"/>
                <w:color w:val="000000" w:themeColor="text1"/>
                <w:szCs w:val="21"/>
              </w:rPr>
              <w:t>200209</w:t>
            </w:r>
          </w:p>
        </w:tc>
        <w:tc>
          <w:tcPr>
            <w:tcW w:w="1559" w:type="dxa"/>
            <w:vAlign w:val="center"/>
          </w:tcPr>
          <w:p w:rsidR="00AF52A5" w:rsidRDefault="00DD1EC6">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09</w:t>
            </w:r>
          </w:p>
        </w:tc>
        <w:tc>
          <w:tcPr>
            <w:tcW w:w="1584" w:type="dxa"/>
            <w:vAlign w:val="center"/>
          </w:tcPr>
          <w:p w:rsidR="00AF52A5" w:rsidRDefault="00DD1EC6">
            <w:pPr>
              <w:jc w:val="right"/>
            </w:pPr>
            <w:r>
              <w:rPr>
                <w:rFonts w:eastAsiaTheme="minorEastAsia"/>
                <w:color w:val="000000" w:themeColor="text1"/>
                <w:szCs w:val="21"/>
              </w:rPr>
              <w:t>28,700,000</w:t>
            </w:r>
          </w:p>
        </w:tc>
        <w:tc>
          <w:tcPr>
            <w:tcW w:w="1818" w:type="dxa"/>
            <w:vAlign w:val="center"/>
          </w:tcPr>
          <w:p w:rsidR="00AF52A5" w:rsidRDefault="00DD1EC6">
            <w:pPr>
              <w:jc w:val="right"/>
            </w:pPr>
            <w:r>
              <w:rPr>
                <w:rFonts w:eastAsiaTheme="minorEastAsia"/>
                <w:color w:val="000000" w:themeColor="text1"/>
                <w:szCs w:val="21"/>
              </w:rPr>
              <w:t>2,954,419,010.01</w:t>
            </w:r>
          </w:p>
        </w:tc>
        <w:tc>
          <w:tcPr>
            <w:tcW w:w="1440" w:type="dxa"/>
            <w:vAlign w:val="center"/>
          </w:tcPr>
          <w:p w:rsidR="00AF52A5" w:rsidRDefault="00DD1EC6">
            <w:pPr>
              <w:jc w:val="right"/>
            </w:pPr>
            <w:r>
              <w:rPr>
                <w:rFonts w:eastAsiaTheme="minorEastAsia"/>
                <w:color w:val="000000" w:themeColor="text1"/>
                <w:szCs w:val="21"/>
              </w:rPr>
              <w:t>34.99</w:t>
            </w:r>
          </w:p>
        </w:tc>
      </w:tr>
      <w:tr w:rsidR="00AF52A5" w:rsidTr="00CD439D">
        <w:tc>
          <w:tcPr>
            <w:tcW w:w="851" w:type="dxa"/>
            <w:vAlign w:val="center"/>
          </w:tcPr>
          <w:p w:rsidR="00AF52A5" w:rsidRDefault="00DD1EC6">
            <w:pPr>
              <w:jc w:val="center"/>
            </w:pPr>
            <w:r>
              <w:rPr>
                <w:rFonts w:eastAsiaTheme="minorEastAsia"/>
                <w:color w:val="000000" w:themeColor="text1"/>
                <w:szCs w:val="21"/>
              </w:rPr>
              <w:t>2</w:t>
            </w:r>
          </w:p>
        </w:tc>
        <w:tc>
          <w:tcPr>
            <w:tcW w:w="1276" w:type="dxa"/>
            <w:vAlign w:val="center"/>
          </w:tcPr>
          <w:p w:rsidR="00AF52A5" w:rsidRDefault="00DD1EC6">
            <w:pPr>
              <w:jc w:val="center"/>
            </w:pPr>
            <w:r>
              <w:rPr>
                <w:rFonts w:eastAsiaTheme="minorEastAsia"/>
                <w:color w:val="000000" w:themeColor="text1"/>
                <w:szCs w:val="21"/>
              </w:rPr>
              <w:t>092018002</w:t>
            </w:r>
          </w:p>
        </w:tc>
        <w:tc>
          <w:tcPr>
            <w:tcW w:w="1559" w:type="dxa"/>
            <w:vAlign w:val="center"/>
          </w:tcPr>
          <w:p w:rsidR="00AF52A5" w:rsidRDefault="00DD1EC6">
            <w:pPr>
              <w:jc w:val="center"/>
            </w:pPr>
            <w:r>
              <w:rPr>
                <w:rFonts w:eastAsiaTheme="minorEastAsia"/>
                <w:color w:val="000000" w:themeColor="text1"/>
                <w:szCs w:val="21"/>
              </w:rPr>
              <w:t>20</w:t>
            </w:r>
            <w:r>
              <w:rPr>
                <w:rFonts w:eastAsiaTheme="minorEastAsia"/>
                <w:color w:val="000000" w:themeColor="text1"/>
                <w:szCs w:val="21"/>
              </w:rPr>
              <w:t>农发清发</w:t>
            </w:r>
            <w:r>
              <w:rPr>
                <w:rFonts w:eastAsiaTheme="minorEastAsia"/>
                <w:color w:val="000000" w:themeColor="text1"/>
                <w:szCs w:val="21"/>
              </w:rPr>
              <w:t>02</w:t>
            </w:r>
          </w:p>
        </w:tc>
        <w:tc>
          <w:tcPr>
            <w:tcW w:w="1584" w:type="dxa"/>
            <w:vAlign w:val="center"/>
          </w:tcPr>
          <w:p w:rsidR="00AF52A5" w:rsidRDefault="00DD1EC6">
            <w:pPr>
              <w:jc w:val="right"/>
            </w:pPr>
            <w:r>
              <w:rPr>
                <w:rFonts w:eastAsiaTheme="minorEastAsia"/>
                <w:color w:val="000000" w:themeColor="text1"/>
                <w:szCs w:val="21"/>
              </w:rPr>
              <w:t>29,700,000</w:t>
            </w:r>
          </w:p>
        </w:tc>
        <w:tc>
          <w:tcPr>
            <w:tcW w:w="1818" w:type="dxa"/>
            <w:vAlign w:val="center"/>
          </w:tcPr>
          <w:p w:rsidR="00AF52A5" w:rsidRDefault="00DD1EC6">
            <w:pPr>
              <w:jc w:val="right"/>
            </w:pPr>
            <w:r>
              <w:rPr>
                <w:rFonts w:eastAsiaTheme="minorEastAsia"/>
                <w:color w:val="000000" w:themeColor="text1"/>
                <w:szCs w:val="21"/>
              </w:rPr>
              <w:t>2,916,511,619.62</w:t>
            </w:r>
          </w:p>
        </w:tc>
        <w:tc>
          <w:tcPr>
            <w:tcW w:w="1440" w:type="dxa"/>
            <w:vAlign w:val="center"/>
          </w:tcPr>
          <w:p w:rsidR="00AF52A5" w:rsidRDefault="00DD1EC6">
            <w:pPr>
              <w:jc w:val="right"/>
            </w:pPr>
            <w:r>
              <w:rPr>
                <w:rFonts w:eastAsiaTheme="minorEastAsia"/>
                <w:color w:val="000000" w:themeColor="text1"/>
                <w:szCs w:val="21"/>
              </w:rPr>
              <w:t>34.54</w:t>
            </w:r>
          </w:p>
        </w:tc>
      </w:tr>
      <w:tr w:rsidR="00AF52A5" w:rsidTr="00CD439D">
        <w:tc>
          <w:tcPr>
            <w:tcW w:w="851" w:type="dxa"/>
            <w:vAlign w:val="center"/>
          </w:tcPr>
          <w:p w:rsidR="00AF52A5" w:rsidRDefault="00DD1EC6">
            <w:pPr>
              <w:jc w:val="center"/>
            </w:pPr>
            <w:r>
              <w:rPr>
                <w:rFonts w:eastAsiaTheme="minorEastAsia"/>
                <w:color w:val="000000" w:themeColor="text1"/>
                <w:szCs w:val="21"/>
              </w:rPr>
              <w:t>3</w:t>
            </w:r>
          </w:p>
        </w:tc>
        <w:tc>
          <w:tcPr>
            <w:tcW w:w="1276" w:type="dxa"/>
            <w:vAlign w:val="center"/>
          </w:tcPr>
          <w:p w:rsidR="00AF52A5" w:rsidRDefault="00DD1EC6">
            <w:pPr>
              <w:jc w:val="center"/>
            </w:pPr>
            <w:r>
              <w:rPr>
                <w:rFonts w:eastAsiaTheme="minorEastAsia"/>
                <w:color w:val="000000" w:themeColor="text1"/>
                <w:szCs w:val="21"/>
              </w:rPr>
              <w:t>170415</w:t>
            </w:r>
          </w:p>
        </w:tc>
        <w:tc>
          <w:tcPr>
            <w:tcW w:w="1559" w:type="dxa"/>
            <w:vAlign w:val="center"/>
          </w:tcPr>
          <w:p w:rsidR="00AF52A5" w:rsidRDefault="00DD1EC6">
            <w:pPr>
              <w:jc w:val="center"/>
            </w:pPr>
            <w:r>
              <w:rPr>
                <w:rFonts w:eastAsiaTheme="minorEastAsia"/>
                <w:color w:val="000000" w:themeColor="text1"/>
                <w:szCs w:val="21"/>
              </w:rPr>
              <w:t>17</w:t>
            </w:r>
            <w:r>
              <w:rPr>
                <w:rFonts w:eastAsiaTheme="minorEastAsia"/>
                <w:color w:val="000000" w:themeColor="text1"/>
                <w:szCs w:val="21"/>
              </w:rPr>
              <w:t>农发</w:t>
            </w:r>
            <w:r>
              <w:rPr>
                <w:rFonts w:eastAsiaTheme="minorEastAsia"/>
                <w:color w:val="000000" w:themeColor="text1"/>
                <w:szCs w:val="21"/>
              </w:rPr>
              <w:t>15</w:t>
            </w:r>
          </w:p>
        </w:tc>
        <w:tc>
          <w:tcPr>
            <w:tcW w:w="1584" w:type="dxa"/>
            <w:vAlign w:val="center"/>
          </w:tcPr>
          <w:p w:rsidR="00AF52A5" w:rsidRDefault="00DD1EC6">
            <w:pPr>
              <w:jc w:val="right"/>
            </w:pPr>
            <w:r>
              <w:rPr>
                <w:rFonts w:eastAsiaTheme="minorEastAsia"/>
                <w:color w:val="000000" w:themeColor="text1"/>
                <w:szCs w:val="21"/>
              </w:rPr>
              <w:t>24,800,000</w:t>
            </w:r>
          </w:p>
        </w:tc>
        <w:tc>
          <w:tcPr>
            <w:tcW w:w="1818" w:type="dxa"/>
            <w:vAlign w:val="center"/>
          </w:tcPr>
          <w:p w:rsidR="00AF52A5" w:rsidRDefault="00DD1EC6">
            <w:pPr>
              <w:jc w:val="right"/>
            </w:pPr>
            <w:r>
              <w:rPr>
                <w:rFonts w:eastAsiaTheme="minorEastAsia"/>
                <w:color w:val="000000" w:themeColor="text1"/>
                <w:szCs w:val="21"/>
              </w:rPr>
              <w:t>2,656,936,052.48</w:t>
            </w:r>
          </w:p>
        </w:tc>
        <w:tc>
          <w:tcPr>
            <w:tcW w:w="1440" w:type="dxa"/>
            <w:vAlign w:val="center"/>
          </w:tcPr>
          <w:p w:rsidR="00AF52A5" w:rsidRDefault="00DD1EC6">
            <w:pPr>
              <w:jc w:val="right"/>
            </w:pPr>
            <w:r>
              <w:rPr>
                <w:rFonts w:eastAsiaTheme="minorEastAsia"/>
                <w:color w:val="000000" w:themeColor="text1"/>
                <w:szCs w:val="21"/>
              </w:rPr>
              <w:t>31.46</w:t>
            </w:r>
          </w:p>
        </w:tc>
      </w:tr>
      <w:tr w:rsidR="00AF52A5" w:rsidTr="00CD439D">
        <w:tc>
          <w:tcPr>
            <w:tcW w:w="851" w:type="dxa"/>
            <w:vAlign w:val="center"/>
          </w:tcPr>
          <w:p w:rsidR="00AF52A5" w:rsidRDefault="00DD1EC6">
            <w:pPr>
              <w:jc w:val="center"/>
            </w:pPr>
            <w:r>
              <w:rPr>
                <w:rFonts w:eastAsiaTheme="minorEastAsia"/>
                <w:color w:val="000000" w:themeColor="text1"/>
                <w:szCs w:val="21"/>
              </w:rPr>
              <w:t>4</w:t>
            </w:r>
          </w:p>
        </w:tc>
        <w:tc>
          <w:tcPr>
            <w:tcW w:w="1276" w:type="dxa"/>
            <w:vAlign w:val="center"/>
          </w:tcPr>
          <w:p w:rsidR="00AF52A5" w:rsidRDefault="00DD1EC6">
            <w:pPr>
              <w:jc w:val="center"/>
            </w:pPr>
            <w:r>
              <w:rPr>
                <w:rFonts w:eastAsiaTheme="minorEastAsia"/>
                <w:color w:val="000000" w:themeColor="text1"/>
                <w:szCs w:val="21"/>
              </w:rPr>
              <w:t>170210</w:t>
            </w:r>
          </w:p>
        </w:tc>
        <w:tc>
          <w:tcPr>
            <w:tcW w:w="1559" w:type="dxa"/>
            <w:vAlign w:val="center"/>
          </w:tcPr>
          <w:p w:rsidR="00AF52A5" w:rsidRDefault="00DD1EC6">
            <w:pPr>
              <w:jc w:val="center"/>
            </w:pPr>
            <w:r>
              <w:rPr>
                <w:rFonts w:eastAsiaTheme="minorEastAsia"/>
                <w:color w:val="000000" w:themeColor="text1"/>
                <w:szCs w:val="21"/>
              </w:rPr>
              <w:t>17</w:t>
            </w:r>
            <w:r>
              <w:rPr>
                <w:rFonts w:eastAsiaTheme="minorEastAsia"/>
                <w:color w:val="000000" w:themeColor="text1"/>
                <w:szCs w:val="21"/>
              </w:rPr>
              <w:t>国开</w:t>
            </w:r>
            <w:r>
              <w:rPr>
                <w:rFonts w:eastAsiaTheme="minorEastAsia"/>
                <w:color w:val="000000" w:themeColor="text1"/>
                <w:szCs w:val="21"/>
              </w:rPr>
              <w:t>10</w:t>
            </w:r>
          </w:p>
        </w:tc>
        <w:tc>
          <w:tcPr>
            <w:tcW w:w="1584" w:type="dxa"/>
            <w:vAlign w:val="center"/>
          </w:tcPr>
          <w:p w:rsidR="00AF52A5" w:rsidRDefault="00DD1EC6">
            <w:pPr>
              <w:jc w:val="right"/>
            </w:pPr>
            <w:r>
              <w:rPr>
                <w:rFonts w:eastAsiaTheme="minorEastAsia"/>
                <w:color w:val="000000" w:themeColor="text1"/>
                <w:szCs w:val="21"/>
              </w:rPr>
              <w:t>15,100,000</w:t>
            </w:r>
          </w:p>
        </w:tc>
        <w:tc>
          <w:tcPr>
            <w:tcW w:w="1818" w:type="dxa"/>
            <w:vAlign w:val="center"/>
          </w:tcPr>
          <w:p w:rsidR="00AF52A5" w:rsidRDefault="00DD1EC6">
            <w:pPr>
              <w:jc w:val="right"/>
            </w:pPr>
            <w:r>
              <w:rPr>
                <w:rFonts w:eastAsiaTheme="minorEastAsia"/>
                <w:color w:val="000000" w:themeColor="text1"/>
                <w:szCs w:val="21"/>
              </w:rPr>
              <w:t>1,548,790,353.59</w:t>
            </w:r>
          </w:p>
        </w:tc>
        <w:tc>
          <w:tcPr>
            <w:tcW w:w="1440" w:type="dxa"/>
            <w:vAlign w:val="center"/>
          </w:tcPr>
          <w:p w:rsidR="00AF52A5" w:rsidRDefault="00DD1EC6">
            <w:pPr>
              <w:jc w:val="right"/>
            </w:pPr>
            <w:r>
              <w:rPr>
                <w:rFonts w:eastAsiaTheme="minorEastAsia"/>
                <w:color w:val="000000" w:themeColor="text1"/>
                <w:szCs w:val="21"/>
              </w:rPr>
              <w:t>18.34</w:t>
            </w:r>
          </w:p>
        </w:tc>
      </w:tr>
      <w:tr w:rsidR="00AF52A5" w:rsidTr="00CD439D">
        <w:tc>
          <w:tcPr>
            <w:tcW w:w="851" w:type="dxa"/>
            <w:vAlign w:val="center"/>
          </w:tcPr>
          <w:p w:rsidR="00AF52A5" w:rsidRDefault="00DD1EC6">
            <w:pPr>
              <w:jc w:val="center"/>
            </w:pPr>
            <w:r>
              <w:rPr>
                <w:rFonts w:eastAsiaTheme="minorEastAsia"/>
                <w:color w:val="000000" w:themeColor="text1"/>
                <w:szCs w:val="21"/>
              </w:rPr>
              <w:t>5</w:t>
            </w:r>
          </w:p>
        </w:tc>
        <w:tc>
          <w:tcPr>
            <w:tcW w:w="1276" w:type="dxa"/>
            <w:vAlign w:val="center"/>
          </w:tcPr>
          <w:p w:rsidR="00AF52A5" w:rsidRDefault="00DD1EC6">
            <w:pPr>
              <w:jc w:val="center"/>
            </w:pPr>
            <w:r>
              <w:rPr>
                <w:rFonts w:eastAsiaTheme="minorEastAsia"/>
                <w:color w:val="000000" w:themeColor="text1"/>
                <w:szCs w:val="21"/>
              </w:rPr>
              <w:t>160993</w:t>
            </w:r>
          </w:p>
        </w:tc>
        <w:tc>
          <w:tcPr>
            <w:tcW w:w="1559" w:type="dxa"/>
            <w:vAlign w:val="center"/>
          </w:tcPr>
          <w:p w:rsidR="00AF52A5" w:rsidRDefault="00DD1EC6">
            <w:pPr>
              <w:jc w:val="center"/>
            </w:pPr>
            <w:r>
              <w:rPr>
                <w:rFonts w:eastAsiaTheme="minorEastAsia"/>
                <w:color w:val="000000" w:themeColor="text1"/>
                <w:szCs w:val="21"/>
              </w:rPr>
              <w:t>20</w:t>
            </w:r>
            <w:r>
              <w:rPr>
                <w:rFonts w:eastAsiaTheme="minorEastAsia"/>
                <w:color w:val="000000" w:themeColor="text1"/>
                <w:szCs w:val="21"/>
              </w:rPr>
              <w:t>江苏</w:t>
            </w:r>
            <w:r>
              <w:rPr>
                <w:rFonts w:eastAsiaTheme="minorEastAsia"/>
                <w:color w:val="000000" w:themeColor="text1"/>
                <w:szCs w:val="21"/>
              </w:rPr>
              <w:t>19</w:t>
            </w:r>
          </w:p>
        </w:tc>
        <w:tc>
          <w:tcPr>
            <w:tcW w:w="1584" w:type="dxa"/>
            <w:vAlign w:val="center"/>
          </w:tcPr>
          <w:p w:rsidR="00AF52A5" w:rsidRDefault="00DD1EC6">
            <w:pPr>
              <w:jc w:val="right"/>
            </w:pPr>
            <w:r>
              <w:rPr>
                <w:rFonts w:eastAsiaTheme="minorEastAsia"/>
                <w:color w:val="000000" w:themeColor="text1"/>
                <w:szCs w:val="21"/>
              </w:rPr>
              <w:t>7,100,000</w:t>
            </w:r>
          </w:p>
        </w:tc>
        <w:tc>
          <w:tcPr>
            <w:tcW w:w="1818" w:type="dxa"/>
            <w:vAlign w:val="center"/>
          </w:tcPr>
          <w:p w:rsidR="00AF52A5" w:rsidRDefault="00DD1EC6">
            <w:pPr>
              <w:jc w:val="right"/>
            </w:pPr>
            <w:r>
              <w:rPr>
                <w:rFonts w:eastAsiaTheme="minorEastAsia"/>
                <w:color w:val="000000" w:themeColor="text1"/>
                <w:szCs w:val="21"/>
              </w:rPr>
              <w:t>730,887,232.03</w:t>
            </w:r>
          </w:p>
        </w:tc>
        <w:tc>
          <w:tcPr>
            <w:tcW w:w="1440" w:type="dxa"/>
            <w:vAlign w:val="center"/>
          </w:tcPr>
          <w:p w:rsidR="00AF52A5" w:rsidRDefault="00DD1EC6">
            <w:pPr>
              <w:jc w:val="right"/>
            </w:pPr>
            <w:r>
              <w:rPr>
                <w:rFonts w:eastAsiaTheme="minorEastAsia"/>
                <w:color w:val="000000" w:themeColor="text1"/>
                <w:szCs w:val="21"/>
              </w:rPr>
              <w:t>8.66</w:t>
            </w:r>
          </w:p>
        </w:tc>
      </w:tr>
    </w:tbl>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3"/>
      <w:bookmarkStart w:id="99" w:name="_Toc144286620"/>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8"/>
      <w:bookmarkEnd w:id="99"/>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0" w:name="_Toc390421264"/>
      <w:bookmarkStart w:id="101" w:name="_Toc144286621"/>
      <w:r w:rsidRPr="005B5C10">
        <w:rPr>
          <w:rFonts w:ascii="Times New Roman" w:eastAsiaTheme="minorEastAsia" w:hAnsi="Times New Roman"/>
          <w:color w:val="000000" w:themeColor="text1"/>
          <w:kern w:val="0"/>
          <w:sz w:val="21"/>
          <w:szCs w:val="21"/>
        </w:rPr>
        <w:lastRenderedPageBreak/>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0"/>
      <w:bookmarkEnd w:id="101"/>
    </w:p>
    <w:p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2" w:name="_Toc390421265"/>
      <w:bookmarkStart w:id="103" w:name="_Toc144286622"/>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2"/>
      <w:bookmarkEnd w:id="103"/>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4" w:name="_Toc144286623"/>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4"/>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7"/>
      <w:bookmarkStart w:id="106" w:name="_Toc144286624"/>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5"/>
      <w:bookmarkEnd w:id="106"/>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144286625"/>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07"/>
    </w:p>
    <w:p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rsidR="00EF1DD8" w:rsidRPr="005B5C10"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8"/>
      <w:bookmarkStart w:id="109" w:name="_Toc144286626"/>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08"/>
      <w:bookmarkEnd w:id="109"/>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201,005,207.57</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765" w:type="dxa"/>
            <w:vAlign w:val="center"/>
          </w:tcPr>
          <w:p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lastRenderedPageBreak/>
              <w:t>9</w:t>
            </w:r>
          </w:p>
        </w:tc>
        <w:tc>
          <w:tcPr>
            <w:tcW w:w="4117" w:type="dxa"/>
            <w:vAlign w:val="center"/>
          </w:tcPr>
          <w:p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201,005,207.57</w:t>
            </w:r>
          </w:p>
        </w:tc>
      </w:tr>
    </w:tbl>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0" w:name="_Toc225500050"/>
      <w:bookmarkStart w:id="111" w:name="_Toc144286627"/>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0"/>
      <w:bookmarkEnd w:id="111"/>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2" w:name="_Toc390421270"/>
      <w:bookmarkStart w:id="113" w:name="_Toc225500051"/>
      <w:bookmarkStart w:id="114" w:name="_Toc144286628"/>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2"/>
      <w:bookmarkEnd w:id="113"/>
      <w:bookmarkEnd w:id="114"/>
    </w:p>
    <w:p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7C066F" w:rsidRPr="005B5C10" w:rsidTr="007C066F">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AF52A5" w:rsidRDefault="00DD1EC6">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7C066F" w:rsidRPr="005B5C10" w:rsidTr="007C066F">
        <w:tc>
          <w:tcPr>
            <w:tcW w:w="1627" w:type="dxa"/>
            <w:vMerge/>
            <w:tcBorders>
              <w:top w:val="single" w:sz="8" w:space="0" w:color="000000"/>
              <w:left w:val="single" w:sz="8" w:space="0" w:color="000000"/>
              <w:bottom w:val="single" w:sz="8" w:space="0" w:color="000000"/>
              <w:right w:val="single" w:sz="8" w:space="0" w:color="000000"/>
            </w:tcBorders>
            <w:vAlign w:val="center"/>
          </w:tcPr>
          <w:p w:rsidR="00AF52A5" w:rsidRDefault="00AF52A5">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7C066F" w:rsidRPr="005B5C10" w:rsidTr="007C066F">
        <w:tc>
          <w:tcPr>
            <w:tcW w:w="1627" w:type="dxa"/>
            <w:vMerge/>
            <w:tcBorders>
              <w:top w:val="single" w:sz="8" w:space="0" w:color="000000"/>
              <w:left w:val="single" w:sz="8" w:space="0" w:color="000000"/>
              <w:bottom w:val="single" w:sz="8" w:space="0" w:color="000000"/>
              <w:right w:val="single" w:sz="8" w:space="0" w:color="000000"/>
            </w:tcBorders>
            <w:vAlign w:val="center"/>
          </w:tcPr>
          <w:p w:rsidR="00AF52A5" w:rsidRDefault="00AF52A5">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7C066F" w:rsidRPr="005B5C10" w:rsidTr="007C066F">
        <w:tc>
          <w:tcPr>
            <w:tcW w:w="1627" w:type="dxa"/>
            <w:tcBorders>
              <w:top w:val="single" w:sz="8" w:space="0" w:color="000000"/>
              <w:left w:val="single" w:sz="8" w:space="0" w:color="000000"/>
              <w:bottom w:val="single" w:sz="8" w:space="0" w:color="000000"/>
              <w:right w:val="single" w:sz="8" w:space="0" w:color="000000"/>
            </w:tcBorders>
            <w:vAlign w:val="center"/>
          </w:tcPr>
          <w:p w:rsidR="00AF52A5" w:rsidRDefault="00DD1EC6">
            <w:pPr>
              <w:jc w:val="center"/>
            </w:pPr>
            <w:r>
              <w:rPr>
                <w:rFonts w:eastAsiaTheme="minorEastAsia"/>
                <w:bCs/>
                <w:color w:val="000000" w:themeColor="text1"/>
                <w:szCs w:val="21"/>
              </w:rPr>
              <w:t>307</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26,026,311.73</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7,990,074,599.98</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100.00%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3,099.96</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0.00%</w:t>
            </w:r>
          </w:p>
        </w:tc>
      </w:tr>
    </w:tbl>
    <w:p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15" w:name="_Toc144286629"/>
      <w:r w:rsidRPr="005B5C10">
        <w:rPr>
          <w:rFonts w:ascii="Times New Roman" w:eastAsiaTheme="minorEastAsia" w:hAnsi="Times New Roman"/>
          <w:color w:val="000000" w:themeColor="text1"/>
          <w:kern w:val="0"/>
          <w:sz w:val="21"/>
          <w:szCs w:val="21"/>
        </w:rPr>
        <w:t>8.2</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15"/>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trPr>
          <w:trHeight w:val="713"/>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r w:rsidR="008148A4" w:rsidRPr="005B5C10">
        <w:trPr>
          <w:trHeight w:val="285"/>
        </w:trPr>
        <w:tc>
          <w:tcPr>
            <w:tcW w:w="3369" w:type="dxa"/>
            <w:shd w:val="clear" w:color="auto" w:fill="auto"/>
            <w:tcMar>
              <w:top w:w="0" w:type="dxa"/>
              <w:left w:w="108" w:type="dxa"/>
              <w:bottom w:w="0" w:type="dxa"/>
              <w:right w:w="108" w:type="dxa"/>
            </w:tcMar>
            <w:vAlign w:val="center"/>
          </w:tcPr>
          <w:p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6" w:name="_Toc225500053"/>
      <w:bookmarkStart w:id="117" w:name="_Toc144286630"/>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16"/>
      <w:bookmarkEnd w:id="117"/>
    </w:p>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tc>
          <w:tcPr>
            <w:tcW w:w="5211" w:type="dxa"/>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2020</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3</w:t>
            </w:r>
            <w:r w:rsidRPr="005B5C10">
              <w:rPr>
                <w:rFonts w:eastAsiaTheme="minorEastAsia"/>
                <w:color w:val="000000" w:themeColor="text1"/>
                <w:szCs w:val="21"/>
              </w:rPr>
              <w:t>日）基金份额总额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7,990,077,699.94 </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tc>
          <w:tcPr>
            <w:tcW w:w="5211" w:type="dxa"/>
            <w:vAlign w:val="center"/>
          </w:tcPr>
          <w:p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本报告期期末基金份额总额</w:t>
            </w:r>
          </w:p>
        </w:tc>
        <w:tc>
          <w:tcPr>
            <w:tcW w:w="4075" w:type="dxa"/>
          </w:tcPr>
          <w:p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7,990,077,699.94</w:t>
            </w:r>
          </w:p>
        </w:tc>
      </w:tr>
    </w:tbl>
    <w:p w:rsidR="006B65E1" w:rsidRPr="005B5C10" w:rsidRDefault="006B65E1">
      <w:pPr>
        <w:spacing w:line="360" w:lineRule="auto"/>
        <w:rPr>
          <w:rFonts w:eastAsiaTheme="minorEastAsia"/>
          <w:color w:val="000000" w:themeColor="text1"/>
          <w:szCs w:val="21"/>
        </w:rPr>
      </w:pPr>
    </w:p>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8" w:name="_Toc225500054"/>
      <w:bookmarkStart w:id="119" w:name="_Toc144286631"/>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18"/>
      <w:bookmarkEnd w:id="119"/>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0" w:name="_Toc374438161"/>
      <w:bookmarkStart w:id="121" w:name="_Toc361324894"/>
      <w:bookmarkStart w:id="122" w:name="_Toc390421283"/>
      <w:bookmarkStart w:id="123" w:name="_Toc144286632"/>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0"/>
      <w:bookmarkEnd w:id="121"/>
      <w:bookmarkEnd w:id="123"/>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4" w:name="_Toc374438162"/>
      <w:bookmarkStart w:id="125" w:name="_Toc361324895"/>
      <w:bookmarkStart w:id="126" w:name="_Toc144286633"/>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24"/>
      <w:bookmarkEnd w:id="125"/>
      <w:bookmarkEnd w:id="126"/>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AF52A5" w:rsidRDefault="00DD1EC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AF52A5" w:rsidRDefault="00AF52A5">
      <w:pPr>
        <w:tabs>
          <w:tab w:val="left" w:pos="426"/>
        </w:tabs>
        <w:spacing w:before="29" w:line="288" w:lineRule="auto"/>
        <w:jc w:val="left"/>
        <w:rPr>
          <w:color w:val="000000" w:themeColor="text1"/>
          <w:kern w:val="0"/>
          <w:szCs w:val="21"/>
        </w:rPr>
      </w:pPr>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基金托管人：</w:t>
      </w:r>
      <w:r w:rsidRPr="005B5C10">
        <w:rPr>
          <w:color w:val="000000" w:themeColor="text1"/>
          <w:kern w:val="0"/>
          <w:szCs w:val="21"/>
        </w:rPr>
        <w:t xml:space="preserve"> </w:t>
      </w:r>
      <w:r w:rsidRPr="005B5C10">
        <w:rPr>
          <w:color w:val="000000" w:themeColor="text1"/>
          <w:kern w:val="0"/>
          <w:szCs w:val="21"/>
        </w:rPr>
        <w:t>无。</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7" w:name="_Toc374438163"/>
      <w:bookmarkStart w:id="128" w:name="_Toc361324896"/>
      <w:bookmarkStart w:id="129" w:name="_Toc144286634"/>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27"/>
      <w:bookmarkEnd w:id="128"/>
      <w:bookmarkEnd w:id="129"/>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0" w:name="_Toc374438164"/>
      <w:bookmarkStart w:id="131" w:name="_Toc361324897"/>
      <w:bookmarkStart w:id="132" w:name="_Toc144286635"/>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0"/>
      <w:bookmarkEnd w:id="131"/>
      <w:bookmarkEnd w:id="132"/>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3" w:name="_Toc409100103"/>
      <w:bookmarkStart w:id="134" w:name="_Toc409100466"/>
      <w:bookmarkStart w:id="135" w:name="_Toc144286636"/>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3"/>
      <w:bookmarkEnd w:id="134"/>
      <w:bookmarkEnd w:id="135"/>
    </w:p>
    <w:p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rsidR="00D65B08" w:rsidRPr="006D6271" w:rsidRDefault="00D65B08" w:rsidP="00D65B08">
      <w:pPr>
        <w:pStyle w:val="2"/>
        <w:spacing w:before="0" w:after="0"/>
        <w:rPr>
          <w:rFonts w:ascii="Times New Roman" w:eastAsiaTheme="minorEastAsia" w:hAnsi="Times New Roman"/>
          <w:kern w:val="0"/>
          <w:sz w:val="21"/>
          <w:szCs w:val="21"/>
        </w:rPr>
      </w:pPr>
      <w:bookmarkStart w:id="136" w:name="_Toc409100104"/>
      <w:bookmarkStart w:id="137" w:name="_Toc64625426"/>
      <w:bookmarkStart w:id="138" w:name="_Toc361324899"/>
      <w:bookmarkStart w:id="139" w:name="_Toc409100467"/>
      <w:bookmarkStart w:id="140" w:name="_Toc409100105"/>
      <w:bookmarkStart w:id="141" w:name="_Toc409100468"/>
      <w:bookmarkStart w:id="142" w:name="_Toc361324900"/>
      <w:bookmarkStart w:id="143" w:name="_Toc14428663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6"/>
      <w:bookmarkEnd w:id="137"/>
      <w:bookmarkEnd w:id="138"/>
      <w:bookmarkEnd w:id="139"/>
      <w:bookmarkEnd w:id="143"/>
    </w:p>
    <w:p w:rsidR="00D65B08" w:rsidRPr="006D6271" w:rsidRDefault="00D65B08" w:rsidP="00D65B08">
      <w:pPr>
        <w:pStyle w:val="2"/>
        <w:spacing w:before="0" w:after="0"/>
        <w:rPr>
          <w:rFonts w:ascii="Times New Roman" w:eastAsiaTheme="minorEastAsia" w:hAnsi="Times New Roman"/>
          <w:kern w:val="0"/>
          <w:sz w:val="21"/>
          <w:szCs w:val="21"/>
        </w:rPr>
      </w:pPr>
      <w:bookmarkStart w:id="144" w:name="_Toc14428663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4"/>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65B08" w:rsidRPr="006D6271" w:rsidRDefault="00D65B08" w:rsidP="00D65B08">
      <w:pPr>
        <w:pStyle w:val="2"/>
        <w:spacing w:before="0" w:after="0"/>
        <w:rPr>
          <w:rFonts w:ascii="Times New Roman" w:eastAsiaTheme="minorEastAsia" w:hAnsi="Times New Roman"/>
          <w:kern w:val="0"/>
          <w:sz w:val="21"/>
          <w:szCs w:val="21"/>
        </w:rPr>
      </w:pPr>
      <w:bookmarkStart w:id="145" w:name="_Toc14428663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5"/>
    </w:p>
    <w:p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46" w:name="_Toc144286640"/>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0"/>
      <w:bookmarkEnd w:id="141"/>
      <w:bookmarkEnd w:id="142"/>
      <w:bookmarkEnd w:id="146"/>
    </w:p>
    <w:p w:rsidR="003E40F9" w:rsidRPr="005B5C10" w:rsidRDefault="003E40F9" w:rsidP="003E40F9">
      <w:pPr>
        <w:tabs>
          <w:tab w:val="left" w:pos="426"/>
        </w:tabs>
        <w:spacing w:before="29" w:line="288" w:lineRule="auto"/>
        <w:jc w:val="left"/>
        <w:rPr>
          <w:b/>
          <w:color w:val="000000" w:themeColor="text1"/>
          <w:kern w:val="0"/>
          <w:szCs w:val="21"/>
        </w:rPr>
      </w:pPr>
      <w:bookmarkStart w:id="147"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47"/>
    </w:p>
    <w:p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bookmarkStart w:id="148" w:name="_Toc249760071"/>
            <w:r w:rsidRPr="005B5C10">
              <w:rPr>
                <w:rFonts w:eastAsiaTheme="minorEastAsia"/>
                <w:color w:val="000000" w:themeColor="text1"/>
                <w:szCs w:val="21"/>
              </w:rPr>
              <w:lastRenderedPageBreak/>
              <w:t>券商名称</w:t>
            </w:r>
          </w:p>
        </w:tc>
        <w:tc>
          <w:tcPr>
            <w:tcW w:w="780" w:type="dxa"/>
            <w:vMerge w:val="restart"/>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r>
      <w:tr w:rsidR="00AF52A5">
        <w:tc>
          <w:tcPr>
            <w:tcW w:w="1560" w:type="dxa"/>
            <w:vAlign w:val="center"/>
          </w:tcPr>
          <w:p w:rsidR="00AF52A5" w:rsidRDefault="00DD1EC6">
            <w:pPr>
              <w:jc w:val="left"/>
            </w:pPr>
            <w:r>
              <w:rPr>
                <w:rFonts w:eastAsiaTheme="minorEastAsia"/>
                <w:color w:val="000000" w:themeColor="text1"/>
                <w:szCs w:val="21"/>
              </w:rPr>
              <w:t>兴业证券</w:t>
            </w:r>
          </w:p>
        </w:tc>
        <w:tc>
          <w:tcPr>
            <w:tcW w:w="780" w:type="dxa"/>
            <w:vAlign w:val="center"/>
          </w:tcPr>
          <w:p w:rsidR="00AF52A5" w:rsidRDefault="00DD1EC6">
            <w:pPr>
              <w:jc w:val="right"/>
            </w:pPr>
            <w:r>
              <w:rPr>
                <w:rFonts w:eastAsiaTheme="minorEastAsia"/>
                <w:color w:val="000000" w:themeColor="text1"/>
                <w:szCs w:val="21"/>
              </w:rPr>
              <w:t>2</w:t>
            </w:r>
          </w:p>
        </w:tc>
        <w:tc>
          <w:tcPr>
            <w:tcW w:w="1800" w:type="dxa"/>
            <w:vAlign w:val="center"/>
          </w:tcPr>
          <w:p w:rsidR="00AF52A5" w:rsidRDefault="00DD1EC6">
            <w:pPr>
              <w:jc w:val="right"/>
            </w:pPr>
            <w:r>
              <w:rPr>
                <w:rFonts w:eastAsiaTheme="minorEastAsia"/>
                <w:color w:val="000000" w:themeColor="text1"/>
                <w:szCs w:val="21"/>
              </w:rPr>
              <w:t>-</w:t>
            </w:r>
          </w:p>
        </w:tc>
        <w:tc>
          <w:tcPr>
            <w:tcW w:w="1080" w:type="dxa"/>
            <w:vAlign w:val="center"/>
          </w:tcPr>
          <w:p w:rsidR="00AF52A5" w:rsidRDefault="00DD1EC6">
            <w:pPr>
              <w:jc w:val="right"/>
            </w:pPr>
            <w:r>
              <w:rPr>
                <w:rFonts w:eastAsiaTheme="minorEastAsia"/>
                <w:color w:val="000000" w:themeColor="text1"/>
                <w:szCs w:val="21"/>
              </w:rPr>
              <w:t>-</w:t>
            </w:r>
          </w:p>
        </w:tc>
        <w:tc>
          <w:tcPr>
            <w:tcW w:w="1620" w:type="dxa"/>
            <w:vAlign w:val="center"/>
          </w:tcPr>
          <w:p w:rsidR="00AF52A5" w:rsidRDefault="00DD1EC6">
            <w:pPr>
              <w:jc w:val="right"/>
            </w:pPr>
            <w:r>
              <w:rPr>
                <w:rFonts w:eastAsiaTheme="minorEastAsia"/>
                <w:color w:val="000000" w:themeColor="text1"/>
                <w:szCs w:val="21"/>
              </w:rPr>
              <w:t>-</w:t>
            </w:r>
          </w:p>
        </w:tc>
        <w:tc>
          <w:tcPr>
            <w:tcW w:w="1080" w:type="dxa"/>
            <w:vAlign w:val="center"/>
          </w:tcPr>
          <w:p w:rsidR="00AF52A5" w:rsidRDefault="00DD1EC6">
            <w:pPr>
              <w:jc w:val="right"/>
            </w:pPr>
            <w:r>
              <w:rPr>
                <w:rFonts w:eastAsiaTheme="minorEastAsia"/>
                <w:color w:val="000000" w:themeColor="text1"/>
                <w:szCs w:val="21"/>
              </w:rPr>
              <w:t>-</w:t>
            </w:r>
          </w:p>
        </w:tc>
        <w:tc>
          <w:tcPr>
            <w:tcW w:w="1080" w:type="dxa"/>
            <w:vAlign w:val="center"/>
          </w:tcPr>
          <w:p w:rsidR="00AF52A5" w:rsidRDefault="00DD1EC6">
            <w:pPr>
              <w:jc w:val="left"/>
            </w:pPr>
            <w:r>
              <w:rPr>
                <w:rFonts w:eastAsiaTheme="minorEastAsia"/>
                <w:color w:val="000000" w:themeColor="text1"/>
                <w:szCs w:val="21"/>
              </w:rPr>
              <w:t>-</w:t>
            </w:r>
          </w:p>
        </w:tc>
      </w:tr>
    </w:tbl>
    <w:p w:rsidR="003E40F9" w:rsidRPr="005B5C10" w:rsidRDefault="003E40F9" w:rsidP="006F0915">
      <w:pPr>
        <w:tabs>
          <w:tab w:val="left" w:pos="426"/>
        </w:tabs>
        <w:spacing w:before="29" w:line="288" w:lineRule="auto"/>
        <w:jc w:val="left"/>
        <w:rPr>
          <w:b/>
          <w:color w:val="000000" w:themeColor="text1"/>
          <w:kern w:val="0"/>
          <w:szCs w:val="21"/>
        </w:rPr>
      </w:pPr>
      <w:bookmarkStart w:id="149" w:name="_Toc249707408"/>
      <w:bookmarkEnd w:id="148"/>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rsidTr="00052F8B">
        <w:tc>
          <w:tcPr>
            <w:tcW w:w="1560" w:type="dxa"/>
            <w:vMerge w:val="restart"/>
            <w:vAlign w:val="center"/>
          </w:tcPr>
          <w:p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rsidTr="00052F8B">
        <w:tc>
          <w:tcPr>
            <w:tcW w:w="1560" w:type="dxa"/>
            <w:vMerge/>
            <w:vAlign w:val="center"/>
          </w:tcPr>
          <w:p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AF52A5">
        <w:tc>
          <w:tcPr>
            <w:tcW w:w="1560" w:type="dxa"/>
            <w:vAlign w:val="center"/>
          </w:tcPr>
          <w:p w:rsidR="00AF52A5" w:rsidRDefault="00DD1EC6">
            <w:pPr>
              <w:jc w:val="left"/>
            </w:pPr>
            <w:r>
              <w:rPr>
                <w:rFonts w:eastAsiaTheme="minorEastAsia"/>
                <w:color w:val="000000" w:themeColor="text1"/>
                <w:szCs w:val="21"/>
              </w:rPr>
              <w:t>兴业证券</w:t>
            </w:r>
          </w:p>
        </w:tc>
        <w:tc>
          <w:tcPr>
            <w:tcW w:w="1320" w:type="dxa"/>
            <w:vAlign w:val="center"/>
          </w:tcPr>
          <w:p w:rsidR="00AF52A5" w:rsidRDefault="00DD1EC6">
            <w:pPr>
              <w:jc w:val="right"/>
            </w:pPr>
            <w:r>
              <w:rPr>
                <w:rFonts w:eastAsiaTheme="minorEastAsia"/>
                <w:color w:val="000000" w:themeColor="text1"/>
                <w:szCs w:val="21"/>
              </w:rPr>
              <w:t>-</w:t>
            </w:r>
          </w:p>
        </w:tc>
        <w:tc>
          <w:tcPr>
            <w:tcW w:w="1080" w:type="dxa"/>
            <w:vAlign w:val="center"/>
          </w:tcPr>
          <w:p w:rsidR="00AF52A5" w:rsidRDefault="00DD1EC6">
            <w:pPr>
              <w:jc w:val="right"/>
            </w:pPr>
            <w:r>
              <w:rPr>
                <w:rFonts w:eastAsiaTheme="minorEastAsia"/>
                <w:color w:val="000000" w:themeColor="text1"/>
                <w:szCs w:val="21"/>
              </w:rPr>
              <w:t>-</w:t>
            </w:r>
          </w:p>
        </w:tc>
        <w:tc>
          <w:tcPr>
            <w:tcW w:w="1143" w:type="dxa"/>
            <w:vAlign w:val="center"/>
          </w:tcPr>
          <w:p w:rsidR="00AF52A5" w:rsidRDefault="00DD1EC6">
            <w:pPr>
              <w:jc w:val="right"/>
            </w:pPr>
            <w:r>
              <w:rPr>
                <w:rFonts w:eastAsiaTheme="minorEastAsia"/>
                <w:color w:val="000000" w:themeColor="text1"/>
                <w:szCs w:val="21"/>
              </w:rPr>
              <w:t>247,895,984,000.00</w:t>
            </w:r>
          </w:p>
        </w:tc>
        <w:tc>
          <w:tcPr>
            <w:tcW w:w="1197" w:type="dxa"/>
            <w:vAlign w:val="center"/>
          </w:tcPr>
          <w:p w:rsidR="00AF52A5" w:rsidRDefault="00DD1EC6">
            <w:pPr>
              <w:jc w:val="right"/>
            </w:pPr>
            <w:r>
              <w:rPr>
                <w:rFonts w:eastAsiaTheme="minorEastAsia"/>
                <w:color w:val="000000" w:themeColor="text1"/>
                <w:szCs w:val="21"/>
              </w:rPr>
              <w:t>100.00%</w:t>
            </w:r>
          </w:p>
        </w:tc>
        <w:tc>
          <w:tcPr>
            <w:tcW w:w="1497" w:type="dxa"/>
            <w:vAlign w:val="center"/>
          </w:tcPr>
          <w:p w:rsidR="00AF52A5" w:rsidRDefault="00DD1EC6">
            <w:pPr>
              <w:jc w:val="right"/>
            </w:pPr>
            <w:r>
              <w:rPr>
                <w:rFonts w:eastAsiaTheme="minorEastAsia"/>
                <w:color w:val="000000" w:themeColor="text1"/>
                <w:szCs w:val="21"/>
              </w:rPr>
              <w:t>-</w:t>
            </w:r>
          </w:p>
        </w:tc>
        <w:tc>
          <w:tcPr>
            <w:tcW w:w="1203" w:type="dxa"/>
            <w:vAlign w:val="center"/>
          </w:tcPr>
          <w:p w:rsidR="00AF52A5" w:rsidRDefault="00DD1EC6">
            <w:pPr>
              <w:jc w:val="right"/>
            </w:pPr>
            <w:r>
              <w:rPr>
                <w:rFonts w:eastAsiaTheme="minorEastAsia"/>
                <w:color w:val="000000" w:themeColor="text1"/>
                <w:szCs w:val="21"/>
              </w:rPr>
              <w:t>-</w:t>
            </w:r>
          </w:p>
        </w:tc>
      </w:tr>
    </w:tbl>
    <w:p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F52A5" w:rsidRDefault="00DD1E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0" w:name="_Toc144286641"/>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2"/>
      <w:bookmarkEnd w:id="15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tc>
          <w:tcPr>
            <w:tcW w:w="7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AF52A5">
        <w:tc>
          <w:tcPr>
            <w:tcW w:w="720" w:type="dxa"/>
            <w:vAlign w:val="center"/>
          </w:tcPr>
          <w:p w:rsidR="00AF52A5" w:rsidRDefault="00DD1EC6">
            <w:pPr>
              <w:jc w:val="center"/>
            </w:pPr>
            <w:r>
              <w:rPr>
                <w:rFonts w:eastAsiaTheme="minorEastAsia"/>
                <w:color w:val="000000" w:themeColor="text1"/>
                <w:szCs w:val="21"/>
              </w:rPr>
              <w:lastRenderedPageBreak/>
              <w:t>1</w:t>
            </w:r>
          </w:p>
        </w:tc>
        <w:tc>
          <w:tcPr>
            <w:tcW w:w="4320" w:type="dxa"/>
            <w:vAlign w:val="center"/>
          </w:tcPr>
          <w:p w:rsidR="00AF52A5" w:rsidRDefault="00DD1EC6">
            <w:r>
              <w:rPr>
                <w:rFonts w:eastAsiaTheme="minorEastAsia"/>
                <w:color w:val="000000" w:themeColor="text1"/>
                <w:szCs w:val="21"/>
              </w:rPr>
              <w:t>关于上投摩根基金管理有限公司股东及实际控制人变更的公告</w:t>
            </w:r>
          </w:p>
        </w:tc>
        <w:tc>
          <w:tcPr>
            <w:tcW w:w="2520" w:type="dxa"/>
            <w:vAlign w:val="center"/>
          </w:tcPr>
          <w:p w:rsidR="00AF52A5" w:rsidRDefault="00DD1EC6">
            <w:r>
              <w:rPr>
                <w:rFonts w:eastAsiaTheme="minorEastAsia"/>
                <w:color w:val="000000" w:themeColor="text1"/>
                <w:szCs w:val="21"/>
              </w:rPr>
              <w:t>基金管理人公司网站及本基金选定的信息披露报纸</w:t>
            </w:r>
          </w:p>
        </w:tc>
        <w:tc>
          <w:tcPr>
            <w:tcW w:w="1440" w:type="dxa"/>
            <w:vAlign w:val="center"/>
          </w:tcPr>
          <w:p w:rsidR="00AF52A5" w:rsidRDefault="00DD1EC6">
            <w:pPr>
              <w:jc w:val="center"/>
            </w:pPr>
            <w:r>
              <w:rPr>
                <w:rFonts w:eastAsiaTheme="minorEastAsia"/>
                <w:color w:val="000000" w:themeColor="text1"/>
                <w:szCs w:val="21"/>
              </w:rPr>
              <w:t>2023-01-21</w:t>
            </w:r>
          </w:p>
        </w:tc>
      </w:tr>
      <w:tr w:rsidR="00AF52A5">
        <w:tc>
          <w:tcPr>
            <w:tcW w:w="720" w:type="dxa"/>
            <w:vAlign w:val="center"/>
          </w:tcPr>
          <w:p w:rsidR="00AF52A5" w:rsidRDefault="00DD1EC6">
            <w:pPr>
              <w:jc w:val="center"/>
            </w:pPr>
            <w:r>
              <w:rPr>
                <w:rFonts w:eastAsiaTheme="minorEastAsia"/>
                <w:color w:val="000000" w:themeColor="text1"/>
                <w:szCs w:val="21"/>
              </w:rPr>
              <w:t>2</w:t>
            </w:r>
          </w:p>
        </w:tc>
        <w:tc>
          <w:tcPr>
            <w:tcW w:w="4320" w:type="dxa"/>
            <w:vAlign w:val="center"/>
          </w:tcPr>
          <w:p w:rsidR="00AF52A5" w:rsidRDefault="00DD1EC6">
            <w:r>
              <w:rPr>
                <w:rFonts w:eastAsiaTheme="minorEastAsia"/>
                <w:color w:val="000000" w:themeColor="text1"/>
                <w:szCs w:val="21"/>
              </w:rPr>
              <w:t>上投摩根基金管理有限公司关于董事变更的公告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2023-02-01</w:t>
            </w:r>
          </w:p>
        </w:tc>
      </w:tr>
      <w:tr w:rsidR="00AF52A5">
        <w:tc>
          <w:tcPr>
            <w:tcW w:w="720" w:type="dxa"/>
            <w:vAlign w:val="center"/>
          </w:tcPr>
          <w:p w:rsidR="00AF52A5" w:rsidRDefault="00DD1EC6">
            <w:pPr>
              <w:jc w:val="center"/>
            </w:pPr>
            <w:r>
              <w:rPr>
                <w:rFonts w:eastAsiaTheme="minorEastAsia"/>
                <w:color w:val="000000" w:themeColor="text1"/>
                <w:szCs w:val="21"/>
              </w:rPr>
              <w:t>3</w:t>
            </w:r>
          </w:p>
        </w:tc>
        <w:tc>
          <w:tcPr>
            <w:tcW w:w="4320" w:type="dxa"/>
            <w:vAlign w:val="center"/>
          </w:tcPr>
          <w:p w:rsidR="00AF52A5" w:rsidRDefault="00DD1EC6">
            <w:r>
              <w:rPr>
                <w:rFonts w:eastAsiaTheme="minorEastAsia"/>
                <w:color w:val="000000" w:themeColor="text1"/>
                <w:szCs w:val="21"/>
              </w:rPr>
              <w:t>上投摩根基金管理有限公司关于高级管理人员变更的公告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2023-04-01</w:t>
            </w:r>
          </w:p>
        </w:tc>
      </w:tr>
      <w:tr w:rsidR="00AF52A5">
        <w:tc>
          <w:tcPr>
            <w:tcW w:w="720" w:type="dxa"/>
            <w:vAlign w:val="center"/>
          </w:tcPr>
          <w:p w:rsidR="00AF52A5" w:rsidRDefault="00DD1EC6">
            <w:pPr>
              <w:jc w:val="center"/>
            </w:pPr>
            <w:r>
              <w:rPr>
                <w:rFonts w:eastAsiaTheme="minorEastAsia"/>
                <w:color w:val="000000" w:themeColor="text1"/>
                <w:szCs w:val="21"/>
              </w:rPr>
              <w:t>4</w:t>
            </w:r>
          </w:p>
        </w:tc>
        <w:tc>
          <w:tcPr>
            <w:tcW w:w="4320" w:type="dxa"/>
            <w:vAlign w:val="center"/>
          </w:tcPr>
          <w:p w:rsidR="00AF52A5" w:rsidRDefault="00DD1EC6">
            <w:r>
              <w:rPr>
                <w:rFonts w:eastAsiaTheme="minorEastAsia"/>
                <w:color w:val="000000" w:themeColor="text1"/>
                <w:szCs w:val="21"/>
              </w:rPr>
              <w:t>关于公司法定名称变更的公告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2023-04-12</w:t>
            </w:r>
          </w:p>
        </w:tc>
      </w:tr>
      <w:tr w:rsidR="00AF52A5">
        <w:tc>
          <w:tcPr>
            <w:tcW w:w="720" w:type="dxa"/>
            <w:vAlign w:val="center"/>
          </w:tcPr>
          <w:p w:rsidR="00AF52A5" w:rsidRDefault="00DD1EC6">
            <w:pPr>
              <w:jc w:val="center"/>
            </w:pPr>
            <w:r>
              <w:rPr>
                <w:rFonts w:eastAsiaTheme="minorEastAsia"/>
                <w:color w:val="000000" w:themeColor="text1"/>
                <w:szCs w:val="21"/>
              </w:rPr>
              <w:t>5</w:t>
            </w:r>
          </w:p>
        </w:tc>
        <w:tc>
          <w:tcPr>
            <w:tcW w:w="4320" w:type="dxa"/>
            <w:vAlign w:val="center"/>
          </w:tcPr>
          <w:p w:rsidR="00AF52A5" w:rsidRDefault="00DD1EC6">
            <w:r>
              <w:rPr>
                <w:rFonts w:eastAsiaTheme="minorEastAsia"/>
                <w:color w:val="000000" w:themeColor="text1"/>
                <w:szCs w:val="21"/>
              </w:rPr>
              <w:t>摩根基金管理（中国）有限公司关于旗下基金更名事宜的公告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2023-04-12</w:t>
            </w:r>
          </w:p>
        </w:tc>
      </w:tr>
      <w:tr w:rsidR="00AF52A5">
        <w:tc>
          <w:tcPr>
            <w:tcW w:w="720" w:type="dxa"/>
            <w:vAlign w:val="center"/>
          </w:tcPr>
          <w:p w:rsidR="00AF52A5" w:rsidRDefault="00DD1EC6">
            <w:pPr>
              <w:jc w:val="center"/>
            </w:pPr>
            <w:r>
              <w:rPr>
                <w:rFonts w:eastAsiaTheme="minorEastAsia"/>
                <w:color w:val="000000" w:themeColor="text1"/>
                <w:szCs w:val="21"/>
              </w:rPr>
              <w:t>6</w:t>
            </w:r>
          </w:p>
        </w:tc>
        <w:tc>
          <w:tcPr>
            <w:tcW w:w="4320" w:type="dxa"/>
            <w:vAlign w:val="center"/>
          </w:tcPr>
          <w:p w:rsidR="00AF52A5" w:rsidRDefault="00DD1EC6">
            <w:r>
              <w:rPr>
                <w:rFonts w:eastAsiaTheme="minorEastAsia"/>
                <w:color w:val="000000" w:themeColor="text1"/>
                <w:szCs w:val="21"/>
              </w:rPr>
              <w:t>摩根基金管理（中国）有限公司关于董事长变更的公告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2023-04-27</w:t>
            </w:r>
          </w:p>
        </w:tc>
      </w:tr>
      <w:tr w:rsidR="00AF52A5">
        <w:tc>
          <w:tcPr>
            <w:tcW w:w="720" w:type="dxa"/>
            <w:vAlign w:val="center"/>
          </w:tcPr>
          <w:p w:rsidR="00AF52A5" w:rsidRDefault="00DD1EC6">
            <w:pPr>
              <w:jc w:val="center"/>
            </w:pPr>
            <w:r>
              <w:rPr>
                <w:rFonts w:eastAsiaTheme="minorEastAsia"/>
                <w:color w:val="000000" w:themeColor="text1"/>
                <w:szCs w:val="21"/>
              </w:rPr>
              <w:t>7</w:t>
            </w:r>
          </w:p>
        </w:tc>
        <w:tc>
          <w:tcPr>
            <w:tcW w:w="4320" w:type="dxa"/>
            <w:vAlign w:val="center"/>
          </w:tcPr>
          <w:p w:rsidR="00AF52A5" w:rsidRDefault="00DD1EC6">
            <w:r>
              <w:rPr>
                <w:rFonts w:eastAsiaTheme="minorEastAsia"/>
                <w:color w:val="000000" w:themeColor="text1"/>
                <w:szCs w:val="21"/>
              </w:rPr>
              <w:t>摩根基金管理（中国）有限公司关于深圳分公司法定名称变更的公告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2023-05-13</w:t>
            </w:r>
          </w:p>
        </w:tc>
      </w:tr>
      <w:tr w:rsidR="00AF52A5">
        <w:tc>
          <w:tcPr>
            <w:tcW w:w="720" w:type="dxa"/>
            <w:vAlign w:val="center"/>
          </w:tcPr>
          <w:p w:rsidR="00AF52A5" w:rsidRDefault="00DD1EC6">
            <w:pPr>
              <w:jc w:val="center"/>
            </w:pPr>
            <w:r>
              <w:rPr>
                <w:rFonts w:eastAsiaTheme="minorEastAsia"/>
                <w:color w:val="000000" w:themeColor="text1"/>
                <w:szCs w:val="21"/>
              </w:rPr>
              <w:t>8</w:t>
            </w:r>
          </w:p>
        </w:tc>
        <w:tc>
          <w:tcPr>
            <w:tcW w:w="4320" w:type="dxa"/>
            <w:vAlign w:val="center"/>
          </w:tcPr>
          <w:p w:rsidR="00AF52A5" w:rsidRDefault="00DD1EC6">
            <w:r>
              <w:rPr>
                <w:rFonts w:eastAsiaTheme="minorEastAsia"/>
                <w:color w:val="000000" w:themeColor="text1"/>
                <w:szCs w:val="21"/>
              </w:rPr>
              <w:t>摩根基金管理（中国）有限公司关于北京分公司法定名称变更的公告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2023-05-19</w:t>
            </w:r>
          </w:p>
        </w:tc>
      </w:tr>
      <w:tr w:rsidR="00AF52A5">
        <w:tc>
          <w:tcPr>
            <w:tcW w:w="720" w:type="dxa"/>
            <w:vAlign w:val="center"/>
          </w:tcPr>
          <w:p w:rsidR="00AF52A5" w:rsidRDefault="00DD1EC6">
            <w:pPr>
              <w:jc w:val="center"/>
            </w:pPr>
            <w:r>
              <w:rPr>
                <w:rFonts w:eastAsiaTheme="minorEastAsia"/>
                <w:color w:val="000000" w:themeColor="text1"/>
                <w:szCs w:val="21"/>
              </w:rPr>
              <w:t>9</w:t>
            </w:r>
          </w:p>
        </w:tc>
        <w:tc>
          <w:tcPr>
            <w:tcW w:w="4320" w:type="dxa"/>
            <w:vAlign w:val="center"/>
          </w:tcPr>
          <w:p w:rsidR="00AF52A5" w:rsidRDefault="00DD1EC6">
            <w:r>
              <w:rPr>
                <w:rFonts w:eastAsiaTheme="minorEastAsia"/>
                <w:color w:val="000000" w:themeColor="text1"/>
                <w:szCs w:val="21"/>
              </w:rPr>
              <w:t>摩根基金管理（中国）有限公司关于高级管理人员变更的公告</w:t>
            </w:r>
          </w:p>
        </w:tc>
        <w:tc>
          <w:tcPr>
            <w:tcW w:w="2520" w:type="dxa"/>
            <w:vAlign w:val="center"/>
          </w:tcPr>
          <w:p w:rsidR="00AF52A5" w:rsidRDefault="00DD1EC6">
            <w:r>
              <w:rPr>
                <w:rFonts w:eastAsiaTheme="minorEastAsia"/>
                <w:color w:val="000000" w:themeColor="text1"/>
                <w:szCs w:val="21"/>
              </w:rPr>
              <w:t>同上</w:t>
            </w:r>
          </w:p>
        </w:tc>
        <w:tc>
          <w:tcPr>
            <w:tcW w:w="1440" w:type="dxa"/>
            <w:vAlign w:val="center"/>
          </w:tcPr>
          <w:p w:rsidR="00AF52A5" w:rsidRDefault="00DD1EC6">
            <w:pPr>
              <w:jc w:val="center"/>
            </w:pPr>
            <w:r>
              <w:rPr>
                <w:rFonts w:eastAsiaTheme="minorEastAsia"/>
                <w:color w:val="000000" w:themeColor="text1"/>
                <w:szCs w:val="21"/>
              </w:rPr>
              <w:t>2023-06-30</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1" w:name="_Toc144286642"/>
      <w:r w:rsidRPr="005B5C10">
        <w:rPr>
          <w:rFonts w:eastAsiaTheme="minorEastAsia"/>
          <w:b/>
          <w:bCs/>
          <w:color w:val="000000" w:themeColor="text1"/>
          <w:sz w:val="21"/>
          <w:szCs w:val="21"/>
          <w:lang w:val="en-US"/>
        </w:rPr>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1"/>
    </w:p>
    <w:p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bookmarkStart w:id="152" w:name="_Toc225500055"/>
      <w:r w:rsidRPr="005B5C10">
        <w:rPr>
          <w:rFonts w:ascii="宋体" w:hAnsi="宋体"/>
          <w:b/>
          <w:bCs/>
          <w:color w:val="000000" w:themeColor="text1"/>
          <w:kern w:val="0"/>
          <w:szCs w:val="21"/>
        </w:rPr>
        <w:t>11.</w:t>
      </w:r>
      <w:r w:rsidRPr="005B5C1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148A4" w:rsidRPr="005B5C10">
        <w:tc>
          <w:tcPr>
            <w:tcW w:w="993" w:type="dxa"/>
            <w:vMerge w:val="restart"/>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投资者类别</w:t>
            </w:r>
            <w:r w:rsidRPr="005B5C10">
              <w:rPr>
                <w:rFonts w:ascii="宋体" w:hAnsi="宋体"/>
                <w:color w:val="000000" w:themeColor="text1"/>
                <w:kern w:val="0"/>
                <w:szCs w:val="21"/>
              </w:rPr>
              <w:t xml:space="preserve">  </w:t>
            </w:r>
          </w:p>
        </w:tc>
        <w:tc>
          <w:tcPr>
            <w:tcW w:w="5670" w:type="dxa"/>
            <w:gridSpan w:val="5"/>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报告期内持有基金份额变化情况</w:t>
            </w:r>
          </w:p>
        </w:tc>
        <w:tc>
          <w:tcPr>
            <w:tcW w:w="2549" w:type="dxa"/>
            <w:gridSpan w:val="2"/>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报告期末持有基金情况</w:t>
            </w:r>
          </w:p>
        </w:tc>
      </w:tr>
      <w:tr w:rsidR="008148A4" w:rsidRPr="005B5C10">
        <w:tc>
          <w:tcPr>
            <w:tcW w:w="993" w:type="dxa"/>
            <w:vMerge/>
            <w:vAlign w:val="center"/>
          </w:tcPr>
          <w:p w:rsidR="006B65E1" w:rsidRPr="005B5C10" w:rsidRDefault="006B65E1">
            <w:pPr>
              <w:autoSpaceDE w:val="0"/>
              <w:autoSpaceDN w:val="0"/>
              <w:adjustRightInd w:val="0"/>
              <w:jc w:val="center"/>
              <w:rPr>
                <w:rFonts w:ascii="宋体" w:hAnsi="宋体"/>
                <w:b/>
                <w:bCs/>
                <w:color w:val="000000" w:themeColor="text1"/>
                <w:kern w:val="0"/>
                <w:szCs w:val="21"/>
              </w:rPr>
            </w:pPr>
          </w:p>
        </w:tc>
        <w:tc>
          <w:tcPr>
            <w:tcW w:w="992"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序号</w:t>
            </w:r>
          </w:p>
        </w:tc>
        <w:tc>
          <w:tcPr>
            <w:tcW w:w="1843"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持有基金份额比例达到或者超过20%的时间区间</w:t>
            </w:r>
          </w:p>
        </w:tc>
        <w:tc>
          <w:tcPr>
            <w:tcW w:w="851"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期初份额</w:t>
            </w:r>
          </w:p>
        </w:tc>
        <w:tc>
          <w:tcPr>
            <w:tcW w:w="850"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申购份额</w:t>
            </w:r>
          </w:p>
        </w:tc>
        <w:tc>
          <w:tcPr>
            <w:tcW w:w="1134" w:type="dxa"/>
            <w:vAlign w:val="center"/>
          </w:tcPr>
          <w:p w:rsidR="006B65E1" w:rsidRPr="005B5C10" w:rsidRDefault="00945F2E">
            <w:pPr>
              <w:widowControl/>
              <w:jc w:val="center"/>
              <w:rPr>
                <w:rFonts w:ascii="宋体" w:hAnsi="宋体"/>
                <w:b/>
                <w:bCs/>
                <w:color w:val="000000" w:themeColor="text1"/>
                <w:kern w:val="0"/>
                <w:szCs w:val="21"/>
              </w:rPr>
            </w:pPr>
            <w:r w:rsidRPr="005B5C10">
              <w:rPr>
                <w:rFonts w:ascii="宋体" w:hAnsi="宋体" w:hint="eastAsia"/>
                <w:color w:val="000000" w:themeColor="text1"/>
                <w:kern w:val="0"/>
                <w:szCs w:val="21"/>
              </w:rPr>
              <w:t>赎回份额</w:t>
            </w:r>
          </w:p>
        </w:tc>
        <w:tc>
          <w:tcPr>
            <w:tcW w:w="1419"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持有份额</w:t>
            </w:r>
          </w:p>
        </w:tc>
        <w:tc>
          <w:tcPr>
            <w:tcW w:w="1130" w:type="dxa"/>
            <w:vAlign w:val="center"/>
          </w:tcPr>
          <w:p w:rsidR="006B65E1" w:rsidRPr="005B5C10" w:rsidRDefault="00945F2E">
            <w:pPr>
              <w:autoSpaceDE w:val="0"/>
              <w:autoSpaceDN w:val="0"/>
              <w:adjustRightInd w:val="0"/>
              <w:jc w:val="center"/>
              <w:rPr>
                <w:rFonts w:ascii="宋体" w:hAnsi="宋体"/>
                <w:b/>
                <w:bCs/>
                <w:color w:val="000000" w:themeColor="text1"/>
                <w:kern w:val="0"/>
                <w:szCs w:val="21"/>
              </w:rPr>
            </w:pPr>
            <w:r w:rsidRPr="005B5C10">
              <w:rPr>
                <w:rFonts w:ascii="宋体" w:hAnsi="宋体" w:hint="eastAsia"/>
                <w:color w:val="000000" w:themeColor="text1"/>
                <w:kern w:val="0"/>
                <w:szCs w:val="21"/>
              </w:rPr>
              <w:t>份额占比</w:t>
            </w:r>
          </w:p>
        </w:tc>
      </w:tr>
      <w:tr w:rsidR="00AF52A5">
        <w:tc>
          <w:tcPr>
            <w:tcW w:w="993" w:type="dxa"/>
            <w:vMerge w:val="restart"/>
            <w:vAlign w:val="center"/>
          </w:tcPr>
          <w:p w:rsidR="00AF52A5" w:rsidRDefault="00DD1EC6">
            <w:r>
              <w:rPr>
                <w:rFonts w:ascii="宋体" w:hAnsi="宋体" w:hint="eastAsia"/>
                <w:bCs/>
                <w:color w:val="000000" w:themeColor="text1"/>
                <w:kern w:val="0"/>
                <w:szCs w:val="21"/>
              </w:rPr>
              <w:t>机构</w:t>
            </w:r>
          </w:p>
        </w:tc>
        <w:tc>
          <w:tcPr>
            <w:tcW w:w="992" w:type="dxa"/>
            <w:vAlign w:val="center"/>
          </w:tcPr>
          <w:p w:rsidR="00AF52A5" w:rsidRDefault="00DD1EC6">
            <w:pPr>
              <w:jc w:val="center"/>
            </w:pPr>
            <w:r>
              <w:rPr>
                <w:rFonts w:ascii="宋体" w:hAnsi="宋体"/>
                <w:color w:val="000000" w:themeColor="text1"/>
                <w:kern w:val="0"/>
                <w:szCs w:val="21"/>
              </w:rPr>
              <w:t>1</w:t>
            </w:r>
          </w:p>
        </w:tc>
        <w:tc>
          <w:tcPr>
            <w:tcW w:w="1843" w:type="dxa"/>
            <w:vAlign w:val="center"/>
          </w:tcPr>
          <w:p w:rsidR="00AF52A5" w:rsidRDefault="00DD1EC6">
            <w:pPr>
              <w:jc w:val="center"/>
            </w:pPr>
            <w:r>
              <w:rPr>
                <w:rFonts w:ascii="宋体" w:hAnsi="宋体"/>
                <w:color w:val="000000" w:themeColor="text1"/>
                <w:kern w:val="0"/>
                <w:szCs w:val="21"/>
              </w:rPr>
              <w:t>20230101-20230630</w:t>
            </w:r>
          </w:p>
        </w:tc>
        <w:tc>
          <w:tcPr>
            <w:tcW w:w="851" w:type="dxa"/>
            <w:vAlign w:val="center"/>
          </w:tcPr>
          <w:p w:rsidR="00AF52A5" w:rsidRDefault="00DD1EC6">
            <w:pPr>
              <w:jc w:val="center"/>
            </w:pPr>
            <w:r>
              <w:rPr>
                <w:rFonts w:ascii="宋体" w:hAnsi="宋体"/>
                <w:color w:val="000000" w:themeColor="text1"/>
                <w:kern w:val="0"/>
                <w:szCs w:val="21"/>
              </w:rPr>
              <w:t>3,989,999,000.00</w:t>
            </w:r>
          </w:p>
        </w:tc>
        <w:tc>
          <w:tcPr>
            <w:tcW w:w="850" w:type="dxa"/>
            <w:vAlign w:val="center"/>
          </w:tcPr>
          <w:p w:rsidR="00AF52A5" w:rsidRDefault="00DD1EC6">
            <w:pPr>
              <w:jc w:val="center"/>
            </w:pPr>
            <w:r>
              <w:rPr>
                <w:rFonts w:ascii="宋体" w:hAnsi="宋体"/>
                <w:color w:val="000000" w:themeColor="text1"/>
                <w:kern w:val="0"/>
                <w:szCs w:val="21"/>
              </w:rPr>
              <w:t>0.00</w:t>
            </w:r>
          </w:p>
        </w:tc>
        <w:tc>
          <w:tcPr>
            <w:tcW w:w="1134" w:type="dxa"/>
            <w:vAlign w:val="center"/>
          </w:tcPr>
          <w:p w:rsidR="00AF52A5" w:rsidRDefault="00DD1EC6">
            <w:pPr>
              <w:jc w:val="center"/>
            </w:pPr>
            <w:r>
              <w:rPr>
                <w:rFonts w:ascii="宋体" w:hAnsi="宋体"/>
                <w:color w:val="000000" w:themeColor="text1"/>
                <w:kern w:val="0"/>
                <w:szCs w:val="21"/>
              </w:rPr>
              <w:t>0.00</w:t>
            </w:r>
          </w:p>
        </w:tc>
        <w:tc>
          <w:tcPr>
            <w:tcW w:w="1419" w:type="dxa"/>
            <w:vAlign w:val="center"/>
          </w:tcPr>
          <w:p w:rsidR="00AF52A5" w:rsidRDefault="00DD1EC6">
            <w:pPr>
              <w:jc w:val="center"/>
            </w:pPr>
            <w:r>
              <w:rPr>
                <w:rFonts w:ascii="宋体" w:hAnsi="宋体"/>
                <w:color w:val="000000" w:themeColor="text1"/>
                <w:kern w:val="0"/>
                <w:szCs w:val="21"/>
              </w:rPr>
              <w:t>3,989,999,000.00</w:t>
            </w:r>
          </w:p>
        </w:tc>
        <w:tc>
          <w:tcPr>
            <w:tcW w:w="1130" w:type="dxa"/>
            <w:vAlign w:val="center"/>
          </w:tcPr>
          <w:p w:rsidR="00AF52A5" w:rsidRDefault="00DD1EC6">
            <w:pPr>
              <w:jc w:val="center"/>
            </w:pPr>
            <w:r>
              <w:rPr>
                <w:rFonts w:ascii="宋体" w:hAnsi="宋体"/>
                <w:color w:val="000000" w:themeColor="text1"/>
                <w:kern w:val="0"/>
                <w:szCs w:val="21"/>
              </w:rPr>
              <w:t>49.94%</w:t>
            </w:r>
          </w:p>
        </w:tc>
      </w:tr>
      <w:tr w:rsidR="00AF52A5">
        <w:tc>
          <w:tcPr>
            <w:tcW w:w="993" w:type="dxa"/>
            <w:vMerge/>
          </w:tcPr>
          <w:p w:rsidR="00AF52A5" w:rsidRDefault="00AF52A5"/>
        </w:tc>
        <w:tc>
          <w:tcPr>
            <w:tcW w:w="992" w:type="dxa"/>
            <w:vAlign w:val="center"/>
          </w:tcPr>
          <w:p w:rsidR="00AF52A5" w:rsidRDefault="00DD1EC6">
            <w:pPr>
              <w:jc w:val="center"/>
            </w:pPr>
            <w:r>
              <w:rPr>
                <w:rFonts w:ascii="宋体" w:hAnsi="宋体"/>
                <w:color w:val="000000" w:themeColor="text1"/>
                <w:kern w:val="0"/>
                <w:szCs w:val="21"/>
              </w:rPr>
              <w:t>2</w:t>
            </w:r>
          </w:p>
        </w:tc>
        <w:tc>
          <w:tcPr>
            <w:tcW w:w="1843" w:type="dxa"/>
            <w:vAlign w:val="center"/>
          </w:tcPr>
          <w:p w:rsidR="00AF52A5" w:rsidRDefault="00DD1EC6">
            <w:pPr>
              <w:jc w:val="center"/>
            </w:pPr>
            <w:r>
              <w:rPr>
                <w:rFonts w:ascii="宋体" w:hAnsi="宋体"/>
                <w:color w:val="000000" w:themeColor="text1"/>
                <w:kern w:val="0"/>
                <w:szCs w:val="21"/>
              </w:rPr>
              <w:t>20230101-20230630</w:t>
            </w:r>
          </w:p>
        </w:tc>
        <w:tc>
          <w:tcPr>
            <w:tcW w:w="851" w:type="dxa"/>
            <w:vAlign w:val="center"/>
          </w:tcPr>
          <w:p w:rsidR="00AF52A5" w:rsidRDefault="00DD1EC6">
            <w:pPr>
              <w:jc w:val="center"/>
            </w:pPr>
            <w:r>
              <w:rPr>
                <w:rFonts w:ascii="宋体" w:hAnsi="宋体"/>
                <w:color w:val="000000" w:themeColor="text1"/>
                <w:kern w:val="0"/>
                <w:szCs w:val="21"/>
              </w:rPr>
              <w:t>2,199,999,000.00</w:t>
            </w:r>
          </w:p>
        </w:tc>
        <w:tc>
          <w:tcPr>
            <w:tcW w:w="850" w:type="dxa"/>
            <w:vAlign w:val="center"/>
          </w:tcPr>
          <w:p w:rsidR="00AF52A5" w:rsidRDefault="00DD1EC6">
            <w:pPr>
              <w:jc w:val="center"/>
            </w:pPr>
            <w:r>
              <w:rPr>
                <w:rFonts w:ascii="宋体" w:hAnsi="宋体"/>
                <w:color w:val="000000" w:themeColor="text1"/>
                <w:kern w:val="0"/>
                <w:szCs w:val="21"/>
              </w:rPr>
              <w:t>0.00</w:t>
            </w:r>
          </w:p>
        </w:tc>
        <w:tc>
          <w:tcPr>
            <w:tcW w:w="1134" w:type="dxa"/>
            <w:vAlign w:val="center"/>
          </w:tcPr>
          <w:p w:rsidR="00AF52A5" w:rsidRDefault="00DD1EC6">
            <w:pPr>
              <w:jc w:val="center"/>
            </w:pPr>
            <w:r>
              <w:rPr>
                <w:rFonts w:ascii="宋体" w:hAnsi="宋体"/>
                <w:color w:val="000000" w:themeColor="text1"/>
                <w:kern w:val="0"/>
                <w:szCs w:val="21"/>
              </w:rPr>
              <w:t>0.00</w:t>
            </w:r>
          </w:p>
        </w:tc>
        <w:tc>
          <w:tcPr>
            <w:tcW w:w="1419" w:type="dxa"/>
            <w:vAlign w:val="center"/>
          </w:tcPr>
          <w:p w:rsidR="00AF52A5" w:rsidRDefault="00DD1EC6">
            <w:pPr>
              <w:jc w:val="center"/>
            </w:pPr>
            <w:r>
              <w:rPr>
                <w:rFonts w:ascii="宋体" w:hAnsi="宋体"/>
                <w:color w:val="000000" w:themeColor="text1"/>
                <w:kern w:val="0"/>
                <w:szCs w:val="21"/>
              </w:rPr>
              <w:t>2,199,999,000.00</w:t>
            </w:r>
          </w:p>
        </w:tc>
        <w:tc>
          <w:tcPr>
            <w:tcW w:w="1130" w:type="dxa"/>
            <w:vAlign w:val="center"/>
          </w:tcPr>
          <w:p w:rsidR="00AF52A5" w:rsidRDefault="00DD1EC6">
            <w:pPr>
              <w:jc w:val="center"/>
            </w:pPr>
            <w:r>
              <w:rPr>
                <w:rFonts w:ascii="宋体" w:hAnsi="宋体"/>
                <w:color w:val="000000" w:themeColor="text1"/>
                <w:kern w:val="0"/>
                <w:szCs w:val="21"/>
              </w:rPr>
              <w:t>27.53%</w:t>
            </w:r>
          </w:p>
        </w:tc>
      </w:tr>
      <w:tr w:rsidR="008148A4" w:rsidRPr="005B5C10">
        <w:tc>
          <w:tcPr>
            <w:tcW w:w="9212" w:type="dxa"/>
            <w:gridSpan w:val="8"/>
            <w:vAlign w:val="center"/>
          </w:tcPr>
          <w:p w:rsidR="006B65E1" w:rsidRPr="005B5C10" w:rsidRDefault="00945F2E">
            <w:pPr>
              <w:autoSpaceDE w:val="0"/>
              <w:autoSpaceDN w:val="0"/>
              <w:adjustRightInd w:val="0"/>
              <w:jc w:val="center"/>
              <w:rPr>
                <w:rFonts w:ascii="宋体" w:hAnsi="宋体"/>
                <w:color w:val="000000" w:themeColor="text1"/>
                <w:kern w:val="0"/>
                <w:szCs w:val="21"/>
              </w:rPr>
            </w:pPr>
            <w:r w:rsidRPr="005B5C10">
              <w:rPr>
                <w:rFonts w:ascii="宋体" w:hAnsi="宋体"/>
                <w:color w:val="000000" w:themeColor="text1"/>
                <w:kern w:val="0"/>
                <w:szCs w:val="21"/>
              </w:rPr>
              <w:t>产品特有风险</w:t>
            </w:r>
          </w:p>
        </w:tc>
      </w:tr>
      <w:tr w:rsidR="008148A4" w:rsidRPr="005B5C10">
        <w:tc>
          <w:tcPr>
            <w:tcW w:w="9212" w:type="dxa"/>
            <w:gridSpan w:val="8"/>
            <w:vAlign w:val="center"/>
          </w:tcPr>
          <w:p w:rsidR="006B65E1" w:rsidRPr="005B5C10" w:rsidRDefault="00945F2E">
            <w:pPr>
              <w:autoSpaceDE w:val="0"/>
              <w:autoSpaceDN w:val="0"/>
              <w:adjustRightInd w:val="0"/>
              <w:jc w:val="left"/>
              <w:rPr>
                <w:rFonts w:ascii="宋体" w:hAnsi="宋体"/>
                <w:color w:val="000000" w:themeColor="text1"/>
                <w:kern w:val="0"/>
                <w:szCs w:val="21"/>
              </w:rPr>
            </w:pPr>
            <w:r w:rsidRPr="005B5C1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3" w:name="_Toc144286643"/>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2"/>
      <w:bookmarkEnd w:id="153"/>
    </w:p>
    <w:p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4" w:name="_Toc390421286"/>
      <w:bookmarkStart w:id="155" w:name="_Toc144286644"/>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54"/>
      <w:bookmarkEnd w:id="155"/>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个月定期开放债券型证券投资基金基金合同</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摩根瑞盛</w:t>
      </w:r>
      <w:r>
        <w:rPr>
          <w:rFonts w:eastAsiaTheme="minorEastAsia"/>
          <w:color w:val="000000" w:themeColor="text1"/>
          <w:szCs w:val="21"/>
        </w:rPr>
        <w:t>87</w:t>
      </w:r>
      <w:r>
        <w:rPr>
          <w:rFonts w:eastAsiaTheme="minorEastAsia"/>
          <w:color w:val="000000" w:themeColor="text1"/>
          <w:szCs w:val="21"/>
        </w:rPr>
        <w:t>个月定期开放债券型证券投资基金托管协议</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F52A5" w:rsidRDefault="00DD1E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56" w:name="_Toc390421287"/>
      <w:bookmarkStart w:id="157" w:name="_Toc144286645"/>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56"/>
      <w:bookmarkEnd w:id="157"/>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58" w:name="_Toc390421288"/>
      <w:bookmarkStart w:id="159" w:name="_Toc144286646"/>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58"/>
      <w:bookmarkEnd w:id="159"/>
    </w:p>
    <w:p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6B65E1">
      <w:pPr>
        <w:ind w:firstLineChars="150" w:firstLine="315"/>
        <w:rPr>
          <w:rFonts w:eastAsiaTheme="minorEastAsia"/>
          <w:bCs/>
          <w:color w:val="000000" w:themeColor="text1"/>
          <w:szCs w:val="21"/>
        </w:rPr>
      </w:pP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二〇二三年八月三十一日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C" w:rsidRDefault="00DE449C" w:rsidP="006B65E1">
      <w:r>
        <w:separator/>
      </w:r>
    </w:p>
  </w:endnote>
  <w:endnote w:type="continuationSeparator" w:id="0">
    <w:p w:rsidR="00DE449C" w:rsidRDefault="00DE449C"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D439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D439D">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C" w:rsidRDefault="00DE449C" w:rsidP="006B65E1">
      <w:r>
        <w:separator/>
      </w:r>
    </w:p>
  </w:footnote>
  <w:footnote w:type="continuationSeparator" w:id="0">
    <w:p w:rsidR="00DE449C" w:rsidRDefault="00DE449C"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BA" w:rsidRDefault="001C61BA">
    <w:pPr>
      <w:pStyle w:val="af6"/>
      <w:pBdr>
        <w:bottom w:val="single" w:sz="6" w:space="0" w:color="auto"/>
      </w:pBdr>
      <w:jc w:val="right"/>
    </w:pPr>
    <w:r>
      <w:t>摩根瑞盛</w:t>
    </w:r>
    <w:r>
      <w:t>87</w:t>
    </w:r>
    <w:r>
      <w:t>个月定期开放债券型证券投资基金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066F"/>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2A5"/>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3B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39D"/>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1EC6"/>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177"/>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61F51-EF6E-43C5-9147-DD074846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5486</Words>
  <Characters>31271</Characters>
  <Application>Microsoft Office Word</Application>
  <DocSecurity>0</DocSecurity>
  <Lines>260</Lines>
  <Paragraphs>73</Paragraphs>
  <ScaleCrop>false</ScaleCrop>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2023-08-22T08:36:00Z</dcterms:created>
  <dcterms:modified xsi:type="dcterms:W3CDTF">2023-08-30T03:16:00Z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