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摩根瑞盛</w:t>
      </w:r>
      <w:r w:rsidRPr="00FF6B9A">
        <w:rPr>
          <w:rFonts w:eastAsiaTheme="minorEastAsia"/>
          <w:b/>
          <w:color w:val="000000" w:themeColor="text1"/>
          <w:sz w:val="36"/>
          <w:szCs w:val="36"/>
        </w:rPr>
        <w:t>87</w:t>
      </w:r>
      <w:r w:rsidRPr="00FF6B9A">
        <w:rPr>
          <w:rFonts w:eastAsiaTheme="minorEastAsia"/>
          <w:b/>
          <w:color w:val="000000" w:themeColor="text1"/>
          <w:sz w:val="36"/>
          <w:szCs w:val="36"/>
        </w:rPr>
        <w:t>个月定期开放债券型证券投资基金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1</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3</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报告送出日期：二〇二四年四月二十二日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摩根瑞盛</w:t>
            </w:r>
            <w:r w:rsidRPr="00FF6B9A">
              <w:rPr>
                <w:rFonts w:eastAsiaTheme="minorEastAsia"/>
                <w:color w:val="000000" w:themeColor="text1"/>
                <w:kern w:val="0"/>
              </w:rPr>
              <w:t>87</w:t>
            </w:r>
            <w:r w:rsidRPr="00FF6B9A">
              <w:rPr>
                <w:rFonts w:eastAsiaTheme="minorEastAsia"/>
                <w:color w:val="000000" w:themeColor="text1"/>
                <w:kern w:val="0"/>
              </w:rPr>
              <w:t>个月定期开放债券</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契约型定期开放式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8</w:t>
            </w:r>
            <w:r w:rsidRPr="00FF6B9A">
              <w:rPr>
                <w:rFonts w:eastAsiaTheme="minorEastAsia"/>
                <w:color w:val="000000" w:themeColor="text1"/>
                <w:kern w:val="0"/>
              </w:rPr>
              <w:t>月</w:t>
            </w:r>
            <w:r w:rsidRPr="00FF6B9A">
              <w:rPr>
                <w:rFonts w:eastAsiaTheme="minorEastAsia"/>
                <w:color w:val="000000" w:themeColor="text1"/>
                <w:kern w:val="0"/>
              </w:rPr>
              <w:t>3</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7,990,077,699.94</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在严格控制风险的前提下，采用持有到期策略，力争实现长期稳定的投资回报。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8C2817" w:rsidRDefault="00515865">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、封闭期投资策略</w:t>
            </w:r>
          </w:p>
          <w:p w:rsidR="008C2817" w:rsidRDefault="00515865">
            <w:pPr>
              <w:adjustRightInd w:val="0"/>
              <w:spacing w:before="29" w:line="360" w:lineRule="auto"/>
              <w:ind w:left="17"/>
              <w:rPr>
                <w:rFonts w:eastAsiaTheme="minorEastAsia"/>
                <w:color w:val="000000" w:themeColor="text1"/>
              </w:rPr>
            </w:pPr>
            <w:r>
              <w:rPr>
                <w:rFonts w:eastAsiaTheme="minorEastAsia"/>
                <w:color w:val="000000" w:themeColor="text1"/>
                <w:kern w:val="0"/>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w:t>
            </w:r>
            <w:r>
              <w:rPr>
                <w:rFonts w:eastAsiaTheme="minorEastAsia"/>
                <w:color w:val="000000" w:themeColor="text1"/>
                <w:kern w:val="0"/>
              </w:rPr>
              <w:lastRenderedPageBreak/>
              <w:t>作期到期日。</w:t>
            </w:r>
          </w:p>
          <w:p w:rsidR="008C2817" w:rsidRDefault="00515865">
            <w:pPr>
              <w:adjustRightInd w:val="0"/>
              <w:spacing w:before="29" w:line="360" w:lineRule="auto"/>
              <w:ind w:left="17"/>
              <w:rPr>
                <w:rFonts w:eastAsiaTheme="minorEastAsia"/>
                <w:color w:val="000000" w:themeColor="text1"/>
              </w:rPr>
            </w:pPr>
            <w:r>
              <w:rPr>
                <w:rFonts w:eastAsiaTheme="minorEastAsia"/>
                <w:color w:val="000000" w:themeColor="text1"/>
                <w:kern w:val="0"/>
              </w:rPr>
              <w:t>封闭期具体投资策略包括信用债投资策略、杠杆投资策略、资产支持证券投资策略、封闭期现金管理策略。</w:t>
            </w:r>
          </w:p>
          <w:p w:rsidR="008C2817" w:rsidRDefault="00515865">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、开放期投资策略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开放期内，将保持资产适当的流动性，以应付当时市场条件下的赎回要求，并降低资产的流动性风险，做好流动性管理。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在每个封闭期，本基金的业绩比较基准为该封闭期起始日公布的三年定期存款利率（税后）</w:t>
            </w:r>
            <w:r w:rsidRPr="00FF6B9A">
              <w:rPr>
                <w:rFonts w:eastAsiaTheme="minorEastAsia"/>
                <w:color w:val="000000" w:themeColor="text1"/>
                <w:kern w:val="0"/>
              </w:rPr>
              <w:t>+1.25%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本基金为债券型基金，一般而言，其长期平均风险和预期收益率低于股票型基金、混合型基金，高于货币市场基金。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515865" w:rsidRPr="00FF6B9A" w:rsidTr="00515865">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515865" w:rsidRPr="00FF6B9A" w:rsidTr="0051586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83,217,902.32</w:t>
            </w:r>
          </w:p>
        </w:tc>
      </w:tr>
      <w:tr w:rsidR="00515865" w:rsidRPr="00FF6B9A" w:rsidTr="0051586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83,217,902.32</w:t>
            </w:r>
          </w:p>
        </w:tc>
      </w:tr>
      <w:tr w:rsidR="00515865" w:rsidRPr="00FF6B9A" w:rsidTr="0051586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0.0104</w:t>
            </w:r>
          </w:p>
        </w:tc>
      </w:tr>
      <w:tr w:rsidR="00515865" w:rsidRPr="00FF6B9A" w:rsidTr="0051586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8,534,249,708.02</w:t>
            </w:r>
          </w:p>
        </w:tc>
      </w:tr>
      <w:tr w:rsidR="00515865" w:rsidRPr="00FF6B9A" w:rsidTr="00515865">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1.0681</w:t>
            </w:r>
          </w:p>
        </w:tc>
      </w:tr>
    </w:tbl>
    <w:p w:rsidR="008C2817" w:rsidRDefault="0051586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本期已实现收益指基金本期利息收入、投资收益、其他收入（不含公允价值变动收益）扣除相关费用后的余额，本期利润为本期已实现收益加上本期公允价值变动收益，由于本基金</w:t>
      </w:r>
      <w:r w:rsidRPr="00FF6B9A">
        <w:rPr>
          <w:rFonts w:eastAsiaTheme="minorEastAsia"/>
          <w:color w:val="000000" w:themeColor="text1"/>
        </w:rPr>
        <w:lastRenderedPageBreak/>
        <w:t>采用摊余成本法核算，所以，公允价值变动收益为零，本期已实现收益和本期利润的金额相等；</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8C2817">
        <w:tc>
          <w:tcPr>
            <w:tcW w:w="1395" w:type="dxa"/>
            <w:vAlign w:val="center"/>
          </w:tcPr>
          <w:p w:rsidR="008C2817" w:rsidRDefault="00515865">
            <w:pPr>
              <w:jc w:val="left"/>
            </w:pPr>
            <w:r>
              <w:rPr>
                <w:rFonts w:eastAsiaTheme="minorEastAsia"/>
                <w:color w:val="000000" w:themeColor="text1"/>
                <w:kern w:val="0"/>
              </w:rPr>
              <w:t>过去三个月</w:t>
            </w:r>
          </w:p>
        </w:tc>
        <w:tc>
          <w:tcPr>
            <w:tcW w:w="1092" w:type="dxa"/>
            <w:vAlign w:val="center"/>
          </w:tcPr>
          <w:p w:rsidR="008C2817" w:rsidRDefault="00515865">
            <w:pPr>
              <w:jc w:val="center"/>
            </w:pPr>
            <w:r>
              <w:rPr>
                <w:rFonts w:eastAsiaTheme="minorEastAsia"/>
                <w:color w:val="000000" w:themeColor="text1"/>
                <w:kern w:val="0"/>
              </w:rPr>
              <w:t>0.98%</w:t>
            </w:r>
          </w:p>
        </w:tc>
        <w:tc>
          <w:tcPr>
            <w:tcW w:w="1161" w:type="dxa"/>
            <w:vAlign w:val="center"/>
          </w:tcPr>
          <w:p w:rsidR="008C2817" w:rsidRDefault="00515865">
            <w:pPr>
              <w:jc w:val="center"/>
            </w:pPr>
            <w:r>
              <w:rPr>
                <w:rFonts w:eastAsiaTheme="minorEastAsia"/>
                <w:color w:val="000000" w:themeColor="text1"/>
                <w:kern w:val="0"/>
              </w:rPr>
              <w:t>0.02%</w:t>
            </w:r>
          </w:p>
        </w:tc>
        <w:tc>
          <w:tcPr>
            <w:tcW w:w="1181" w:type="dxa"/>
            <w:vAlign w:val="center"/>
          </w:tcPr>
          <w:p w:rsidR="008C2817" w:rsidRDefault="00515865">
            <w:pPr>
              <w:jc w:val="center"/>
            </w:pPr>
            <w:r>
              <w:rPr>
                <w:rFonts w:eastAsiaTheme="minorEastAsia"/>
                <w:color w:val="000000" w:themeColor="text1"/>
                <w:kern w:val="0"/>
              </w:rPr>
              <w:t>1.01%</w:t>
            </w:r>
          </w:p>
        </w:tc>
        <w:tc>
          <w:tcPr>
            <w:tcW w:w="1188" w:type="dxa"/>
            <w:vAlign w:val="center"/>
          </w:tcPr>
          <w:p w:rsidR="008C2817" w:rsidRDefault="00515865">
            <w:pPr>
              <w:jc w:val="center"/>
            </w:pPr>
            <w:r>
              <w:rPr>
                <w:rFonts w:eastAsiaTheme="minorEastAsia"/>
                <w:color w:val="000000" w:themeColor="text1"/>
                <w:kern w:val="0"/>
              </w:rPr>
              <w:t>0.02%</w:t>
            </w:r>
          </w:p>
        </w:tc>
        <w:tc>
          <w:tcPr>
            <w:tcW w:w="1199" w:type="dxa"/>
            <w:vAlign w:val="center"/>
          </w:tcPr>
          <w:p w:rsidR="008C2817" w:rsidRDefault="00515865">
            <w:pPr>
              <w:jc w:val="center"/>
            </w:pPr>
            <w:r>
              <w:rPr>
                <w:rFonts w:eastAsiaTheme="minorEastAsia"/>
                <w:color w:val="000000" w:themeColor="text1"/>
                <w:kern w:val="0"/>
              </w:rPr>
              <w:t>-0.03%</w:t>
            </w:r>
          </w:p>
        </w:tc>
        <w:tc>
          <w:tcPr>
            <w:tcW w:w="1204" w:type="dxa"/>
            <w:vAlign w:val="center"/>
          </w:tcPr>
          <w:p w:rsidR="008C2817" w:rsidRDefault="00515865">
            <w:pPr>
              <w:jc w:val="center"/>
            </w:pPr>
            <w:r>
              <w:rPr>
                <w:rFonts w:eastAsiaTheme="minorEastAsia"/>
                <w:color w:val="000000" w:themeColor="text1"/>
                <w:kern w:val="0"/>
              </w:rPr>
              <w:t>0.00%</w:t>
            </w:r>
          </w:p>
        </w:tc>
      </w:tr>
      <w:tr w:rsidR="008C2817">
        <w:tc>
          <w:tcPr>
            <w:tcW w:w="1395" w:type="dxa"/>
            <w:vAlign w:val="center"/>
          </w:tcPr>
          <w:p w:rsidR="008C2817" w:rsidRDefault="00515865">
            <w:pPr>
              <w:jc w:val="left"/>
            </w:pPr>
            <w:r>
              <w:rPr>
                <w:rFonts w:eastAsiaTheme="minorEastAsia"/>
                <w:color w:val="000000" w:themeColor="text1"/>
                <w:kern w:val="0"/>
              </w:rPr>
              <w:t>过去六个月</w:t>
            </w:r>
          </w:p>
        </w:tc>
        <w:tc>
          <w:tcPr>
            <w:tcW w:w="1092" w:type="dxa"/>
            <w:vAlign w:val="center"/>
          </w:tcPr>
          <w:p w:rsidR="008C2817" w:rsidRDefault="00515865">
            <w:pPr>
              <w:jc w:val="center"/>
            </w:pPr>
            <w:r>
              <w:rPr>
                <w:rFonts w:eastAsiaTheme="minorEastAsia"/>
                <w:color w:val="000000" w:themeColor="text1"/>
                <w:kern w:val="0"/>
              </w:rPr>
              <w:t>1.93%</w:t>
            </w:r>
          </w:p>
        </w:tc>
        <w:tc>
          <w:tcPr>
            <w:tcW w:w="1161" w:type="dxa"/>
            <w:vAlign w:val="center"/>
          </w:tcPr>
          <w:p w:rsidR="008C2817" w:rsidRDefault="00515865">
            <w:pPr>
              <w:jc w:val="center"/>
            </w:pPr>
            <w:r>
              <w:rPr>
                <w:rFonts w:eastAsiaTheme="minorEastAsia"/>
                <w:color w:val="000000" w:themeColor="text1"/>
                <w:kern w:val="0"/>
              </w:rPr>
              <w:t>0.01%</w:t>
            </w:r>
          </w:p>
        </w:tc>
        <w:tc>
          <w:tcPr>
            <w:tcW w:w="1181" w:type="dxa"/>
            <w:vAlign w:val="center"/>
          </w:tcPr>
          <w:p w:rsidR="008C2817" w:rsidRDefault="00515865">
            <w:pPr>
              <w:jc w:val="center"/>
            </w:pPr>
            <w:r>
              <w:rPr>
                <w:rFonts w:eastAsiaTheme="minorEastAsia"/>
                <w:color w:val="000000" w:themeColor="text1"/>
                <w:kern w:val="0"/>
              </w:rPr>
              <w:t>2.03%</w:t>
            </w:r>
          </w:p>
        </w:tc>
        <w:tc>
          <w:tcPr>
            <w:tcW w:w="1188" w:type="dxa"/>
            <w:vAlign w:val="center"/>
          </w:tcPr>
          <w:p w:rsidR="008C2817" w:rsidRDefault="00515865">
            <w:pPr>
              <w:jc w:val="center"/>
            </w:pPr>
            <w:r>
              <w:rPr>
                <w:rFonts w:eastAsiaTheme="minorEastAsia"/>
                <w:color w:val="000000" w:themeColor="text1"/>
                <w:kern w:val="0"/>
              </w:rPr>
              <w:t>0.02%</w:t>
            </w:r>
          </w:p>
        </w:tc>
        <w:tc>
          <w:tcPr>
            <w:tcW w:w="1199" w:type="dxa"/>
            <w:vAlign w:val="center"/>
          </w:tcPr>
          <w:p w:rsidR="008C2817" w:rsidRDefault="00515865">
            <w:pPr>
              <w:jc w:val="center"/>
            </w:pPr>
            <w:r>
              <w:rPr>
                <w:rFonts w:eastAsiaTheme="minorEastAsia"/>
                <w:color w:val="000000" w:themeColor="text1"/>
                <w:kern w:val="0"/>
              </w:rPr>
              <w:t>-0.10%</w:t>
            </w:r>
          </w:p>
        </w:tc>
        <w:tc>
          <w:tcPr>
            <w:tcW w:w="1204" w:type="dxa"/>
            <w:vAlign w:val="center"/>
          </w:tcPr>
          <w:p w:rsidR="008C2817" w:rsidRDefault="00515865">
            <w:pPr>
              <w:jc w:val="center"/>
            </w:pPr>
            <w:r>
              <w:rPr>
                <w:rFonts w:eastAsiaTheme="minorEastAsia"/>
                <w:color w:val="000000" w:themeColor="text1"/>
                <w:kern w:val="0"/>
              </w:rPr>
              <w:t>-0.01%</w:t>
            </w:r>
          </w:p>
        </w:tc>
      </w:tr>
      <w:tr w:rsidR="008C2817">
        <w:tc>
          <w:tcPr>
            <w:tcW w:w="1395" w:type="dxa"/>
            <w:vAlign w:val="center"/>
          </w:tcPr>
          <w:p w:rsidR="008C2817" w:rsidRDefault="00515865">
            <w:pPr>
              <w:jc w:val="left"/>
            </w:pPr>
            <w:r>
              <w:rPr>
                <w:rFonts w:eastAsiaTheme="minorEastAsia"/>
                <w:color w:val="000000" w:themeColor="text1"/>
                <w:kern w:val="0"/>
              </w:rPr>
              <w:t>过去一年</w:t>
            </w:r>
          </w:p>
        </w:tc>
        <w:tc>
          <w:tcPr>
            <w:tcW w:w="1092" w:type="dxa"/>
            <w:vAlign w:val="center"/>
          </w:tcPr>
          <w:p w:rsidR="008C2817" w:rsidRDefault="00515865">
            <w:pPr>
              <w:jc w:val="center"/>
            </w:pPr>
            <w:r>
              <w:rPr>
                <w:rFonts w:eastAsiaTheme="minorEastAsia"/>
                <w:color w:val="000000" w:themeColor="text1"/>
                <w:kern w:val="0"/>
              </w:rPr>
              <w:t>4.02%</w:t>
            </w:r>
          </w:p>
        </w:tc>
        <w:tc>
          <w:tcPr>
            <w:tcW w:w="1161" w:type="dxa"/>
            <w:vAlign w:val="center"/>
          </w:tcPr>
          <w:p w:rsidR="008C2817" w:rsidRDefault="00515865">
            <w:pPr>
              <w:jc w:val="center"/>
            </w:pPr>
            <w:r>
              <w:rPr>
                <w:rFonts w:eastAsiaTheme="minorEastAsia"/>
                <w:color w:val="000000" w:themeColor="text1"/>
                <w:kern w:val="0"/>
              </w:rPr>
              <w:t>0.01%</w:t>
            </w:r>
          </w:p>
        </w:tc>
        <w:tc>
          <w:tcPr>
            <w:tcW w:w="1181" w:type="dxa"/>
            <w:vAlign w:val="center"/>
          </w:tcPr>
          <w:p w:rsidR="008C2817" w:rsidRDefault="00515865">
            <w:pPr>
              <w:jc w:val="center"/>
            </w:pPr>
            <w:r>
              <w:rPr>
                <w:rFonts w:eastAsiaTheme="minorEastAsia"/>
                <w:color w:val="000000" w:themeColor="text1"/>
                <w:kern w:val="0"/>
              </w:rPr>
              <w:t>4.07%</w:t>
            </w:r>
          </w:p>
        </w:tc>
        <w:tc>
          <w:tcPr>
            <w:tcW w:w="1188" w:type="dxa"/>
            <w:vAlign w:val="center"/>
          </w:tcPr>
          <w:p w:rsidR="008C2817" w:rsidRDefault="00515865">
            <w:pPr>
              <w:jc w:val="center"/>
            </w:pPr>
            <w:r>
              <w:rPr>
                <w:rFonts w:eastAsiaTheme="minorEastAsia"/>
                <w:color w:val="000000" w:themeColor="text1"/>
                <w:kern w:val="0"/>
              </w:rPr>
              <w:t>0.01%</w:t>
            </w:r>
          </w:p>
        </w:tc>
        <w:tc>
          <w:tcPr>
            <w:tcW w:w="1199" w:type="dxa"/>
            <w:vAlign w:val="center"/>
          </w:tcPr>
          <w:p w:rsidR="008C2817" w:rsidRDefault="00515865">
            <w:pPr>
              <w:jc w:val="center"/>
            </w:pPr>
            <w:r>
              <w:rPr>
                <w:rFonts w:eastAsiaTheme="minorEastAsia"/>
                <w:color w:val="000000" w:themeColor="text1"/>
                <w:kern w:val="0"/>
              </w:rPr>
              <w:t>-0.05%</w:t>
            </w:r>
          </w:p>
        </w:tc>
        <w:tc>
          <w:tcPr>
            <w:tcW w:w="1204" w:type="dxa"/>
            <w:vAlign w:val="center"/>
          </w:tcPr>
          <w:p w:rsidR="008C2817" w:rsidRDefault="00515865">
            <w:pPr>
              <w:jc w:val="center"/>
            </w:pPr>
            <w:r>
              <w:rPr>
                <w:rFonts w:eastAsiaTheme="minorEastAsia"/>
                <w:color w:val="000000" w:themeColor="text1"/>
                <w:kern w:val="0"/>
              </w:rPr>
              <w:t>0.00%</w:t>
            </w:r>
          </w:p>
        </w:tc>
      </w:tr>
      <w:tr w:rsidR="008C2817">
        <w:tc>
          <w:tcPr>
            <w:tcW w:w="1395" w:type="dxa"/>
            <w:vAlign w:val="center"/>
          </w:tcPr>
          <w:p w:rsidR="008C2817" w:rsidRDefault="00515865">
            <w:pPr>
              <w:jc w:val="left"/>
            </w:pPr>
            <w:r>
              <w:rPr>
                <w:rFonts w:eastAsiaTheme="minorEastAsia"/>
                <w:color w:val="000000" w:themeColor="text1"/>
                <w:kern w:val="0"/>
              </w:rPr>
              <w:t>过去三年</w:t>
            </w:r>
          </w:p>
        </w:tc>
        <w:tc>
          <w:tcPr>
            <w:tcW w:w="1092" w:type="dxa"/>
            <w:vAlign w:val="center"/>
          </w:tcPr>
          <w:p w:rsidR="008C2817" w:rsidRDefault="00515865">
            <w:pPr>
              <w:jc w:val="center"/>
            </w:pPr>
            <w:r>
              <w:rPr>
                <w:rFonts w:eastAsiaTheme="minorEastAsia"/>
                <w:color w:val="000000" w:themeColor="text1"/>
                <w:kern w:val="0"/>
              </w:rPr>
              <w:t>12.70%</w:t>
            </w:r>
          </w:p>
        </w:tc>
        <w:tc>
          <w:tcPr>
            <w:tcW w:w="1161" w:type="dxa"/>
            <w:vAlign w:val="center"/>
          </w:tcPr>
          <w:p w:rsidR="008C2817" w:rsidRDefault="00515865">
            <w:pPr>
              <w:jc w:val="center"/>
            </w:pPr>
            <w:r>
              <w:rPr>
                <w:rFonts w:eastAsiaTheme="minorEastAsia"/>
                <w:color w:val="000000" w:themeColor="text1"/>
                <w:kern w:val="0"/>
              </w:rPr>
              <w:t>0.01%</w:t>
            </w:r>
          </w:p>
        </w:tc>
        <w:tc>
          <w:tcPr>
            <w:tcW w:w="1181" w:type="dxa"/>
            <w:vAlign w:val="center"/>
          </w:tcPr>
          <w:p w:rsidR="008C2817" w:rsidRDefault="00515865">
            <w:pPr>
              <w:jc w:val="center"/>
            </w:pPr>
            <w:r>
              <w:rPr>
                <w:rFonts w:eastAsiaTheme="minorEastAsia"/>
                <w:color w:val="000000" w:themeColor="text1"/>
                <w:kern w:val="0"/>
              </w:rPr>
              <w:t>12.18%</w:t>
            </w:r>
          </w:p>
        </w:tc>
        <w:tc>
          <w:tcPr>
            <w:tcW w:w="1188" w:type="dxa"/>
            <w:vAlign w:val="center"/>
          </w:tcPr>
          <w:p w:rsidR="008C2817" w:rsidRDefault="00515865">
            <w:pPr>
              <w:jc w:val="center"/>
            </w:pPr>
            <w:r>
              <w:rPr>
                <w:rFonts w:eastAsiaTheme="minorEastAsia"/>
                <w:color w:val="000000" w:themeColor="text1"/>
                <w:kern w:val="0"/>
              </w:rPr>
              <w:t>0.01%</w:t>
            </w:r>
          </w:p>
        </w:tc>
        <w:tc>
          <w:tcPr>
            <w:tcW w:w="1199" w:type="dxa"/>
            <w:vAlign w:val="center"/>
          </w:tcPr>
          <w:p w:rsidR="008C2817" w:rsidRDefault="00515865">
            <w:pPr>
              <w:jc w:val="center"/>
            </w:pPr>
            <w:r>
              <w:rPr>
                <w:rFonts w:eastAsiaTheme="minorEastAsia"/>
                <w:color w:val="000000" w:themeColor="text1"/>
                <w:kern w:val="0"/>
              </w:rPr>
              <w:t>0.52%</w:t>
            </w:r>
          </w:p>
        </w:tc>
        <w:tc>
          <w:tcPr>
            <w:tcW w:w="1204" w:type="dxa"/>
            <w:vAlign w:val="center"/>
          </w:tcPr>
          <w:p w:rsidR="008C2817" w:rsidRDefault="00515865">
            <w:pPr>
              <w:jc w:val="center"/>
            </w:pPr>
            <w:r>
              <w:rPr>
                <w:rFonts w:eastAsiaTheme="minorEastAsia"/>
                <w:color w:val="000000" w:themeColor="text1"/>
                <w:kern w:val="0"/>
              </w:rPr>
              <w:t>0.00%</w:t>
            </w:r>
          </w:p>
        </w:tc>
      </w:tr>
      <w:tr w:rsidR="008C2817">
        <w:tc>
          <w:tcPr>
            <w:tcW w:w="1395" w:type="dxa"/>
            <w:vAlign w:val="center"/>
          </w:tcPr>
          <w:p w:rsidR="008C2817" w:rsidRDefault="00515865">
            <w:pPr>
              <w:jc w:val="left"/>
            </w:pPr>
            <w:r>
              <w:rPr>
                <w:rFonts w:eastAsiaTheme="minorEastAsia"/>
                <w:color w:val="000000" w:themeColor="text1"/>
                <w:kern w:val="0"/>
              </w:rPr>
              <w:t>过去五年</w:t>
            </w:r>
          </w:p>
        </w:tc>
        <w:tc>
          <w:tcPr>
            <w:tcW w:w="1092" w:type="dxa"/>
            <w:vAlign w:val="center"/>
          </w:tcPr>
          <w:p w:rsidR="008C2817" w:rsidRDefault="00515865">
            <w:pPr>
              <w:jc w:val="center"/>
            </w:pPr>
            <w:r>
              <w:rPr>
                <w:rFonts w:eastAsiaTheme="minorEastAsia"/>
                <w:color w:val="000000" w:themeColor="text1"/>
                <w:kern w:val="0"/>
              </w:rPr>
              <w:t>-</w:t>
            </w:r>
          </w:p>
        </w:tc>
        <w:tc>
          <w:tcPr>
            <w:tcW w:w="1161" w:type="dxa"/>
            <w:vAlign w:val="center"/>
          </w:tcPr>
          <w:p w:rsidR="008C2817" w:rsidRDefault="00515865">
            <w:pPr>
              <w:jc w:val="center"/>
            </w:pPr>
            <w:r>
              <w:rPr>
                <w:rFonts w:eastAsiaTheme="minorEastAsia"/>
                <w:color w:val="000000" w:themeColor="text1"/>
                <w:kern w:val="0"/>
              </w:rPr>
              <w:t>-</w:t>
            </w:r>
          </w:p>
        </w:tc>
        <w:tc>
          <w:tcPr>
            <w:tcW w:w="1181" w:type="dxa"/>
            <w:vAlign w:val="center"/>
          </w:tcPr>
          <w:p w:rsidR="008C2817" w:rsidRDefault="00515865">
            <w:pPr>
              <w:jc w:val="center"/>
            </w:pPr>
            <w:r>
              <w:rPr>
                <w:rFonts w:eastAsiaTheme="minorEastAsia"/>
                <w:color w:val="000000" w:themeColor="text1"/>
                <w:kern w:val="0"/>
              </w:rPr>
              <w:t>-</w:t>
            </w:r>
          </w:p>
        </w:tc>
        <w:tc>
          <w:tcPr>
            <w:tcW w:w="1188" w:type="dxa"/>
            <w:vAlign w:val="center"/>
          </w:tcPr>
          <w:p w:rsidR="008C2817" w:rsidRDefault="00515865">
            <w:pPr>
              <w:jc w:val="center"/>
            </w:pPr>
            <w:r>
              <w:rPr>
                <w:rFonts w:eastAsiaTheme="minorEastAsia"/>
                <w:color w:val="000000" w:themeColor="text1"/>
                <w:kern w:val="0"/>
              </w:rPr>
              <w:t>-</w:t>
            </w:r>
          </w:p>
        </w:tc>
        <w:tc>
          <w:tcPr>
            <w:tcW w:w="1199" w:type="dxa"/>
            <w:vAlign w:val="center"/>
          </w:tcPr>
          <w:p w:rsidR="008C2817" w:rsidRDefault="00515865">
            <w:pPr>
              <w:jc w:val="center"/>
            </w:pPr>
            <w:r>
              <w:rPr>
                <w:rFonts w:eastAsiaTheme="minorEastAsia"/>
                <w:color w:val="000000" w:themeColor="text1"/>
                <w:kern w:val="0"/>
              </w:rPr>
              <w:t>-</w:t>
            </w:r>
          </w:p>
        </w:tc>
        <w:tc>
          <w:tcPr>
            <w:tcW w:w="1204" w:type="dxa"/>
            <w:vAlign w:val="center"/>
          </w:tcPr>
          <w:p w:rsidR="008C2817" w:rsidRDefault="00515865">
            <w:pPr>
              <w:jc w:val="center"/>
            </w:pPr>
            <w:r>
              <w:rPr>
                <w:rFonts w:eastAsiaTheme="minorEastAsia"/>
                <w:color w:val="000000" w:themeColor="text1"/>
                <w:kern w:val="0"/>
              </w:rPr>
              <w:t>-</w:t>
            </w:r>
          </w:p>
        </w:tc>
      </w:tr>
      <w:tr w:rsidR="008C2817">
        <w:tc>
          <w:tcPr>
            <w:tcW w:w="1395" w:type="dxa"/>
            <w:vAlign w:val="center"/>
          </w:tcPr>
          <w:p w:rsidR="008C2817" w:rsidRDefault="00515865">
            <w:pPr>
              <w:jc w:val="left"/>
            </w:pPr>
            <w:r>
              <w:rPr>
                <w:rFonts w:eastAsiaTheme="minorEastAsia"/>
                <w:color w:val="000000" w:themeColor="text1"/>
                <w:kern w:val="0"/>
              </w:rPr>
              <w:t>自基金合同生效起至今</w:t>
            </w:r>
          </w:p>
        </w:tc>
        <w:tc>
          <w:tcPr>
            <w:tcW w:w="1092" w:type="dxa"/>
            <w:vAlign w:val="center"/>
          </w:tcPr>
          <w:p w:rsidR="008C2817" w:rsidRDefault="00515865">
            <w:pPr>
              <w:jc w:val="center"/>
            </w:pPr>
            <w:r>
              <w:rPr>
                <w:rFonts w:eastAsiaTheme="minorEastAsia"/>
                <w:color w:val="000000" w:themeColor="text1"/>
                <w:kern w:val="0"/>
              </w:rPr>
              <w:t>15.27%</w:t>
            </w:r>
          </w:p>
        </w:tc>
        <w:tc>
          <w:tcPr>
            <w:tcW w:w="1161" w:type="dxa"/>
            <w:vAlign w:val="center"/>
          </w:tcPr>
          <w:p w:rsidR="008C2817" w:rsidRDefault="00515865">
            <w:pPr>
              <w:jc w:val="center"/>
            </w:pPr>
            <w:r>
              <w:rPr>
                <w:rFonts w:eastAsiaTheme="minorEastAsia"/>
                <w:color w:val="000000" w:themeColor="text1"/>
                <w:kern w:val="0"/>
              </w:rPr>
              <w:t>0.01%</w:t>
            </w:r>
          </w:p>
        </w:tc>
        <w:tc>
          <w:tcPr>
            <w:tcW w:w="1181" w:type="dxa"/>
            <w:vAlign w:val="center"/>
          </w:tcPr>
          <w:p w:rsidR="008C2817" w:rsidRDefault="00515865">
            <w:pPr>
              <w:jc w:val="center"/>
            </w:pPr>
            <w:r>
              <w:rPr>
                <w:rFonts w:eastAsiaTheme="minorEastAsia"/>
                <w:color w:val="000000" w:themeColor="text1"/>
                <w:kern w:val="0"/>
              </w:rPr>
              <w:t>14.86%</w:t>
            </w:r>
          </w:p>
        </w:tc>
        <w:tc>
          <w:tcPr>
            <w:tcW w:w="1188" w:type="dxa"/>
            <w:vAlign w:val="center"/>
          </w:tcPr>
          <w:p w:rsidR="008C2817" w:rsidRDefault="00515865">
            <w:pPr>
              <w:jc w:val="center"/>
            </w:pPr>
            <w:r>
              <w:rPr>
                <w:rFonts w:eastAsiaTheme="minorEastAsia"/>
                <w:color w:val="000000" w:themeColor="text1"/>
                <w:kern w:val="0"/>
              </w:rPr>
              <w:t>0.01%</w:t>
            </w:r>
          </w:p>
        </w:tc>
        <w:tc>
          <w:tcPr>
            <w:tcW w:w="1199" w:type="dxa"/>
            <w:vAlign w:val="center"/>
          </w:tcPr>
          <w:p w:rsidR="008C2817" w:rsidRDefault="00515865">
            <w:pPr>
              <w:jc w:val="center"/>
            </w:pPr>
            <w:r>
              <w:rPr>
                <w:rFonts w:eastAsiaTheme="minorEastAsia"/>
                <w:color w:val="000000" w:themeColor="text1"/>
                <w:kern w:val="0"/>
              </w:rPr>
              <w:t>0.41%</w:t>
            </w:r>
          </w:p>
        </w:tc>
        <w:tc>
          <w:tcPr>
            <w:tcW w:w="1204" w:type="dxa"/>
            <w:vAlign w:val="center"/>
          </w:tcPr>
          <w:p w:rsidR="008C2817" w:rsidRDefault="00515865">
            <w:pPr>
              <w:jc w:val="center"/>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摩根瑞盛</w:t>
      </w:r>
      <w:r w:rsidRPr="00FF6B9A">
        <w:rPr>
          <w:rFonts w:eastAsiaTheme="minorEastAsia"/>
          <w:color w:val="000000" w:themeColor="text1"/>
        </w:rPr>
        <w:t>87</w:t>
      </w:r>
      <w:r w:rsidRPr="00FF6B9A">
        <w:rPr>
          <w:rFonts w:eastAsiaTheme="minorEastAsia"/>
          <w:color w:val="000000" w:themeColor="text1"/>
        </w:rPr>
        <w:t>个月定期开放债券型证券投资基金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8</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8C2817" w:rsidRDefault="0051586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w:t>
      </w:r>
      <w:r>
        <w:rPr>
          <w:rFonts w:eastAsiaTheme="minorEastAsia"/>
          <w:color w:val="000000" w:themeColor="text1"/>
        </w:rPr>
        <w:t>3</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r w:rsidRPr="00FF6B9A">
        <w:rPr>
          <w:rFonts w:eastAsiaTheme="minorEastAsia"/>
          <w:color w:val="000000" w:themeColor="text1"/>
        </w:rPr>
        <w:t xml:space="preserve"> </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8C2817">
        <w:tc>
          <w:tcPr>
            <w:tcW w:w="851" w:type="dxa"/>
            <w:vAlign w:val="center"/>
          </w:tcPr>
          <w:p w:rsidR="008C2817" w:rsidRDefault="00515865">
            <w:pPr>
              <w:jc w:val="center"/>
            </w:pPr>
            <w:r>
              <w:rPr>
                <w:rFonts w:eastAsiaTheme="minorEastAsia"/>
                <w:color w:val="000000" w:themeColor="text1"/>
              </w:rPr>
              <w:t>雷杨娟</w:t>
            </w:r>
          </w:p>
        </w:tc>
        <w:tc>
          <w:tcPr>
            <w:tcW w:w="850" w:type="dxa"/>
            <w:vAlign w:val="center"/>
          </w:tcPr>
          <w:p w:rsidR="008C2817" w:rsidRDefault="00515865">
            <w:pPr>
              <w:jc w:val="center"/>
            </w:pPr>
            <w:r>
              <w:rPr>
                <w:rFonts w:eastAsiaTheme="minorEastAsia"/>
                <w:color w:val="000000" w:themeColor="text1"/>
              </w:rPr>
              <w:t>本基金基金经理</w:t>
            </w:r>
          </w:p>
        </w:tc>
        <w:tc>
          <w:tcPr>
            <w:tcW w:w="1560" w:type="dxa"/>
            <w:vAlign w:val="center"/>
          </w:tcPr>
          <w:p w:rsidR="008C2817" w:rsidRDefault="00515865">
            <w:pPr>
              <w:jc w:val="center"/>
            </w:pPr>
            <w:r>
              <w:rPr>
                <w:rFonts w:eastAsiaTheme="minorEastAsia"/>
                <w:color w:val="000000" w:themeColor="text1"/>
              </w:rPr>
              <w:t>2020-08-14</w:t>
            </w:r>
          </w:p>
        </w:tc>
        <w:tc>
          <w:tcPr>
            <w:tcW w:w="1559" w:type="dxa"/>
            <w:vAlign w:val="center"/>
          </w:tcPr>
          <w:p w:rsidR="008C2817" w:rsidRDefault="00515865">
            <w:pPr>
              <w:jc w:val="center"/>
            </w:pPr>
            <w:r>
              <w:rPr>
                <w:rFonts w:eastAsiaTheme="minorEastAsia"/>
                <w:color w:val="000000" w:themeColor="text1"/>
              </w:rPr>
              <w:t>-</w:t>
            </w:r>
          </w:p>
        </w:tc>
        <w:tc>
          <w:tcPr>
            <w:tcW w:w="1417" w:type="dxa"/>
            <w:vAlign w:val="center"/>
          </w:tcPr>
          <w:p w:rsidR="008C2817" w:rsidRDefault="00515865">
            <w:pPr>
              <w:jc w:val="center"/>
            </w:pPr>
            <w:r>
              <w:rPr>
                <w:rFonts w:eastAsiaTheme="minorEastAsia"/>
                <w:color w:val="000000" w:themeColor="text1"/>
              </w:rPr>
              <w:t>17</w:t>
            </w:r>
            <w:r>
              <w:rPr>
                <w:rFonts w:eastAsiaTheme="minorEastAsia"/>
                <w:color w:val="000000" w:themeColor="text1"/>
              </w:rPr>
              <w:t>年</w:t>
            </w:r>
          </w:p>
        </w:tc>
        <w:tc>
          <w:tcPr>
            <w:tcW w:w="2694" w:type="dxa"/>
            <w:vAlign w:val="center"/>
          </w:tcPr>
          <w:p w:rsidR="008C2817" w:rsidRDefault="00515865">
            <w:r>
              <w:rPr>
                <w:rFonts w:eastAsiaTheme="minorEastAsia"/>
                <w:color w:val="000000" w:themeColor="text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月起加入摩根基金管理（中国）有限公司（原上投摩根基金管理有限公司），历任专户投资二部副总监兼资深投资经理，现任债券投资部副总监兼</w:t>
            </w:r>
            <w:r>
              <w:rPr>
                <w:rFonts w:eastAsiaTheme="minorEastAsia"/>
                <w:color w:val="000000" w:themeColor="text1"/>
              </w:rPr>
              <w:lastRenderedPageBreak/>
              <w:t>资深基金经理。</w:t>
            </w:r>
          </w:p>
        </w:tc>
      </w:tr>
    </w:tbl>
    <w:p w:rsidR="008C2817" w:rsidRDefault="0051586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4.4.1</w:t>
      </w:r>
      <w:r w:rsidRPr="00FF6B9A">
        <w:rPr>
          <w:rFonts w:eastAsiaTheme="minorEastAsia"/>
          <w:color w:val="000000" w:themeColor="text1"/>
          <w:sz w:val="24"/>
          <w:szCs w:val="24"/>
        </w:rPr>
        <w:t>报告期内基金投资策略和运作分析</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年第一季度，国内经济延续了</w:t>
      </w:r>
      <w:r>
        <w:rPr>
          <w:rFonts w:eastAsiaTheme="minorEastAsia"/>
          <w:color w:val="000000" w:themeColor="text1"/>
        </w:rPr>
        <w:t>2023</w:t>
      </w:r>
      <w:r>
        <w:rPr>
          <w:rFonts w:eastAsiaTheme="minorEastAsia"/>
          <w:color w:val="000000" w:themeColor="text1"/>
        </w:rPr>
        <w:t>年第四季度以来的弱复苏趋势，市场对</w:t>
      </w:r>
      <w:r>
        <w:rPr>
          <w:rFonts w:eastAsiaTheme="minorEastAsia"/>
          <w:color w:val="000000" w:themeColor="text1"/>
        </w:rPr>
        <w:t>2024</w:t>
      </w:r>
      <w:r>
        <w:rPr>
          <w:rFonts w:eastAsiaTheme="minorEastAsia"/>
          <w:color w:val="000000" w:themeColor="text1"/>
        </w:rPr>
        <w:t>年第一季度经济增速的预期有所下降。实际公布的</w:t>
      </w:r>
      <w:r>
        <w:rPr>
          <w:rFonts w:eastAsiaTheme="minorEastAsia"/>
          <w:color w:val="000000" w:themeColor="text1"/>
        </w:rPr>
        <w:t>1-2</w:t>
      </w:r>
      <w:r>
        <w:rPr>
          <w:rFonts w:eastAsiaTheme="minorEastAsia"/>
          <w:color w:val="000000" w:themeColor="text1"/>
        </w:rPr>
        <w:t>月宏观经济数据来看，代表供给端的工业增加值明显超预期，即使考虑到去年低基数增速，也仍处于偏高位置；需求端，固定资产投资、社零表现基本符合预期，出口超预期。固定资产投资中，制造业投资、基建投资维持了去年的高增状态，地产投资跌幅小幅收敛。</w:t>
      </w:r>
      <w:r>
        <w:rPr>
          <w:rFonts w:eastAsiaTheme="minorEastAsia"/>
          <w:color w:val="000000" w:themeColor="text1"/>
        </w:rPr>
        <w:t>1-2</w:t>
      </w:r>
      <w:r>
        <w:rPr>
          <w:rFonts w:eastAsiaTheme="minorEastAsia"/>
          <w:color w:val="000000" w:themeColor="text1"/>
        </w:rPr>
        <w:t>月</w:t>
      </w:r>
      <w:r>
        <w:rPr>
          <w:rFonts w:eastAsiaTheme="minorEastAsia"/>
          <w:color w:val="000000" w:themeColor="text1"/>
        </w:rPr>
        <w:t>M1</w:t>
      </w:r>
      <w:r>
        <w:rPr>
          <w:rFonts w:eastAsiaTheme="minorEastAsia"/>
          <w:color w:val="000000" w:themeColor="text1"/>
        </w:rPr>
        <w:t>和</w:t>
      </w:r>
      <w:r>
        <w:rPr>
          <w:rFonts w:eastAsiaTheme="minorEastAsia"/>
          <w:color w:val="000000" w:themeColor="text1"/>
        </w:rPr>
        <w:t>M2</w:t>
      </w:r>
      <w:r>
        <w:rPr>
          <w:rFonts w:eastAsiaTheme="minorEastAsia"/>
          <w:color w:val="000000" w:themeColor="text1"/>
        </w:rPr>
        <w:t>同比平均接近去年</w:t>
      </w:r>
      <w:r>
        <w:rPr>
          <w:rFonts w:eastAsiaTheme="minorEastAsia"/>
          <w:color w:val="000000" w:themeColor="text1"/>
        </w:rPr>
        <w:t>5-6</w:t>
      </w:r>
      <w:r>
        <w:rPr>
          <w:rFonts w:eastAsiaTheme="minorEastAsia"/>
          <w:color w:val="000000" w:themeColor="text1"/>
        </w:rPr>
        <w:t>月的水平，较去年</w:t>
      </w:r>
      <w:r>
        <w:rPr>
          <w:rFonts w:eastAsiaTheme="minorEastAsia"/>
          <w:color w:val="000000" w:themeColor="text1"/>
        </w:rPr>
        <w:t>3-4</w:t>
      </w:r>
      <w:r>
        <w:rPr>
          <w:rFonts w:eastAsiaTheme="minorEastAsia"/>
          <w:color w:val="000000" w:themeColor="text1"/>
        </w:rPr>
        <w:t>季度有所改善。社融数据上，人民币新增贷款比去年同期少增。结构上，居民中长贷同比多增</w:t>
      </w:r>
      <w:r>
        <w:rPr>
          <w:rFonts w:eastAsiaTheme="minorEastAsia"/>
          <w:color w:val="000000" w:themeColor="text1"/>
        </w:rPr>
        <w:t>，企业中长贷基本持平。居民短贷和票据融资明显少增。货币政策上，央行在</w:t>
      </w:r>
      <w:r>
        <w:rPr>
          <w:rFonts w:eastAsiaTheme="minorEastAsia"/>
          <w:color w:val="000000" w:themeColor="text1"/>
        </w:rPr>
        <w:t>2</w:t>
      </w:r>
      <w:r>
        <w:rPr>
          <w:rFonts w:eastAsiaTheme="minorEastAsia"/>
          <w:color w:val="000000" w:themeColor="text1"/>
        </w:rPr>
        <w:t>月降准</w:t>
      </w:r>
      <w:r>
        <w:rPr>
          <w:rFonts w:eastAsiaTheme="minorEastAsia"/>
          <w:color w:val="000000" w:themeColor="text1"/>
        </w:rPr>
        <w:t>0.5</w:t>
      </w:r>
      <w:r>
        <w:rPr>
          <w:rFonts w:eastAsiaTheme="minorEastAsia"/>
          <w:color w:val="000000" w:themeColor="text1"/>
        </w:rPr>
        <w:t>个百分点，保持流动性合理充裕，巩固经济回稳向上的基础。</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美国经济维持强势，通胀并未如期下行，纳斯达克指数创历史新高，美联储降息紧迫性下降，但在三月议息会议展现出超市场普遍预期的鸽派态度。日本于</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日宣布加息</w:t>
      </w:r>
      <w:r>
        <w:rPr>
          <w:rFonts w:eastAsiaTheme="minorEastAsia"/>
          <w:color w:val="000000" w:themeColor="text1"/>
        </w:rPr>
        <w:t>0.1%</w:t>
      </w:r>
      <w:r>
        <w:rPr>
          <w:rFonts w:eastAsiaTheme="minorEastAsia"/>
          <w:color w:val="000000" w:themeColor="text1"/>
        </w:rPr>
        <w:t>，将政策利率从</w:t>
      </w:r>
      <w:r>
        <w:rPr>
          <w:rFonts w:eastAsiaTheme="minorEastAsia"/>
          <w:color w:val="000000" w:themeColor="text1"/>
        </w:rPr>
        <w:t>-0.1%~0</w:t>
      </w:r>
      <w:r>
        <w:rPr>
          <w:rFonts w:eastAsiaTheme="minorEastAsia"/>
          <w:color w:val="000000" w:themeColor="text1"/>
        </w:rPr>
        <w:t>上调至</w:t>
      </w:r>
      <w:r>
        <w:rPr>
          <w:rFonts w:eastAsiaTheme="minorEastAsia"/>
          <w:color w:val="000000" w:themeColor="text1"/>
        </w:rPr>
        <w:t>0~0.1%</w:t>
      </w:r>
      <w:r>
        <w:rPr>
          <w:rFonts w:eastAsiaTheme="minorEastAsia"/>
          <w:color w:val="000000" w:themeColor="text1"/>
        </w:rPr>
        <w:t>，正式退出负利率政策。欧洲经济延续疲软态势。</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今年一季度，国内债券市场涨势强劲。年初至</w:t>
      </w:r>
      <w:r>
        <w:rPr>
          <w:rFonts w:eastAsiaTheme="minorEastAsia"/>
          <w:color w:val="000000" w:themeColor="text1"/>
        </w:rPr>
        <w:t>3</w:t>
      </w:r>
      <w:r>
        <w:rPr>
          <w:rFonts w:eastAsiaTheme="minorEastAsia"/>
          <w:color w:val="000000" w:themeColor="text1"/>
        </w:rPr>
        <w:t>月上旬，收益率曲线平坦化下行，并在</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6</w:t>
      </w:r>
      <w:r>
        <w:rPr>
          <w:rFonts w:eastAsiaTheme="minorEastAsia"/>
          <w:color w:val="000000" w:themeColor="text1"/>
        </w:rPr>
        <w:t>日达到了年内低点，</w:t>
      </w:r>
      <w:r>
        <w:rPr>
          <w:rFonts w:eastAsiaTheme="minorEastAsia"/>
          <w:color w:val="000000" w:themeColor="text1"/>
        </w:rPr>
        <w:t>10</w:t>
      </w:r>
      <w:r>
        <w:rPr>
          <w:rFonts w:eastAsiaTheme="minorEastAsia"/>
          <w:color w:val="000000" w:themeColor="text1"/>
        </w:rPr>
        <w:t>年国债收益率和</w:t>
      </w:r>
      <w:r>
        <w:rPr>
          <w:rFonts w:eastAsiaTheme="minorEastAsia"/>
          <w:color w:val="000000" w:themeColor="text1"/>
        </w:rPr>
        <w:t>1</w:t>
      </w:r>
      <w:r>
        <w:rPr>
          <w:rFonts w:eastAsiaTheme="minorEastAsia"/>
          <w:color w:val="000000" w:themeColor="text1"/>
        </w:rPr>
        <w:t>0</w:t>
      </w:r>
      <w:r>
        <w:rPr>
          <w:rFonts w:eastAsiaTheme="minorEastAsia"/>
          <w:color w:val="000000" w:themeColor="text1"/>
        </w:rPr>
        <w:t>年国开债收益率分别达到了</w:t>
      </w:r>
      <w:r>
        <w:rPr>
          <w:rFonts w:eastAsiaTheme="minorEastAsia"/>
          <w:color w:val="000000" w:themeColor="text1"/>
        </w:rPr>
        <w:t>2.265%</w:t>
      </w:r>
      <w:r>
        <w:rPr>
          <w:rFonts w:eastAsiaTheme="minorEastAsia"/>
          <w:color w:val="000000" w:themeColor="text1"/>
        </w:rPr>
        <w:t>和</w:t>
      </w:r>
      <w:r>
        <w:rPr>
          <w:rFonts w:eastAsiaTheme="minorEastAsia"/>
          <w:color w:val="000000" w:themeColor="text1"/>
        </w:rPr>
        <w:t>2.36%</w:t>
      </w:r>
      <w:r>
        <w:rPr>
          <w:rFonts w:eastAsiaTheme="minorEastAsia"/>
          <w:color w:val="000000" w:themeColor="text1"/>
        </w:rPr>
        <w:t>。表现最为亮眼的是超长期国债，年初至年内最低点收益率下行约</w:t>
      </w:r>
      <w:r>
        <w:rPr>
          <w:rFonts w:eastAsiaTheme="minorEastAsia"/>
          <w:color w:val="000000" w:themeColor="text1"/>
        </w:rPr>
        <w:t>40bp</w:t>
      </w:r>
      <w:r>
        <w:rPr>
          <w:rFonts w:eastAsiaTheme="minorEastAsia"/>
          <w:color w:val="000000" w:themeColor="text1"/>
        </w:rPr>
        <w:t>。</w:t>
      </w:r>
      <w:r>
        <w:rPr>
          <w:rFonts w:eastAsiaTheme="minorEastAsia"/>
          <w:color w:val="000000" w:themeColor="text1"/>
        </w:rPr>
        <w:t>3</w:t>
      </w:r>
      <w:r>
        <w:rPr>
          <w:rFonts w:eastAsiaTheme="minorEastAsia"/>
          <w:color w:val="000000" w:themeColor="text1"/>
        </w:rPr>
        <w:t>月中下旬债券收益率略有回调。截至</w:t>
      </w:r>
      <w:r>
        <w:rPr>
          <w:rFonts w:eastAsiaTheme="minorEastAsia"/>
          <w:color w:val="000000" w:themeColor="text1"/>
        </w:rPr>
        <w:t>3</w:t>
      </w:r>
      <w:r>
        <w:rPr>
          <w:rFonts w:eastAsiaTheme="minorEastAsia"/>
          <w:color w:val="000000" w:themeColor="text1"/>
        </w:rPr>
        <w:t>月末，</w:t>
      </w:r>
      <w:r>
        <w:rPr>
          <w:rFonts w:eastAsiaTheme="minorEastAsia"/>
          <w:color w:val="000000" w:themeColor="text1"/>
        </w:rPr>
        <w:t>10</w:t>
      </w:r>
      <w:r>
        <w:rPr>
          <w:rFonts w:eastAsiaTheme="minorEastAsia"/>
          <w:color w:val="000000" w:themeColor="text1"/>
        </w:rPr>
        <w:t>年国债和</w:t>
      </w:r>
      <w:r>
        <w:rPr>
          <w:rFonts w:eastAsiaTheme="minorEastAsia"/>
          <w:color w:val="000000" w:themeColor="text1"/>
        </w:rPr>
        <w:t>10</w:t>
      </w:r>
      <w:r>
        <w:rPr>
          <w:rFonts w:eastAsiaTheme="minorEastAsia"/>
          <w:color w:val="000000" w:themeColor="text1"/>
        </w:rPr>
        <w:t>年国开债收益率分别较年初下行</w:t>
      </w:r>
      <w:r>
        <w:rPr>
          <w:rFonts w:eastAsiaTheme="minorEastAsia"/>
          <w:color w:val="000000" w:themeColor="text1"/>
        </w:rPr>
        <w:t>27bp</w:t>
      </w:r>
      <w:r>
        <w:rPr>
          <w:rFonts w:eastAsiaTheme="minorEastAsia"/>
          <w:color w:val="000000" w:themeColor="text1"/>
        </w:rPr>
        <w:t>至</w:t>
      </w:r>
      <w:r>
        <w:rPr>
          <w:rFonts w:eastAsiaTheme="minorEastAsia"/>
          <w:color w:val="000000" w:themeColor="text1"/>
        </w:rPr>
        <w:t>2.29%</w:t>
      </w:r>
      <w:r>
        <w:rPr>
          <w:rFonts w:eastAsiaTheme="minorEastAsia"/>
          <w:color w:val="000000" w:themeColor="text1"/>
        </w:rPr>
        <w:t>和</w:t>
      </w:r>
      <w:r>
        <w:rPr>
          <w:rFonts w:eastAsiaTheme="minorEastAsia"/>
          <w:color w:val="000000" w:themeColor="text1"/>
        </w:rPr>
        <w:t>2.41%</w:t>
      </w:r>
      <w:r>
        <w:rPr>
          <w:rFonts w:eastAsiaTheme="minorEastAsia"/>
          <w:color w:val="000000" w:themeColor="text1"/>
        </w:rPr>
        <w:t>。分析认为，债券的强势表现主要受益于市场对经济弱复苏预期的一致预期以及一季度债券发行量较小而形成的短期</w:t>
      </w:r>
      <w:r>
        <w:rPr>
          <w:rFonts w:eastAsiaTheme="minorEastAsia"/>
          <w:color w:val="000000" w:themeColor="text1"/>
        </w:rPr>
        <w:t>“</w:t>
      </w:r>
      <w:r>
        <w:rPr>
          <w:rFonts w:eastAsiaTheme="minorEastAsia"/>
          <w:color w:val="000000" w:themeColor="text1"/>
        </w:rPr>
        <w:t>资产荒</w:t>
      </w:r>
      <w:r>
        <w:rPr>
          <w:rFonts w:eastAsiaTheme="minorEastAsia"/>
          <w:color w:val="000000" w:themeColor="text1"/>
        </w:rPr>
        <w:t>”</w:t>
      </w:r>
      <w:r>
        <w:rPr>
          <w:rFonts w:eastAsiaTheme="minorEastAsia"/>
          <w:color w:val="000000" w:themeColor="text1"/>
        </w:rPr>
        <w:t>。随着二季度特别国债、地方专项债的加速发行，</w:t>
      </w:r>
      <w:r>
        <w:rPr>
          <w:rFonts w:eastAsiaTheme="minorEastAsia"/>
          <w:color w:val="000000" w:themeColor="text1"/>
        </w:rPr>
        <w:t>“</w:t>
      </w:r>
      <w:r>
        <w:rPr>
          <w:rFonts w:eastAsiaTheme="minorEastAsia"/>
          <w:color w:val="000000" w:themeColor="text1"/>
        </w:rPr>
        <w:t>资产荒</w:t>
      </w:r>
      <w:r>
        <w:rPr>
          <w:rFonts w:eastAsiaTheme="minorEastAsia"/>
          <w:color w:val="000000" w:themeColor="text1"/>
        </w:rPr>
        <w:t>”</w:t>
      </w:r>
      <w:r>
        <w:rPr>
          <w:rFonts w:eastAsiaTheme="minorEastAsia"/>
          <w:color w:val="000000" w:themeColor="text1"/>
        </w:rPr>
        <w:t>现象将得到一定程度的缓解。</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第一季度，维持账户杠杆水平，提前安排好流动性，尽力降低资金成本。</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展望第二季度，各项经济提振措施将加速落地，债券供给量预计将较一季度明显提升，债券收益率绝对水平处于相对历史低位，但经济弱复苏的态势预计仍将持续，央行在货币政策上仍有操作空间，</w:t>
      </w:r>
      <w:r w:rsidRPr="00FF6B9A">
        <w:rPr>
          <w:rFonts w:eastAsiaTheme="minorEastAsia"/>
          <w:color w:val="000000" w:themeColor="text1"/>
        </w:rPr>
        <w:t>“</w:t>
      </w:r>
      <w:r w:rsidRPr="00FF6B9A">
        <w:rPr>
          <w:rFonts w:eastAsiaTheme="minorEastAsia"/>
          <w:color w:val="000000" w:themeColor="text1"/>
        </w:rPr>
        <w:t>资产荒</w:t>
      </w:r>
      <w:r w:rsidRPr="00FF6B9A">
        <w:rPr>
          <w:rFonts w:eastAsiaTheme="minorEastAsia"/>
          <w:color w:val="000000" w:themeColor="text1"/>
        </w:rPr>
        <w:t>”</w:t>
      </w:r>
      <w:r w:rsidRPr="00FF6B9A">
        <w:rPr>
          <w:rFonts w:eastAsiaTheme="minorEastAsia"/>
          <w:color w:val="000000" w:themeColor="text1"/>
        </w:rPr>
        <w:t>问题是否能够完全解决仍然有待进一步观察，因此，债券收益率下行需要看到新的有利条件的释放，同时上行的空间预计也将比较有限。策略上维持杠杆。</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本报告期摩根瑞盛</w:t>
      </w:r>
      <w:r w:rsidRPr="00FF6B9A">
        <w:rPr>
          <w:rFonts w:eastAsiaTheme="minorEastAsia"/>
          <w:color w:val="000000" w:themeColor="text1"/>
        </w:rPr>
        <w:t>87</w:t>
      </w:r>
      <w:r w:rsidRPr="00FF6B9A">
        <w:rPr>
          <w:rFonts w:eastAsiaTheme="minorEastAsia"/>
          <w:color w:val="000000" w:themeColor="text1"/>
        </w:rPr>
        <w:t>个月份额净值增长率为</w:t>
      </w:r>
      <w:r w:rsidRPr="00FF6B9A">
        <w:rPr>
          <w:rFonts w:eastAsiaTheme="minorEastAsia"/>
          <w:color w:val="000000" w:themeColor="text1"/>
        </w:rPr>
        <w:t>:0.98%</w:t>
      </w:r>
      <w:r w:rsidRPr="00FF6B9A">
        <w:rPr>
          <w:rFonts w:eastAsiaTheme="minorEastAsia"/>
          <w:color w:val="000000" w:themeColor="text1"/>
        </w:rPr>
        <w:t>，同期业绩比较基准收益率为</w:t>
      </w:r>
      <w:r w:rsidRPr="00FF6B9A">
        <w:rPr>
          <w:rFonts w:eastAsiaTheme="minorEastAsia"/>
          <w:color w:val="000000" w:themeColor="text1"/>
        </w:rPr>
        <w:t>:1.01%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13,770,182,725.10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98.98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13,770,182,725.10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98.98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142,469,441.41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13,912,652,166.51</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本基金本报告期末未持有股票。</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p w:rsidR="00FF6B9A" w:rsidRPr="00FF6B9A" w:rsidRDefault="00FF6B9A" w:rsidP="00FF6B9A">
      <w:pPr>
        <w:spacing w:line="360" w:lineRule="auto"/>
        <w:ind w:firstLineChars="200" w:firstLine="480"/>
        <w:rPr>
          <w:rFonts w:eastAsiaTheme="minorEastAsia"/>
          <w:sz w:val="24"/>
          <w:szCs w:val="24"/>
        </w:rPr>
      </w:pPr>
      <w:r w:rsidRPr="00FF6B9A">
        <w:rPr>
          <w:rFonts w:eastAsiaTheme="minorEastAsia"/>
          <w:sz w:val="24"/>
          <w:szCs w:val="24"/>
        </w:rPr>
        <w:t>本基金本报告期末未持有股票。</w:t>
      </w:r>
    </w:p>
    <w:bookmarkEnd w:id="1"/>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10,644,573,524.01</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124.73</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10,644,573,524.01</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124.73</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3,125,609,201.09</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36.62</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13,770,182,725.10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161.35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8C2817">
        <w:tc>
          <w:tcPr>
            <w:tcW w:w="1252" w:type="dxa"/>
            <w:vAlign w:val="center"/>
          </w:tcPr>
          <w:p w:rsidR="008C2817" w:rsidRDefault="00515865">
            <w:pPr>
              <w:jc w:val="center"/>
            </w:pPr>
            <w:r>
              <w:rPr>
                <w:rFonts w:eastAsiaTheme="minorEastAsia"/>
                <w:color w:val="000000" w:themeColor="text1"/>
                <w:kern w:val="0"/>
              </w:rPr>
              <w:t>1</w:t>
            </w:r>
          </w:p>
        </w:tc>
        <w:tc>
          <w:tcPr>
            <w:tcW w:w="1310" w:type="dxa"/>
            <w:vAlign w:val="center"/>
          </w:tcPr>
          <w:p w:rsidR="008C2817" w:rsidRDefault="00515865">
            <w:pPr>
              <w:jc w:val="center"/>
            </w:pPr>
            <w:r>
              <w:rPr>
                <w:rFonts w:eastAsiaTheme="minorEastAsia"/>
                <w:color w:val="000000" w:themeColor="text1"/>
                <w:kern w:val="0"/>
              </w:rPr>
              <w:t>092018002</w:t>
            </w:r>
          </w:p>
        </w:tc>
        <w:tc>
          <w:tcPr>
            <w:tcW w:w="1282" w:type="dxa"/>
            <w:vAlign w:val="center"/>
          </w:tcPr>
          <w:p w:rsidR="008C2817" w:rsidRDefault="00515865">
            <w:pPr>
              <w:jc w:val="center"/>
            </w:pPr>
            <w:r>
              <w:rPr>
                <w:rFonts w:eastAsiaTheme="minorEastAsia"/>
                <w:color w:val="000000" w:themeColor="text1"/>
                <w:kern w:val="0"/>
              </w:rPr>
              <w:t>20</w:t>
            </w:r>
            <w:r>
              <w:rPr>
                <w:rFonts w:eastAsiaTheme="minorEastAsia"/>
                <w:color w:val="000000" w:themeColor="text1"/>
                <w:kern w:val="0"/>
              </w:rPr>
              <w:t>农发清发</w:t>
            </w:r>
            <w:r>
              <w:rPr>
                <w:rFonts w:eastAsiaTheme="minorEastAsia"/>
                <w:color w:val="000000" w:themeColor="text1"/>
                <w:kern w:val="0"/>
              </w:rPr>
              <w:t>02</w:t>
            </w:r>
          </w:p>
        </w:tc>
        <w:tc>
          <w:tcPr>
            <w:tcW w:w="1426" w:type="dxa"/>
            <w:vAlign w:val="center"/>
          </w:tcPr>
          <w:p w:rsidR="008C2817" w:rsidRDefault="00515865">
            <w:pPr>
              <w:jc w:val="right"/>
            </w:pPr>
            <w:r>
              <w:rPr>
                <w:rFonts w:eastAsiaTheme="minorEastAsia"/>
                <w:color w:val="000000" w:themeColor="text1"/>
                <w:kern w:val="0"/>
              </w:rPr>
              <w:t>29,700,000</w:t>
            </w:r>
          </w:p>
        </w:tc>
        <w:tc>
          <w:tcPr>
            <w:tcW w:w="1646" w:type="dxa"/>
            <w:vAlign w:val="center"/>
          </w:tcPr>
          <w:p w:rsidR="008C2817" w:rsidRDefault="00515865">
            <w:pPr>
              <w:jc w:val="right"/>
            </w:pPr>
            <w:r>
              <w:rPr>
                <w:rFonts w:eastAsiaTheme="minorEastAsia"/>
                <w:color w:val="000000" w:themeColor="text1"/>
                <w:kern w:val="0"/>
              </w:rPr>
              <w:t>2,992,607,443.29</w:t>
            </w:r>
          </w:p>
        </w:tc>
        <w:tc>
          <w:tcPr>
            <w:tcW w:w="1612" w:type="dxa"/>
            <w:vAlign w:val="center"/>
          </w:tcPr>
          <w:p w:rsidR="008C2817" w:rsidRDefault="00515865">
            <w:pPr>
              <w:jc w:val="right"/>
            </w:pPr>
            <w:r>
              <w:rPr>
                <w:rFonts w:eastAsiaTheme="minorEastAsia"/>
                <w:color w:val="000000" w:themeColor="text1"/>
                <w:kern w:val="0"/>
              </w:rPr>
              <w:t>35.07</w:t>
            </w:r>
          </w:p>
        </w:tc>
      </w:tr>
      <w:tr w:rsidR="008C2817">
        <w:tc>
          <w:tcPr>
            <w:tcW w:w="1252" w:type="dxa"/>
            <w:vAlign w:val="center"/>
          </w:tcPr>
          <w:p w:rsidR="008C2817" w:rsidRDefault="00515865">
            <w:pPr>
              <w:jc w:val="center"/>
            </w:pPr>
            <w:r>
              <w:rPr>
                <w:rFonts w:eastAsiaTheme="minorEastAsia"/>
                <w:color w:val="000000" w:themeColor="text1"/>
                <w:kern w:val="0"/>
              </w:rPr>
              <w:t>2</w:t>
            </w:r>
          </w:p>
        </w:tc>
        <w:tc>
          <w:tcPr>
            <w:tcW w:w="1310" w:type="dxa"/>
            <w:vAlign w:val="center"/>
          </w:tcPr>
          <w:p w:rsidR="008C2817" w:rsidRDefault="00515865">
            <w:pPr>
              <w:jc w:val="center"/>
            </w:pPr>
            <w:r>
              <w:rPr>
                <w:rFonts w:eastAsiaTheme="minorEastAsia"/>
                <w:color w:val="000000" w:themeColor="text1"/>
                <w:kern w:val="0"/>
              </w:rPr>
              <w:t>200209</w:t>
            </w:r>
          </w:p>
        </w:tc>
        <w:tc>
          <w:tcPr>
            <w:tcW w:w="1282" w:type="dxa"/>
            <w:vAlign w:val="center"/>
          </w:tcPr>
          <w:p w:rsidR="008C2817" w:rsidRDefault="00515865">
            <w:pPr>
              <w:jc w:val="center"/>
            </w:pPr>
            <w:r>
              <w:rPr>
                <w:rFonts w:eastAsiaTheme="minorEastAsia"/>
                <w:color w:val="000000" w:themeColor="text1"/>
                <w:kern w:val="0"/>
              </w:rPr>
              <w:t>20</w:t>
            </w:r>
            <w:r>
              <w:rPr>
                <w:rFonts w:eastAsiaTheme="minorEastAsia"/>
                <w:color w:val="000000" w:themeColor="text1"/>
                <w:kern w:val="0"/>
              </w:rPr>
              <w:t>国开</w:t>
            </w:r>
            <w:r>
              <w:rPr>
                <w:rFonts w:eastAsiaTheme="minorEastAsia"/>
                <w:color w:val="000000" w:themeColor="text1"/>
                <w:kern w:val="0"/>
              </w:rPr>
              <w:t>09</w:t>
            </w:r>
          </w:p>
        </w:tc>
        <w:tc>
          <w:tcPr>
            <w:tcW w:w="1426" w:type="dxa"/>
            <w:vAlign w:val="center"/>
          </w:tcPr>
          <w:p w:rsidR="008C2817" w:rsidRDefault="00515865">
            <w:pPr>
              <w:jc w:val="right"/>
            </w:pPr>
            <w:r>
              <w:rPr>
                <w:rFonts w:eastAsiaTheme="minorEastAsia"/>
                <w:color w:val="000000" w:themeColor="text1"/>
                <w:kern w:val="0"/>
              </w:rPr>
              <w:t>28,700,000</w:t>
            </w:r>
          </w:p>
        </w:tc>
        <w:tc>
          <w:tcPr>
            <w:tcW w:w="1646" w:type="dxa"/>
            <w:vAlign w:val="center"/>
          </w:tcPr>
          <w:p w:rsidR="008C2817" w:rsidRDefault="00515865">
            <w:pPr>
              <w:jc w:val="right"/>
            </w:pPr>
            <w:r>
              <w:rPr>
                <w:rFonts w:eastAsiaTheme="minorEastAsia"/>
                <w:color w:val="000000" w:themeColor="text1"/>
                <w:kern w:val="0"/>
              </w:rPr>
              <w:t>2,932,227,745.40</w:t>
            </w:r>
          </w:p>
        </w:tc>
        <w:tc>
          <w:tcPr>
            <w:tcW w:w="1612" w:type="dxa"/>
            <w:vAlign w:val="center"/>
          </w:tcPr>
          <w:p w:rsidR="008C2817" w:rsidRDefault="00515865">
            <w:pPr>
              <w:jc w:val="right"/>
            </w:pPr>
            <w:r>
              <w:rPr>
                <w:rFonts w:eastAsiaTheme="minorEastAsia"/>
                <w:color w:val="000000" w:themeColor="text1"/>
                <w:kern w:val="0"/>
              </w:rPr>
              <w:t>34.36</w:t>
            </w:r>
          </w:p>
        </w:tc>
      </w:tr>
      <w:tr w:rsidR="008C2817">
        <w:tc>
          <w:tcPr>
            <w:tcW w:w="1252" w:type="dxa"/>
            <w:vAlign w:val="center"/>
          </w:tcPr>
          <w:p w:rsidR="008C2817" w:rsidRDefault="00515865">
            <w:pPr>
              <w:jc w:val="center"/>
            </w:pPr>
            <w:r>
              <w:rPr>
                <w:rFonts w:eastAsiaTheme="minorEastAsia"/>
                <w:color w:val="000000" w:themeColor="text1"/>
                <w:kern w:val="0"/>
              </w:rPr>
              <w:t>3</w:t>
            </w:r>
          </w:p>
        </w:tc>
        <w:tc>
          <w:tcPr>
            <w:tcW w:w="1310" w:type="dxa"/>
            <w:vAlign w:val="center"/>
          </w:tcPr>
          <w:p w:rsidR="008C2817" w:rsidRDefault="00515865">
            <w:pPr>
              <w:jc w:val="center"/>
            </w:pPr>
            <w:r>
              <w:rPr>
                <w:rFonts w:eastAsiaTheme="minorEastAsia"/>
                <w:color w:val="000000" w:themeColor="text1"/>
                <w:kern w:val="0"/>
              </w:rPr>
              <w:t>170415</w:t>
            </w:r>
          </w:p>
        </w:tc>
        <w:tc>
          <w:tcPr>
            <w:tcW w:w="1282" w:type="dxa"/>
            <w:vAlign w:val="center"/>
          </w:tcPr>
          <w:p w:rsidR="008C2817" w:rsidRDefault="00515865">
            <w:pPr>
              <w:jc w:val="center"/>
            </w:pPr>
            <w:r>
              <w:rPr>
                <w:rFonts w:eastAsiaTheme="minorEastAsia"/>
                <w:color w:val="000000" w:themeColor="text1"/>
                <w:kern w:val="0"/>
              </w:rPr>
              <w:t>17</w:t>
            </w:r>
            <w:r>
              <w:rPr>
                <w:rFonts w:eastAsiaTheme="minorEastAsia"/>
                <w:color w:val="000000" w:themeColor="text1"/>
                <w:kern w:val="0"/>
              </w:rPr>
              <w:t>农发</w:t>
            </w:r>
            <w:r>
              <w:rPr>
                <w:rFonts w:eastAsiaTheme="minorEastAsia"/>
                <w:color w:val="000000" w:themeColor="text1"/>
                <w:kern w:val="0"/>
              </w:rPr>
              <w:t>15</w:t>
            </w:r>
          </w:p>
        </w:tc>
        <w:tc>
          <w:tcPr>
            <w:tcW w:w="1426" w:type="dxa"/>
            <w:vAlign w:val="center"/>
          </w:tcPr>
          <w:p w:rsidR="008C2817" w:rsidRDefault="00515865">
            <w:pPr>
              <w:jc w:val="right"/>
            </w:pPr>
            <w:r>
              <w:rPr>
                <w:rFonts w:eastAsiaTheme="minorEastAsia"/>
                <w:color w:val="000000" w:themeColor="text1"/>
                <w:kern w:val="0"/>
              </w:rPr>
              <w:t>24,800,000</w:t>
            </w:r>
          </w:p>
        </w:tc>
        <w:tc>
          <w:tcPr>
            <w:tcW w:w="1646" w:type="dxa"/>
            <w:vAlign w:val="center"/>
          </w:tcPr>
          <w:p w:rsidR="008C2817" w:rsidRDefault="00515865">
            <w:pPr>
              <w:jc w:val="right"/>
            </w:pPr>
            <w:r>
              <w:rPr>
                <w:rFonts w:eastAsiaTheme="minorEastAsia"/>
                <w:color w:val="000000" w:themeColor="text1"/>
                <w:kern w:val="0"/>
              </w:rPr>
              <w:t>2,615,038,212.63</w:t>
            </w:r>
          </w:p>
        </w:tc>
        <w:tc>
          <w:tcPr>
            <w:tcW w:w="1612" w:type="dxa"/>
            <w:vAlign w:val="center"/>
          </w:tcPr>
          <w:p w:rsidR="008C2817" w:rsidRDefault="00515865">
            <w:pPr>
              <w:jc w:val="right"/>
            </w:pPr>
            <w:r>
              <w:rPr>
                <w:rFonts w:eastAsiaTheme="minorEastAsia"/>
                <w:color w:val="000000" w:themeColor="text1"/>
                <w:kern w:val="0"/>
              </w:rPr>
              <w:t>30.64</w:t>
            </w:r>
          </w:p>
        </w:tc>
      </w:tr>
      <w:tr w:rsidR="008C2817">
        <w:tc>
          <w:tcPr>
            <w:tcW w:w="1252" w:type="dxa"/>
            <w:vAlign w:val="center"/>
          </w:tcPr>
          <w:p w:rsidR="008C2817" w:rsidRDefault="00515865">
            <w:pPr>
              <w:jc w:val="center"/>
            </w:pPr>
            <w:r>
              <w:rPr>
                <w:rFonts w:eastAsiaTheme="minorEastAsia"/>
                <w:color w:val="000000" w:themeColor="text1"/>
                <w:kern w:val="0"/>
              </w:rPr>
              <w:t>4</w:t>
            </w:r>
          </w:p>
        </w:tc>
        <w:tc>
          <w:tcPr>
            <w:tcW w:w="1310" w:type="dxa"/>
            <w:vAlign w:val="center"/>
          </w:tcPr>
          <w:p w:rsidR="008C2817" w:rsidRDefault="00515865">
            <w:pPr>
              <w:jc w:val="center"/>
            </w:pPr>
            <w:r>
              <w:rPr>
                <w:rFonts w:eastAsiaTheme="minorEastAsia"/>
                <w:color w:val="000000" w:themeColor="text1"/>
                <w:kern w:val="0"/>
              </w:rPr>
              <w:t>170210</w:t>
            </w:r>
          </w:p>
        </w:tc>
        <w:tc>
          <w:tcPr>
            <w:tcW w:w="1282" w:type="dxa"/>
            <w:vAlign w:val="center"/>
          </w:tcPr>
          <w:p w:rsidR="008C2817" w:rsidRDefault="00515865">
            <w:pPr>
              <w:jc w:val="center"/>
            </w:pPr>
            <w:r>
              <w:rPr>
                <w:rFonts w:eastAsiaTheme="minorEastAsia"/>
                <w:color w:val="000000" w:themeColor="text1"/>
                <w:kern w:val="0"/>
              </w:rPr>
              <w:t>17</w:t>
            </w:r>
            <w:r>
              <w:rPr>
                <w:rFonts w:eastAsiaTheme="minorEastAsia"/>
                <w:color w:val="000000" w:themeColor="text1"/>
                <w:kern w:val="0"/>
              </w:rPr>
              <w:t>国开</w:t>
            </w:r>
            <w:r>
              <w:rPr>
                <w:rFonts w:eastAsiaTheme="minorEastAsia"/>
                <w:color w:val="000000" w:themeColor="text1"/>
                <w:kern w:val="0"/>
              </w:rPr>
              <w:t>10</w:t>
            </w:r>
          </w:p>
        </w:tc>
        <w:tc>
          <w:tcPr>
            <w:tcW w:w="1426" w:type="dxa"/>
            <w:vAlign w:val="center"/>
          </w:tcPr>
          <w:p w:rsidR="008C2817" w:rsidRDefault="00515865">
            <w:pPr>
              <w:jc w:val="right"/>
            </w:pPr>
            <w:r>
              <w:rPr>
                <w:rFonts w:eastAsiaTheme="minorEastAsia"/>
                <w:color w:val="000000" w:themeColor="text1"/>
                <w:kern w:val="0"/>
              </w:rPr>
              <w:t>15,100,000</w:t>
            </w:r>
          </w:p>
        </w:tc>
        <w:tc>
          <w:tcPr>
            <w:tcW w:w="1646" w:type="dxa"/>
            <w:vAlign w:val="center"/>
          </w:tcPr>
          <w:p w:rsidR="008C2817" w:rsidRDefault="00515865">
            <w:pPr>
              <w:jc w:val="right"/>
            </w:pPr>
            <w:r>
              <w:rPr>
                <w:rFonts w:eastAsiaTheme="minorEastAsia"/>
                <w:color w:val="000000" w:themeColor="text1"/>
                <w:kern w:val="0"/>
              </w:rPr>
              <w:t>1,589,982,878.96</w:t>
            </w:r>
          </w:p>
        </w:tc>
        <w:tc>
          <w:tcPr>
            <w:tcW w:w="1612" w:type="dxa"/>
            <w:vAlign w:val="center"/>
          </w:tcPr>
          <w:p w:rsidR="008C2817" w:rsidRDefault="00515865">
            <w:pPr>
              <w:jc w:val="right"/>
            </w:pPr>
            <w:r>
              <w:rPr>
                <w:rFonts w:eastAsiaTheme="minorEastAsia"/>
                <w:color w:val="000000" w:themeColor="text1"/>
                <w:kern w:val="0"/>
              </w:rPr>
              <w:t>18.63</w:t>
            </w:r>
          </w:p>
        </w:tc>
      </w:tr>
      <w:tr w:rsidR="008C2817">
        <w:tc>
          <w:tcPr>
            <w:tcW w:w="1252" w:type="dxa"/>
            <w:vAlign w:val="center"/>
          </w:tcPr>
          <w:p w:rsidR="008C2817" w:rsidRDefault="00515865">
            <w:pPr>
              <w:jc w:val="center"/>
            </w:pPr>
            <w:r>
              <w:rPr>
                <w:rFonts w:eastAsiaTheme="minorEastAsia"/>
                <w:color w:val="000000" w:themeColor="text1"/>
                <w:kern w:val="0"/>
              </w:rPr>
              <w:t>5</w:t>
            </w:r>
          </w:p>
        </w:tc>
        <w:tc>
          <w:tcPr>
            <w:tcW w:w="1310" w:type="dxa"/>
            <w:vAlign w:val="center"/>
          </w:tcPr>
          <w:p w:rsidR="008C2817" w:rsidRDefault="00515865">
            <w:pPr>
              <w:jc w:val="center"/>
            </w:pPr>
            <w:r>
              <w:rPr>
                <w:rFonts w:eastAsiaTheme="minorEastAsia"/>
                <w:color w:val="000000" w:themeColor="text1"/>
                <w:kern w:val="0"/>
              </w:rPr>
              <w:t>160993</w:t>
            </w:r>
          </w:p>
        </w:tc>
        <w:tc>
          <w:tcPr>
            <w:tcW w:w="1282" w:type="dxa"/>
            <w:vAlign w:val="center"/>
          </w:tcPr>
          <w:p w:rsidR="008C2817" w:rsidRDefault="00515865">
            <w:pPr>
              <w:jc w:val="center"/>
            </w:pPr>
            <w:r>
              <w:rPr>
                <w:rFonts w:eastAsiaTheme="minorEastAsia"/>
                <w:color w:val="000000" w:themeColor="text1"/>
                <w:kern w:val="0"/>
              </w:rPr>
              <w:t>20</w:t>
            </w:r>
            <w:r>
              <w:rPr>
                <w:rFonts w:eastAsiaTheme="minorEastAsia"/>
                <w:color w:val="000000" w:themeColor="text1"/>
                <w:kern w:val="0"/>
              </w:rPr>
              <w:t>江苏</w:t>
            </w:r>
            <w:r>
              <w:rPr>
                <w:rFonts w:eastAsiaTheme="minorEastAsia"/>
                <w:color w:val="000000" w:themeColor="text1"/>
                <w:kern w:val="0"/>
              </w:rPr>
              <w:t>19</w:t>
            </w:r>
          </w:p>
        </w:tc>
        <w:tc>
          <w:tcPr>
            <w:tcW w:w="1426" w:type="dxa"/>
            <w:vAlign w:val="center"/>
          </w:tcPr>
          <w:p w:rsidR="008C2817" w:rsidRDefault="00515865">
            <w:pPr>
              <w:jc w:val="right"/>
            </w:pPr>
            <w:r>
              <w:rPr>
                <w:rFonts w:eastAsiaTheme="minorEastAsia"/>
                <w:color w:val="000000" w:themeColor="text1"/>
                <w:kern w:val="0"/>
              </w:rPr>
              <w:t>7,100,000</w:t>
            </w:r>
          </w:p>
        </w:tc>
        <w:tc>
          <w:tcPr>
            <w:tcW w:w="1646" w:type="dxa"/>
            <w:vAlign w:val="center"/>
          </w:tcPr>
          <w:p w:rsidR="008C2817" w:rsidRDefault="00515865">
            <w:pPr>
              <w:jc w:val="right"/>
            </w:pPr>
            <w:r>
              <w:rPr>
                <w:rFonts w:eastAsiaTheme="minorEastAsia"/>
                <w:color w:val="000000" w:themeColor="text1"/>
                <w:kern w:val="0"/>
              </w:rPr>
              <w:t>723,967,377.56</w:t>
            </w:r>
          </w:p>
        </w:tc>
        <w:tc>
          <w:tcPr>
            <w:tcW w:w="1612" w:type="dxa"/>
            <w:vAlign w:val="center"/>
          </w:tcPr>
          <w:p w:rsidR="008C2817" w:rsidRDefault="00515865">
            <w:pPr>
              <w:jc w:val="right"/>
            </w:pPr>
            <w:r>
              <w:rPr>
                <w:rFonts w:eastAsiaTheme="minorEastAsia"/>
                <w:color w:val="000000" w:themeColor="text1"/>
                <w:kern w:val="0"/>
              </w:rPr>
              <w:t>8.48</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lastRenderedPageBreak/>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本基金本报告期末无其他资产构成。</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8C2817">
        <w:tc>
          <w:tcPr>
            <w:tcW w:w="993" w:type="dxa"/>
            <w:vMerge w:val="restart"/>
            <w:vAlign w:val="center"/>
          </w:tcPr>
          <w:p w:rsidR="008C2817" w:rsidRDefault="00515865">
            <w:r>
              <w:rPr>
                <w:bCs/>
                <w:color w:val="000000"/>
                <w:kern w:val="0"/>
              </w:rPr>
              <w:t>机构</w:t>
            </w:r>
          </w:p>
        </w:tc>
        <w:tc>
          <w:tcPr>
            <w:tcW w:w="992" w:type="dxa"/>
            <w:vAlign w:val="center"/>
          </w:tcPr>
          <w:p w:rsidR="008C2817" w:rsidRDefault="00515865">
            <w:pPr>
              <w:jc w:val="center"/>
            </w:pPr>
            <w:r>
              <w:rPr>
                <w:color w:val="000000"/>
                <w:kern w:val="0"/>
              </w:rPr>
              <w:t>1</w:t>
            </w:r>
          </w:p>
        </w:tc>
        <w:tc>
          <w:tcPr>
            <w:tcW w:w="1843" w:type="dxa"/>
            <w:vAlign w:val="center"/>
          </w:tcPr>
          <w:p w:rsidR="008C2817" w:rsidRDefault="00515865">
            <w:pPr>
              <w:jc w:val="center"/>
            </w:pPr>
            <w:r>
              <w:rPr>
                <w:color w:val="000000"/>
                <w:kern w:val="0"/>
              </w:rPr>
              <w:t>20240101-20240331</w:t>
            </w:r>
          </w:p>
        </w:tc>
        <w:tc>
          <w:tcPr>
            <w:tcW w:w="851" w:type="dxa"/>
            <w:vAlign w:val="center"/>
          </w:tcPr>
          <w:p w:rsidR="008C2817" w:rsidRDefault="00515865">
            <w:pPr>
              <w:jc w:val="center"/>
            </w:pPr>
            <w:r>
              <w:rPr>
                <w:color w:val="000000"/>
                <w:kern w:val="0"/>
              </w:rPr>
              <w:t>3,989,999,000.00</w:t>
            </w:r>
          </w:p>
        </w:tc>
        <w:tc>
          <w:tcPr>
            <w:tcW w:w="850" w:type="dxa"/>
            <w:vAlign w:val="center"/>
          </w:tcPr>
          <w:p w:rsidR="008C2817" w:rsidRDefault="00515865">
            <w:pPr>
              <w:jc w:val="center"/>
            </w:pPr>
            <w:r>
              <w:rPr>
                <w:color w:val="000000"/>
                <w:kern w:val="0"/>
              </w:rPr>
              <w:t>0.00</w:t>
            </w:r>
          </w:p>
        </w:tc>
        <w:tc>
          <w:tcPr>
            <w:tcW w:w="1134" w:type="dxa"/>
            <w:vAlign w:val="center"/>
          </w:tcPr>
          <w:p w:rsidR="008C2817" w:rsidRDefault="00515865">
            <w:pPr>
              <w:jc w:val="center"/>
            </w:pPr>
            <w:r>
              <w:rPr>
                <w:color w:val="000000"/>
                <w:kern w:val="0"/>
              </w:rPr>
              <w:t>0.00</w:t>
            </w:r>
          </w:p>
        </w:tc>
        <w:tc>
          <w:tcPr>
            <w:tcW w:w="1419" w:type="dxa"/>
            <w:vAlign w:val="center"/>
          </w:tcPr>
          <w:p w:rsidR="008C2817" w:rsidRDefault="00515865">
            <w:pPr>
              <w:jc w:val="center"/>
            </w:pPr>
            <w:r>
              <w:rPr>
                <w:color w:val="000000"/>
                <w:kern w:val="0"/>
              </w:rPr>
              <w:t>3,989,999,000.00</w:t>
            </w:r>
          </w:p>
        </w:tc>
        <w:tc>
          <w:tcPr>
            <w:tcW w:w="1130" w:type="dxa"/>
            <w:vAlign w:val="center"/>
          </w:tcPr>
          <w:p w:rsidR="008C2817" w:rsidRDefault="00515865">
            <w:pPr>
              <w:jc w:val="center"/>
            </w:pPr>
            <w:r>
              <w:rPr>
                <w:color w:val="000000"/>
                <w:kern w:val="0"/>
              </w:rPr>
              <w:t>49.94%</w:t>
            </w:r>
          </w:p>
        </w:tc>
      </w:tr>
      <w:tr w:rsidR="008C2817">
        <w:tc>
          <w:tcPr>
            <w:tcW w:w="993" w:type="dxa"/>
            <w:vMerge/>
          </w:tcPr>
          <w:p w:rsidR="008C2817" w:rsidRDefault="008C2817"/>
        </w:tc>
        <w:tc>
          <w:tcPr>
            <w:tcW w:w="992" w:type="dxa"/>
            <w:vAlign w:val="center"/>
          </w:tcPr>
          <w:p w:rsidR="008C2817" w:rsidRDefault="00515865">
            <w:pPr>
              <w:jc w:val="center"/>
            </w:pPr>
            <w:r>
              <w:rPr>
                <w:color w:val="000000"/>
                <w:kern w:val="0"/>
              </w:rPr>
              <w:t>2</w:t>
            </w:r>
          </w:p>
        </w:tc>
        <w:tc>
          <w:tcPr>
            <w:tcW w:w="1843" w:type="dxa"/>
            <w:vAlign w:val="center"/>
          </w:tcPr>
          <w:p w:rsidR="008C2817" w:rsidRDefault="00515865">
            <w:pPr>
              <w:jc w:val="center"/>
            </w:pPr>
            <w:r>
              <w:rPr>
                <w:color w:val="000000"/>
                <w:kern w:val="0"/>
              </w:rPr>
              <w:t>20240101-20240331</w:t>
            </w:r>
          </w:p>
        </w:tc>
        <w:tc>
          <w:tcPr>
            <w:tcW w:w="851" w:type="dxa"/>
            <w:vAlign w:val="center"/>
          </w:tcPr>
          <w:p w:rsidR="008C2817" w:rsidRDefault="00515865">
            <w:pPr>
              <w:jc w:val="center"/>
            </w:pPr>
            <w:r>
              <w:rPr>
                <w:color w:val="000000"/>
                <w:kern w:val="0"/>
              </w:rPr>
              <w:t>2,199,999,000.00</w:t>
            </w:r>
          </w:p>
        </w:tc>
        <w:tc>
          <w:tcPr>
            <w:tcW w:w="850" w:type="dxa"/>
            <w:vAlign w:val="center"/>
          </w:tcPr>
          <w:p w:rsidR="008C2817" w:rsidRDefault="00515865">
            <w:pPr>
              <w:jc w:val="center"/>
            </w:pPr>
            <w:r>
              <w:rPr>
                <w:color w:val="000000"/>
                <w:kern w:val="0"/>
              </w:rPr>
              <w:t>0.00</w:t>
            </w:r>
          </w:p>
        </w:tc>
        <w:tc>
          <w:tcPr>
            <w:tcW w:w="1134" w:type="dxa"/>
            <w:vAlign w:val="center"/>
          </w:tcPr>
          <w:p w:rsidR="008C2817" w:rsidRDefault="00515865">
            <w:pPr>
              <w:jc w:val="center"/>
            </w:pPr>
            <w:r>
              <w:rPr>
                <w:color w:val="000000"/>
                <w:kern w:val="0"/>
              </w:rPr>
              <w:t>0.00</w:t>
            </w:r>
          </w:p>
        </w:tc>
        <w:tc>
          <w:tcPr>
            <w:tcW w:w="1419" w:type="dxa"/>
            <w:vAlign w:val="center"/>
          </w:tcPr>
          <w:p w:rsidR="008C2817" w:rsidRDefault="00515865">
            <w:pPr>
              <w:jc w:val="center"/>
            </w:pPr>
            <w:r>
              <w:rPr>
                <w:color w:val="000000"/>
                <w:kern w:val="0"/>
              </w:rPr>
              <w:t>2,199,999,000.00</w:t>
            </w:r>
          </w:p>
        </w:tc>
        <w:tc>
          <w:tcPr>
            <w:tcW w:w="1130" w:type="dxa"/>
            <w:vAlign w:val="center"/>
          </w:tcPr>
          <w:p w:rsidR="008C2817" w:rsidRDefault="00515865">
            <w:pPr>
              <w:jc w:val="center"/>
            </w:pPr>
            <w:r>
              <w:rPr>
                <w:color w:val="000000"/>
                <w:kern w:val="0"/>
              </w:rPr>
              <w:t>27.53%</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lastRenderedPageBreak/>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 xml:space="preserve">) </w:t>
      </w:r>
      <w:r>
        <w:rPr>
          <w:rFonts w:eastAsiaTheme="minorEastAsia"/>
          <w:color w:val="000000" w:themeColor="text1"/>
        </w:rPr>
        <w:t>摩根瑞盛</w:t>
      </w:r>
      <w:r>
        <w:rPr>
          <w:rFonts w:eastAsiaTheme="minorEastAsia"/>
          <w:color w:val="000000" w:themeColor="text1"/>
        </w:rPr>
        <w:t>87</w:t>
      </w:r>
      <w:r>
        <w:rPr>
          <w:rFonts w:eastAsiaTheme="minorEastAsia"/>
          <w:color w:val="000000" w:themeColor="text1"/>
        </w:rPr>
        <w:t>个月定期开放债券型证券投资基金基金合同</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 xml:space="preserve">) </w:t>
      </w:r>
      <w:r>
        <w:rPr>
          <w:rFonts w:eastAsiaTheme="minorEastAsia"/>
          <w:color w:val="000000" w:themeColor="text1"/>
        </w:rPr>
        <w:t>摩根瑞盛</w:t>
      </w:r>
      <w:r>
        <w:rPr>
          <w:rFonts w:eastAsiaTheme="minorEastAsia"/>
          <w:color w:val="000000" w:themeColor="text1"/>
        </w:rPr>
        <w:t>87</w:t>
      </w:r>
      <w:r>
        <w:rPr>
          <w:rFonts w:eastAsiaTheme="minorEastAsia"/>
          <w:color w:val="000000" w:themeColor="text1"/>
        </w:rPr>
        <w:t>个月定期开放债券型证券投资基金托管协议</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8C2817" w:rsidRDefault="0051586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二〇二四年四月二十二日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515865" w:rsidRPr="00515865">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515865">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摩根瑞盛</w:t>
    </w:r>
    <w:r>
      <w:rPr>
        <w:rFonts w:hint="eastAsia"/>
      </w:rPr>
      <w:t>87</w:t>
    </w:r>
    <w:r>
      <w:rPr>
        <w:rFonts w:hint="eastAsia"/>
      </w:rPr>
      <w:t>个月定期开放债券型证券投资基金</w:t>
    </w:r>
    <w:r>
      <w:rPr>
        <w:rFonts w:hint="eastAsia"/>
      </w:rPr>
      <w:t>2024</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15865"/>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2817"/>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0441B-3DA3-43B6-8447-11E1ED0E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Cynthia.Yu@FA</cp:lastModifiedBy>
  <cp:revision>270</cp:revision>
  <dcterms:created xsi:type="dcterms:W3CDTF">2012-10-16T06:07:00Z</dcterms:created>
  <dcterms:modified xsi:type="dcterms:W3CDTF">2024-04-19T08:10:00Z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