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摩根瑞盛</w:t>
      </w:r>
      <w:r w:rsidRPr="00FF6B9A">
        <w:rPr>
          <w:rFonts w:eastAsiaTheme="minorEastAsia"/>
          <w:b/>
          <w:color w:val="000000" w:themeColor="text1"/>
          <w:sz w:val="36"/>
          <w:szCs w:val="36"/>
        </w:rPr>
        <w:t>87</w:t>
      </w:r>
      <w:r w:rsidRPr="00FF6B9A">
        <w:rPr>
          <w:rFonts w:eastAsiaTheme="minorEastAsia"/>
          <w:b/>
          <w:color w:val="000000" w:themeColor="text1"/>
          <w:sz w:val="36"/>
          <w:szCs w:val="36"/>
        </w:rPr>
        <w:t>个月定期开放债券型证券投资基金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年第</w:t>
      </w:r>
      <w:r w:rsidRPr="00FF6B9A">
        <w:rPr>
          <w:rFonts w:eastAsiaTheme="minorEastAsia"/>
          <w:b/>
          <w:color w:val="000000" w:themeColor="text1"/>
          <w:sz w:val="36"/>
          <w:szCs w:val="36"/>
        </w:rPr>
        <w:t>2</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w:t>
      </w:r>
      <w:r w:rsidRPr="00FF6B9A">
        <w:rPr>
          <w:rFonts w:eastAsiaTheme="minorEastAsia"/>
          <w:b/>
          <w:color w:val="000000" w:themeColor="text1"/>
          <w:sz w:val="36"/>
          <w:szCs w:val="36"/>
        </w:rPr>
        <w:t>6</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基金托管人：兴业银行股份有限公司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报告送出日期：二〇二四年七月十九日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352796" w:rsidRDefault="00EB154B">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352796" w:rsidRDefault="00EB154B">
      <w:pPr>
        <w:spacing w:line="360" w:lineRule="auto"/>
        <w:ind w:firstLineChars="200" w:firstLine="420"/>
        <w:rPr>
          <w:rFonts w:eastAsiaTheme="minorEastAsia"/>
          <w:color w:val="000000" w:themeColor="text1"/>
        </w:rPr>
      </w:pPr>
      <w:r>
        <w:rPr>
          <w:rFonts w:eastAsiaTheme="minorEastAsia"/>
          <w:color w:val="000000" w:themeColor="text1"/>
        </w:rPr>
        <w:t>基金托管人兴业银行股份有限公司根据本基金合同规定，于</w:t>
      </w:r>
      <w:r>
        <w:rPr>
          <w:rFonts w:eastAsiaTheme="minorEastAsia"/>
          <w:color w:val="000000" w:themeColor="text1"/>
        </w:rPr>
        <w:t>2024</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w:t>
      </w:r>
      <w:r>
        <w:rPr>
          <w:rFonts w:eastAsiaTheme="minorEastAsia"/>
          <w:color w:val="000000" w:themeColor="text1"/>
        </w:rPr>
        <w:t>18</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352796" w:rsidRDefault="00EB154B">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352796" w:rsidRDefault="00EB154B">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352796" w:rsidRDefault="00EB154B">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摩根瑞盛</w:t>
            </w:r>
            <w:r w:rsidRPr="00FF6B9A">
              <w:rPr>
                <w:rFonts w:eastAsiaTheme="minorEastAsia"/>
                <w:color w:val="000000" w:themeColor="text1"/>
                <w:kern w:val="0"/>
              </w:rPr>
              <w:t>87</w:t>
            </w:r>
            <w:r w:rsidRPr="00FF6B9A">
              <w:rPr>
                <w:rFonts w:eastAsiaTheme="minorEastAsia"/>
                <w:color w:val="000000" w:themeColor="text1"/>
                <w:kern w:val="0"/>
              </w:rPr>
              <w:t>个月定期开放债券</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009895</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009895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契约型定期开放式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2020</w:t>
            </w:r>
            <w:r w:rsidRPr="00FF6B9A">
              <w:rPr>
                <w:rFonts w:eastAsiaTheme="minorEastAsia"/>
                <w:color w:val="000000" w:themeColor="text1"/>
                <w:kern w:val="0"/>
              </w:rPr>
              <w:t>年</w:t>
            </w:r>
            <w:r w:rsidRPr="00FF6B9A">
              <w:rPr>
                <w:rFonts w:eastAsiaTheme="minorEastAsia"/>
                <w:color w:val="000000" w:themeColor="text1"/>
                <w:kern w:val="0"/>
              </w:rPr>
              <w:t>8</w:t>
            </w:r>
            <w:r w:rsidRPr="00FF6B9A">
              <w:rPr>
                <w:rFonts w:eastAsiaTheme="minorEastAsia"/>
                <w:color w:val="000000" w:themeColor="text1"/>
                <w:kern w:val="0"/>
              </w:rPr>
              <w:t>月</w:t>
            </w:r>
            <w:r w:rsidRPr="00FF6B9A">
              <w:rPr>
                <w:rFonts w:eastAsiaTheme="minorEastAsia"/>
                <w:color w:val="000000" w:themeColor="text1"/>
                <w:kern w:val="0"/>
              </w:rPr>
              <w:t>3</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7,990,077,699.94</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在严格控制风险的前提下，采用持有到期策略，力争实现长期稳定的投资回报。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352796" w:rsidRDefault="00EB154B">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、封闭期投资策略</w:t>
            </w:r>
          </w:p>
          <w:p w:rsidR="00352796" w:rsidRDefault="00EB154B">
            <w:pPr>
              <w:adjustRightInd w:val="0"/>
              <w:spacing w:before="29" w:line="360" w:lineRule="auto"/>
              <w:ind w:left="17"/>
              <w:rPr>
                <w:rFonts w:eastAsiaTheme="minorEastAsia"/>
                <w:color w:val="000000" w:themeColor="text1"/>
              </w:rPr>
            </w:pPr>
            <w:r>
              <w:rPr>
                <w:rFonts w:eastAsiaTheme="minorEastAsia"/>
                <w:color w:val="000000" w:themeColor="text1"/>
                <w:kern w:val="0"/>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w:t>
            </w:r>
            <w:r>
              <w:rPr>
                <w:rFonts w:eastAsiaTheme="minorEastAsia"/>
                <w:color w:val="000000" w:themeColor="text1"/>
                <w:kern w:val="0"/>
              </w:rPr>
              <w:lastRenderedPageBreak/>
              <w:t>作期到期日。</w:t>
            </w:r>
          </w:p>
          <w:p w:rsidR="00352796" w:rsidRDefault="00EB154B">
            <w:pPr>
              <w:adjustRightInd w:val="0"/>
              <w:spacing w:before="29" w:line="360" w:lineRule="auto"/>
              <w:ind w:left="17"/>
              <w:rPr>
                <w:rFonts w:eastAsiaTheme="minorEastAsia"/>
                <w:color w:val="000000" w:themeColor="text1"/>
              </w:rPr>
            </w:pPr>
            <w:r>
              <w:rPr>
                <w:rFonts w:eastAsiaTheme="minorEastAsia"/>
                <w:color w:val="000000" w:themeColor="text1"/>
                <w:kern w:val="0"/>
              </w:rPr>
              <w:t>封闭期具体投资策略包括信用债投资策略、杠杆投资策略、资产支持证券投资策略、封闭期现金管理策略。</w:t>
            </w:r>
          </w:p>
          <w:p w:rsidR="00352796" w:rsidRDefault="00EB154B">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、开放期投资策略</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开放期内，将保持资产适当的流动性，以应付当时市场条件下的赎回要求，并降低资产的流动性风险，做好流动性管理。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在每个封闭期，本基金的业绩比较基准为该封闭期起始日公布的三年定期存款利率（税后）</w:t>
            </w:r>
            <w:r w:rsidRPr="00FF6B9A">
              <w:rPr>
                <w:rFonts w:eastAsiaTheme="minorEastAsia"/>
                <w:color w:val="000000" w:themeColor="text1"/>
                <w:kern w:val="0"/>
              </w:rPr>
              <w:t>+1.25%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本基金为债券型基金，一般而言，其长期平均风险和预期收益率低于股票型基金、混合型基金，高于货币市场基金。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兴业银行股份有限公司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EB154B" w:rsidRPr="00FF6B9A" w:rsidTr="00EB154B">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EB154B" w:rsidRPr="00FF6B9A" w:rsidTr="00EB154B">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87,037,211.54</w:t>
            </w:r>
          </w:p>
        </w:tc>
      </w:tr>
      <w:tr w:rsidR="00EB154B" w:rsidRPr="00FF6B9A" w:rsidTr="00EB154B">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87,037,211.54</w:t>
            </w:r>
          </w:p>
        </w:tc>
      </w:tr>
      <w:tr w:rsidR="00EB154B" w:rsidRPr="00FF6B9A" w:rsidTr="00EB154B">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0.0109</w:t>
            </w:r>
          </w:p>
        </w:tc>
      </w:tr>
      <w:tr w:rsidR="00EB154B" w:rsidRPr="00FF6B9A" w:rsidTr="00EB154B">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8,621,286,919.56</w:t>
            </w:r>
          </w:p>
        </w:tc>
      </w:tr>
      <w:tr w:rsidR="00EB154B" w:rsidRPr="00FF6B9A" w:rsidTr="00EB154B">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1.0790</w:t>
            </w:r>
          </w:p>
        </w:tc>
      </w:tr>
    </w:tbl>
    <w:p w:rsidR="00352796" w:rsidRDefault="00EB154B">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本期已实现收益指基金本期利息收入、投资收益、其他收入（不含公允价值变动收益）扣除相关费用后的余额，本期利润为本期已实现收益加上本期公允价值变动收益，由于本基金</w:t>
      </w:r>
      <w:r w:rsidRPr="00FF6B9A">
        <w:rPr>
          <w:rFonts w:eastAsiaTheme="minorEastAsia"/>
          <w:color w:val="000000" w:themeColor="text1"/>
        </w:rPr>
        <w:lastRenderedPageBreak/>
        <w:t>采用摊余成本法核算，所以，公允价值变动收益为零，本期已实现收益和本期利润的金额相等；</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352796">
        <w:tc>
          <w:tcPr>
            <w:tcW w:w="1395" w:type="dxa"/>
            <w:vAlign w:val="center"/>
          </w:tcPr>
          <w:p w:rsidR="00352796" w:rsidRDefault="00EB154B">
            <w:pPr>
              <w:jc w:val="left"/>
            </w:pPr>
            <w:r>
              <w:rPr>
                <w:rFonts w:eastAsiaTheme="minorEastAsia"/>
                <w:color w:val="000000" w:themeColor="text1"/>
                <w:kern w:val="0"/>
              </w:rPr>
              <w:t>过去三个月</w:t>
            </w:r>
          </w:p>
        </w:tc>
        <w:tc>
          <w:tcPr>
            <w:tcW w:w="1092" w:type="dxa"/>
            <w:vAlign w:val="center"/>
          </w:tcPr>
          <w:p w:rsidR="00352796" w:rsidRDefault="00EB154B">
            <w:pPr>
              <w:jc w:val="center"/>
            </w:pPr>
            <w:r>
              <w:rPr>
                <w:rFonts w:eastAsiaTheme="minorEastAsia"/>
                <w:color w:val="000000" w:themeColor="text1"/>
                <w:kern w:val="0"/>
              </w:rPr>
              <w:t>1.02%</w:t>
            </w:r>
          </w:p>
        </w:tc>
        <w:tc>
          <w:tcPr>
            <w:tcW w:w="1161" w:type="dxa"/>
            <w:vAlign w:val="center"/>
          </w:tcPr>
          <w:p w:rsidR="00352796" w:rsidRDefault="00EB154B">
            <w:pPr>
              <w:jc w:val="center"/>
            </w:pPr>
            <w:r>
              <w:rPr>
                <w:rFonts w:eastAsiaTheme="minorEastAsia"/>
                <w:color w:val="000000" w:themeColor="text1"/>
                <w:kern w:val="0"/>
              </w:rPr>
              <w:t>0.01%</w:t>
            </w:r>
          </w:p>
        </w:tc>
        <w:tc>
          <w:tcPr>
            <w:tcW w:w="1181" w:type="dxa"/>
            <w:vAlign w:val="center"/>
          </w:tcPr>
          <w:p w:rsidR="00352796" w:rsidRDefault="00EB154B">
            <w:pPr>
              <w:jc w:val="center"/>
            </w:pPr>
            <w:r>
              <w:rPr>
                <w:rFonts w:eastAsiaTheme="minorEastAsia"/>
                <w:color w:val="000000" w:themeColor="text1"/>
                <w:kern w:val="0"/>
              </w:rPr>
              <w:t>1.01%</w:t>
            </w:r>
          </w:p>
        </w:tc>
        <w:tc>
          <w:tcPr>
            <w:tcW w:w="1188" w:type="dxa"/>
            <w:vAlign w:val="center"/>
          </w:tcPr>
          <w:p w:rsidR="00352796" w:rsidRDefault="00EB154B">
            <w:pPr>
              <w:jc w:val="center"/>
            </w:pPr>
            <w:r>
              <w:rPr>
                <w:rFonts w:eastAsiaTheme="minorEastAsia"/>
                <w:color w:val="000000" w:themeColor="text1"/>
                <w:kern w:val="0"/>
              </w:rPr>
              <w:t>0.01%</w:t>
            </w:r>
          </w:p>
        </w:tc>
        <w:tc>
          <w:tcPr>
            <w:tcW w:w="1199" w:type="dxa"/>
            <w:vAlign w:val="center"/>
          </w:tcPr>
          <w:p w:rsidR="00352796" w:rsidRDefault="00EB154B">
            <w:pPr>
              <w:jc w:val="center"/>
            </w:pPr>
            <w:r>
              <w:rPr>
                <w:rFonts w:eastAsiaTheme="minorEastAsia"/>
                <w:color w:val="000000" w:themeColor="text1"/>
                <w:kern w:val="0"/>
              </w:rPr>
              <w:t>0.01%</w:t>
            </w:r>
          </w:p>
        </w:tc>
        <w:tc>
          <w:tcPr>
            <w:tcW w:w="1204" w:type="dxa"/>
            <w:vAlign w:val="center"/>
          </w:tcPr>
          <w:p w:rsidR="00352796" w:rsidRDefault="00EB154B">
            <w:pPr>
              <w:jc w:val="center"/>
            </w:pPr>
            <w:r>
              <w:rPr>
                <w:rFonts w:eastAsiaTheme="minorEastAsia"/>
                <w:color w:val="000000" w:themeColor="text1"/>
                <w:kern w:val="0"/>
              </w:rPr>
              <w:t>0.00%</w:t>
            </w:r>
          </w:p>
        </w:tc>
      </w:tr>
      <w:tr w:rsidR="00352796">
        <w:tc>
          <w:tcPr>
            <w:tcW w:w="1395" w:type="dxa"/>
            <w:vAlign w:val="center"/>
          </w:tcPr>
          <w:p w:rsidR="00352796" w:rsidRDefault="00EB154B">
            <w:pPr>
              <w:jc w:val="left"/>
            </w:pPr>
            <w:r>
              <w:rPr>
                <w:rFonts w:eastAsiaTheme="minorEastAsia"/>
                <w:color w:val="000000" w:themeColor="text1"/>
                <w:kern w:val="0"/>
              </w:rPr>
              <w:t>过去六个月</w:t>
            </w:r>
          </w:p>
        </w:tc>
        <w:tc>
          <w:tcPr>
            <w:tcW w:w="1092" w:type="dxa"/>
            <w:vAlign w:val="center"/>
          </w:tcPr>
          <w:p w:rsidR="00352796" w:rsidRDefault="00EB154B">
            <w:pPr>
              <w:jc w:val="center"/>
            </w:pPr>
            <w:r>
              <w:rPr>
                <w:rFonts w:eastAsiaTheme="minorEastAsia"/>
                <w:color w:val="000000" w:themeColor="text1"/>
                <w:kern w:val="0"/>
              </w:rPr>
              <w:t>2.01%</w:t>
            </w:r>
          </w:p>
        </w:tc>
        <w:tc>
          <w:tcPr>
            <w:tcW w:w="1161" w:type="dxa"/>
            <w:vAlign w:val="center"/>
          </w:tcPr>
          <w:p w:rsidR="00352796" w:rsidRDefault="00EB154B">
            <w:pPr>
              <w:jc w:val="center"/>
            </w:pPr>
            <w:r>
              <w:rPr>
                <w:rFonts w:eastAsiaTheme="minorEastAsia"/>
                <w:color w:val="000000" w:themeColor="text1"/>
                <w:kern w:val="0"/>
              </w:rPr>
              <w:t>0.01%</w:t>
            </w:r>
          </w:p>
        </w:tc>
        <w:tc>
          <w:tcPr>
            <w:tcW w:w="1181" w:type="dxa"/>
            <w:vAlign w:val="center"/>
          </w:tcPr>
          <w:p w:rsidR="00352796" w:rsidRDefault="00EB154B">
            <w:pPr>
              <w:jc w:val="center"/>
            </w:pPr>
            <w:r>
              <w:rPr>
                <w:rFonts w:eastAsiaTheme="minorEastAsia"/>
                <w:color w:val="000000" w:themeColor="text1"/>
                <w:kern w:val="0"/>
              </w:rPr>
              <w:t>2.02%</w:t>
            </w:r>
          </w:p>
        </w:tc>
        <w:tc>
          <w:tcPr>
            <w:tcW w:w="1188" w:type="dxa"/>
            <w:vAlign w:val="center"/>
          </w:tcPr>
          <w:p w:rsidR="00352796" w:rsidRDefault="00EB154B">
            <w:pPr>
              <w:jc w:val="center"/>
            </w:pPr>
            <w:r>
              <w:rPr>
                <w:rFonts w:eastAsiaTheme="minorEastAsia"/>
                <w:color w:val="000000" w:themeColor="text1"/>
                <w:kern w:val="0"/>
              </w:rPr>
              <w:t>0.01%</w:t>
            </w:r>
          </w:p>
        </w:tc>
        <w:tc>
          <w:tcPr>
            <w:tcW w:w="1199" w:type="dxa"/>
            <w:vAlign w:val="center"/>
          </w:tcPr>
          <w:p w:rsidR="00352796" w:rsidRDefault="00EB154B">
            <w:pPr>
              <w:jc w:val="center"/>
            </w:pPr>
            <w:r>
              <w:rPr>
                <w:rFonts w:eastAsiaTheme="minorEastAsia"/>
                <w:color w:val="000000" w:themeColor="text1"/>
                <w:kern w:val="0"/>
              </w:rPr>
              <w:t>-0.01%</w:t>
            </w:r>
          </w:p>
        </w:tc>
        <w:tc>
          <w:tcPr>
            <w:tcW w:w="1204" w:type="dxa"/>
            <w:vAlign w:val="center"/>
          </w:tcPr>
          <w:p w:rsidR="00352796" w:rsidRDefault="00EB154B">
            <w:pPr>
              <w:jc w:val="center"/>
            </w:pPr>
            <w:r>
              <w:rPr>
                <w:rFonts w:eastAsiaTheme="minorEastAsia"/>
                <w:color w:val="000000" w:themeColor="text1"/>
                <w:kern w:val="0"/>
              </w:rPr>
              <w:t>0.00%</w:t>
            </w:r>
          </w:p>
        </w:tc>
      </w:tr>
      <w:tr w:rsidR="00352796">
        <w:tc>
          <w:tcPr>
            <w:tcW w:w="1395" w:type="dxa"/>
            <w:vAlign w:val="center"/>
          </w:tcPr>
          <w:p w:rsidR="00352796" w:rsidRDefault="00EB154B">
            <w:pPr>
              <w:jc w:val="left"/>
            </w:pPr>
            <w:r>
              <w:rPr>
                <w:rFonts w:eastAsiaTheme="minorEastAsia"/>
                <w:color w:val="000000" w:themeColor="text1"/>
                <w:kern w:val="0"/>
              </w:rPr>
              <w:t>过去一年</w:t>
            </w:r>
          </w:p>
        </w:tc>
        <w:tc>
          <w:tcPr>
            <w:tcW w:w="1092" w:type="dxa"/>
            <w:vAlign w:val="center"/>
          </w:tcPr>
          <w:p w:rsidR="00352796" w:rsidRDefault="00EB154B">
            <w:pPr>
              <w:jc w:val="center"/>
            </w:pPr>
            <w:r>
              <w:rPr>
                <w:rFonts w:eastAsiaTheme="minorEastAsia"/>
                <w:color w:val="000000" w:themeColor="text1"/>
                <w:kern w:val="0"/>
              </w:rPr>
              <w:t>4.02%</w:t>
            </w:r>
          </w:p>
        </w:tc>
        <w:tc>
          <w:tcPr>
            <w:tcW w:w="1161" w:type="dxa"/>
            <w:vAlign w:val="center"/>
          </w:tcPr>
          <w:p w:rsidR="00352796" w:rsidRDefault="00EB154B">
            <w:pPr>
              <w:jc w:val="center"/>
            </w:pPr>
            <w:r>
              <w:rPr>
                <w:rFonts w:eastAsiaTheme="minorEastAsia"/>
                <w:color w:val="000000" w:themeColor="text1"/>
                <w:kern w:val="0"/>
              </w:rPr>
              <w:t>0.01%</w:t>
            </w:r>
          </w:p>
        </w:tc>
        <w:tc>
          <w:tcPr>
            <w:tcW w:w="1181" w:type="dxa"/>
            <w:vAlign w:val="center"/>
          </w:tcPr>
          <w:p w:rsidR="00352796" w:rsidRDefault="00EB154B">
            <w:pPr>
              <w:jc w:val="center"/>
            </w:pPr>
            <w:r>
              <w:rPr>
                <w:rFonts w:eastAsiaTheme="minorEastAsia"/>
                <w:color w:val="000000" w:themeColor="text1"/>
                <w:kern w:val="0"/>
              </w:rPr>
              <w:t>4.07%</w:t>
            </w:r>
          </w:p>
        </w:tc>
        <w:tc>
          <w:tcPr>
            <w:tcW w:w="1188" w:type="dxa"/>
            <w:vAlign w:val="center"/>
          </w:tcPr>
          <w:p w:rsidR="00352796" w:rsidRDefault="00EB154B">
            <w:pPr>
              <w:jc w:val="center"/>
            </w:pPr>
            <w:r>
              <w:rPr>
                <w:rFonts w:eastAsiaTheme="minorEastAsia"/>
                <w:color w:val="000000" w:themeColor="text1"/>
                <w:kern w:val="0"/>
              </w:rPr>
              <w:t>0.01%</w:t>
            </w:r>
          </w:p>
        </w:tc>
        <w:tc>
          <w:tcPr>
            <w:tcW w:w="1199" w:type="dxa"/>
            <w:vAlign w:val="center"/>
          </w:tcPr>
          <w:p w:rsidR="00352796" w:rsidRDefault="00EB154B">
            <w:pPr>
              <w:jc w:val="center"/>
            </w:pPr>
            <w:r>
              <w:rPr>
                <w:rFonts w:eastAsiaTheme="minorEastAsia"/>
                <w:color w:val="000000" w:themeColor="text1"/>
                <w:kern w:val="0"/>
              </w:rPr>
              <w:t>-0.05%</w:t>
            </w:r>
          </w:p>
        </w:tc>
        <w:tc>
          <w:tcPr>
            <w:tcW w:w="1204" w:type="dxa"/>
            <w:vAlign w:val="center"/>
          </w:tcPr>
          <w:p w:rsidR="00352796" w:rsidRDefault="00EB154B">
            <w:pPr>
              <w:jc w:val="center"/>
            </w:pPr>
            <w:r>
              <w:rPr>
                <w:rFonts w:eastAsiaTheme="minorEastAsia"/>
                <w:color w:val="000000" w:themeColor="text1"/>
                <w:kern w:val="0"/>
              </w:rPr>
              <w:t>0.00%</w:t>
            </w:r>
          </w:p>
        </w:tc>
      </w:tr>
      <w:tr w:rsidR="00352796">
        <w:tc>
          <w:tcPr>
            <w:tcW w:w="1395" w:type="dxa"/>
            <w:vAlign w:val="center"/>
          </w:tcPr>
          <w:p w:rsidR="00352796" w:rsidRDefault="00EB154B">
            <w:pPr>
              <w:jc w:val="left"/>
            </w:pPr>
            <w:r>
              <w:rPr>
                <w:rFonts w:eastAsiaTheme="minorEastAsia"/>
                <w:color w:val="000000" w:themeColor="text1"/>
                <w:kern w:val="0"/>
              </w:rPr>
              <w:t>过去三年</w:t>
            </w:r>
          </w:p>
        </w:tc>
        <w:tc>
          <w:tcPr>
            <w:tcW w:w="1092" w:type="dxa"/>
            <w:vAlign w:val="center"/>
          </w:tcPr>
          <w:p w:rsidR="00352796" w:rsidRDefault="00EB154B">
            <w:pPr>
              <w:jc w:val="center"/>
            </w:pPr>
            <w:r>
              <w:rPr>
                <w:rFonts w:eastAsiaTheme="minorEastAsia"/>
                <w:color w:val="000000" w:themeColor="text1"/>
                <w:kern w:val="0"/>
              </w:rPr>
              <w:t>12.71%</w:t>
            </w:r>
          </w:p>
        </w:tc>
        <w:tc>
          <w:tcPr>
            <w:tcW w:w="1161" w:type="dxa"/>
            <w:vAlign w:val="center"/>
          </w:tcPr>
          <w:p w:rsidR="00352796" w:rsidRDefault="00EB154B">
            <w:pPr>
              <w:jc w:val="center"/>
            </w:pPr>
            <w:r>
              <w:rPr>
                <w:rFonts w:eastAsiaTheme="minorEastAsia"/>
                <w:color w:val="000000" w:themeColor="text1"/>
                <w:kern w:val="0"/>
              </w:rPr>
              <w:t>0.01%</w:t>
            </w:r>
          </w:p>
        </w:tc>
        <w:tc>
          <w:tcPr>
            <w:tcW w:w="1181" w:type="dxa"/>
            <w:vAlign w:val="center"/>
          </w:tcPr>
          <w:p w:rsidR="00352796" w:rsidRDefault="00EB154B">
            <w:pPr>
              <w:jc w:val="center"/>
            </w:pPr>
            <w:r>
              <w:rPr>
                <w:rFonts w:eastAsiaTheme="minorEastAsia"/>
                <w:color w:val="000000" w:themeColor="text1"/>
                <w:kern w:val="0"/>
              </w:rPr>
              <w:t>12.18%</w:t>
            </w:r>
          </w:p>
        </w:tc>
        <w:tc>
          <w:tcPr>
            <w:tcW w:w="1188" w:type="dxa"/>
            <w:vAlign w:val="center"/>
          </w:tcPr>
          <w:p w:rsidR="00352796" w:rsidRDefault="00EB154B">
            <w:pPr>
              <w:jc w:val="center"/>
            </w:pPr>
            <w:r>
              <w:rPr>
                <w:rFonts w:eastAsiaTheme="minorEastAsia"/>
                <w:color w:val="000000" w:themeColor="text1"/>
                <w:kern w:val="0"/>
              </w:rPr>
              <w:t>0.01%</w:t>
            </w:r>
          </w:p>
        </w:tc>
        <w:tc>
          <w:tcPr>
            <w:tcW w:w="1199" w:type="dxa"/>
            <w:vAlign w:val="center"/>
          </w:tcPr>
          <w:p w:rsidR="00352796" w:rsidRDefault="00EB154B">
            <w:pPr>
              <w:jc w:val="center"/>
            </w:pPr>
            <w:r>
              <w:rPr>
                <w:rFonts w:eastAsiaTheme="minorEastAsia"/>
                <w:color w:val="000000" w:themeColor="text1"/>
                <w:kern w:val="0"/>
              </w:rPr>
              <w:t>0.53%</w:t>
            </w:r>
          </w:p>
        </w:tc>
        <w:tc>
          <w:tcPr>
            <w:tcW w:w="1204" w:type="dxa"/>
            <w:vAlign w:val="center"/>
          </w:tcPr>
          <w:p w:rsidR="00352796" w:rsidRDefault="00EB154B">
            <w:pPr>
              <w:jc w:val="center"/>
            </w:pPr>
            <w:r>
              <w:rPr>
                <w:rFonts w:eastAsiaTheme="minorEastAsia"/>
                <w:color w:val="000000" w:themeColor="text1"/>
                <w:kern w:val="0"/>
              </w:rPr>
              <w:t>0.00%</w:t>
            </w:r>
          </w:p>
        </w:tc>
      </w:tr>
      <w:tr w:rsidR="00352796">
        <w:tc>
          <w:tcPr>
            <w:tcW w:w="1395" w:type="dxa"/>
            <w:vAlign w:val="center"/>
          </w:tcPr>
          <w:p w:rsidR="00352796" w:rsidRDefault="00EB154B">
            <w:pPr>
              <w:jc w:val="left"/>
            </w:pPr>
            <w:r>
              <w:rPr>
                <w:rFonts w:eastAsiaTheme="minorEastAsia"/>
                <w:color w:val="000000" w:themeColor="text1"/>
                <w:kern w:val="0"/>
              </w:rPr>
              <w:t>过去五年</w:t>
            </w:r>
          </w:p>
        </w:tc>
        <w:tc>
          <w:tcPr>
            <w:tcW w:w="1092" w:type="dxa"/>
            <w:vAlign w:val="center"/>
          </w:tcPr>
          <w:p w:rsidR="00352796" w:rsidRDefault="00EB154B">
            <w:pPr>
              <w:jc w:val="center"/>
            </w:pPr>
            <w:r>
              <w:rPr>
                <w:rFonts w:eastAsiaTheme="minorEastAsia"/>
                <w:color w:val="000000" w:themeColor="text1"/>
                <w:kern w:val="0"/>
              </w:rPr>
              <w:t>-</w:t>
            </w:r>
          </w:p>
        </w:tc>
        <w:tc>
          <w:tcPr>
            <w:tcW w:w="1161" w:type="dxa"/>
            <w:vAlign w:val="center"/>
          </w:tcPr>
          <w:p w:rsidR="00352796" w:rsidRDefault="00EB154B">
            <w:pPr>
              <w:jc w:val="center"/>
            </w:pPr>
            <w:r>
              <w:rPr>
                <w:rFonts w:eastAsiaTheme="minorEastAsia"/>
                <w:color w:val="000000" w:themeColor="text1"/>
                <w:kern w:val="0"/>
              </w:rPr>
              <w:t>-</w:t>
            </w:r>
          </w:p>
        </w:tc>
        <w:tc>
          <w:tcPr>
            <w:tcW w:w="1181" w:type="dxa"/>
            <w:vAlign w:val="center"/>
          </w:tcPr>
          <w:p w:rsidR="00352796" w:rsidRDefault="00EB154B">
            <w:pPr>
              <w:jc w:val="center"/>
            </w:pPr>
            <w:r>
              <w:rPr>
                <w:rFonts w:eastAsiaTheme="minorEastAsia"/>
                <w:color w:val="000000" w:themeColor="text1"/>
                <w:kern w:val="0"/>
              </w:rPr>
              <w:t>-</w:t>
            </w:r>
          </w:p>
        </w:tc>
        <w:tc>
          <w:tcPr>
            <w:tcW w:w="1188" w:type="dxa"/>
            <w:vAlign w:val="center"/>
          </w:tcPr>
          <w:p w:rsidR="00352796" w:rsidRDefault="00EB154B">
            <w:pPr>
              <w:jc w:val="center"/>
            </w:pPr>
            <w:r>
              <w:rPr>
                <w:rFonts w:eastAsiaTheme="minorEastAsia"/>
                <w:color w:val="000000" w:themeColor="text1"/>
                <w:kern w:val="0"/>
              </w:rPr>
              <w:t>-</w:t>
            </w:r>
          </w:p>
        </w:tc>
        <w:tc>
          <w:tcPr>
            <w:tcW w:w="1199" w:type="dxa"/>
            <w:vAlign w:val="center"/>
          </w:tcPr>
          <w:p w:rsidR="00352796" w:rsidRDefault="00EB154B">
            <w:pPr>
              <w:jc w:val="center"/>
            </w:pPr>
            <w:r>
              <w:rPr>
                <w:rFonts w:eastAsiaTheme="minorEastAsia"/>
                <w:color w:val="000000" w:themeColor="text1"/>
                <w:kern w:val="0"/>
              </w:rPr>
              <w:t>-</w:t>
            </w:r>
          </w:p>
        </w:tc>
        <w:tc>
          <w:tcPr>
            <w:tcW w:w="1204" w:type="dxa"/>
            <w:vAlign w:val="center"/>
          </w:tcPr>
          <w:p w:rsidR="00352796" w:rsidRDefault="00EB154B">
            <w:pPr>
              <w:jc w:val="center"/>
            </w:pPr>
            <w:r>
              <w:rPr>
                <w:rFonts w:eastAsiaTheme="minorEastAsia"/>
                <w:color w:val="000000" w:themeColor="text1"/>
                <w:kern w:val="0"/>
              </w:rPr>
              <w:t>-</w:t>
            </w:r>
          </w:p>
        </w:tc>
      </w:tr>
      <w:tr w:rsidR="00352796">
        <w:tc>
          <w:tcPr>
            <w:tcW w:w="1395" w:type="dxa"/>
            <w:vAlign w:val="center"/>
          </w:tcPr>
          <w:p w:rsidR="00352796" w:rsidRDefault="00EB154B">
            <w:pPr>
              <w:jc w:val="left"/>
            </w:pPr>
            <w:r>
              <w:rPr>
                <w:rFonts w:eastAsiaTheme="minorEastAsia"/>
                <w:color w:val="000000" w:themeColor="text1"/>
                <w:kern w:val="0"/>
              </w:rPr>
              <w:t>自基金合同生效起至今</w:t>
            </w:r>
          </w:p>
        </w:tc>
        <w:tc>
          <w:tcPr>
            <w:tcW w:w="1092" w:type="dxa"/>
            <w:vAlign w:val="center"/>
          </w:tcPr>
          <w:p w:rsidR="00352796" w:rsidRDefault="00EB154B">
            <w:pPr>
              <w:jc w:val="center"/>
            </w:pPr>
            <w:r>
              <w:rPr>
                <w:rFonts w:eastAsiaTheme="minorEastAsia"/>
                <w:color w:val="000000" w:themeColor="text1"/>
                <w:kern w:val="0"/>
              </w:rPr>
              <w:t>16.45%</w:t>
            </w:r>
          </w:p>
        </w:tc>
        <w:tc>
          <w:tcPr>
            <w:tcW w:w="1161" w:type="dxa"/>
            <w:vAlign w:val="center"/>
          </w:tcPr>
          <w:p w:rsidR="00352796" w:rsidRDefault="00EB154B">
            <w:pPr>
              <w:jc w:val="center"/>
            </w:pPr>
            <w:r>
              <w:rPr>
                <w:rFonts w:eastAsiaTheme="minorEastAsia"/>
                <w:color w:val="000000" w:themeColor="text1"/>
                <w:kern w:val="0"/>
              </w:rPr>
              <w:t>0.01%</w:t>
            </w:r>
          </w:p>
        </w:tc>
        <w:tc>
          <w:tcPr>
            <w:tcW w:w="1181" w:type="dxa"/>
            <w:vAlign w:val="center"/>
          </w:tcPr>
          <w:p w:rsidR="00352796" w:rsidRDefault="00EB154B">
            <w:pPr>
              <w:jc w:val="center"/>
            </w:pPr>
            <w:r>
              <w:rPr>
                <w:rFonts w:eastAsiaTheme="minorEastAsia"/>
                <w:color w:val="000000" w:themeColor="text1"/>
                <w:kern w:val="0"/>
              </w:rPr>
              <w:t>15.87%</w:t>
            </w:r>
          </w:p>
        </w:tc>
        <w:tc>
          <w:tcPr>
            <w:tcW w:w="1188" w:type="dxa"/>
            <w:vAlign w:val="center"/>
          </w:tcPr>
          <w:p w:rsidR="00352796" w:rsidRDefault="00EB154B">
            <w:pPr>
              <w:jc w:val="center"/>
            </w:pPr>
            <w:r>
              <w:rPr>
                <w:rFonts w:eastAsiaTheme="minorEastAsia"/>
                <w:color w:val="000000" w:themeColor="text1"/>
                <w:kern w:val="0"/>
              </w:rPr>
              <w:t>0.01%</w:t>
            </w:r>
          </w:p>
        </w:tc>
        <w:tc>
          <w:tcPr>
            <w:tcW w:w="1199" w:type="dxa"/>
            <w:vAlign w:val="center"/>
          </w:tcPr>
          <w:p w:rsidR="00352796" w:rsidRDefault="00EB154B">
            <w:pPr>
              <w:jc w:val="center"/>
            </w:pPr>
            <w:r>
              <w:rPr>
                <w:rFonts w:eastAsiaTheme="minorEastAsia"/>
                <w:color w:val="000000" w:themeColor="text1"/>
                <w:kern w:val="0"/>
              </w:rPr>
              <w:t>0.58%</w:t>
            </w:r>
          </w:p>
        </w:tc>
        <w:tc>
          <w:tcPr>
            <w:tcW w:w="1204" w:type="dxa"/>
            <w:vAlign w:val="center"/>
          </w:tcPr>
          <w:p w:rsidR="00352796" w:rsidRDefault="00EB154B">
            <w:pPr>
              <w:jc w:val="center"/>
            </w:pPr>
            <w:r>
              <w:rPr>
                <w:rFonts w:eastAsiaTheme="minorEastAsia"/>
                <w:color w:val="000000" w:themeColor="text1"/>
                <w:kern w:val="0"/>
              </w:rPr>
              <w:t>0.00%</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摩根瑞盛</w:t>
      </w:r>
      <w:r w:rsidRPr="00FF6B9A">
        <w:rPr>
          <w:rFonts w:eastAsiaTheme="minorEastAsia"/>
          <w:color w:val="000000" w:themeColor="text1"/>
        </w:rPr>
        <w:t>87</w:t>
      </w:r>
      <w:r w:rsidRPr="00FF6B9A">
        <w:rPr>
          <w:rFonts w:eastAsiaTheme="minorEastAsia"/>
          <w:color w:val="000000" w:themeColor="text1"/>
        </w:rPr>
        <w:t>个月定期开放债券型证券投资基金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(2020</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8</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2024</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6</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352796" w:rsidRDefault="00EB154B">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w:t>
      </w:r>
      <w:r>
        <w:rPr>
          <w:rFonts w:eastAsiaTheme="minorEastAsia"/>
          <w:color w:val="000000" w:themeColor="text1"/>
        </w:rPr>
        <w:t>3</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r w:rsidRPr="00FF6B9A">
        <w:rPr>
          <w:rFonts w:eastAsiaTheme="minorEastAsia"/>
          <w:color w:val="000000" w:themeColor="text1"/>
        </w:rPr>
        <w:t xml:space="preserve"> </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352796">
        <w:tc>
          <w:tcPr>
            <w:tcW w:w="851" w:type="dxa"/>
            <w:vAlign w:val="center"/>
          </w:tcPr>
          <w:p w:rsidR="00352796" w:rsidRDefault="00EB154B">
            <w:pPr>
              <w:jc w:val="center"/>
            </w:pPr>
            <w:r>
              <w:rPr>
                <w:rFonts w:eastAsiaTheme="minorEastAsia"/>
                <w:color w:val="000000" w:themeColor="text1"/>
              </w:rPr>
              <w:t>雷杨娟</w:t>
            </w:r>
          </w:p>
        </w:tc>
        <w:tc>
          <w:tcPr>
            <w:tcW w:w="850" w:type="dxa"/>
            <w:vAlign w:val="center"/>
          </w:tcPr>
          <w:p w:rsidR="00352796" w:rsidRDefault="00EB154B">
            <w:pPr>
              <w:jc w:val="center"/>
            </w:pPr>
            <w:r>
              <w:rPr>
                <w:rFonts w:eastAsiaTheme="minorEastAsia"/>
                <w:color w:val="000000" w:themeColor="text1"/>
              </w:rPr>
              <w:t>本基金基金经理</w:t>
            </w:r>
          </w:p>
        </w:tc>
        <w:tc>
          <w:tcPr>
            <w:tcW w:w="1560" w:type="dxa"/>
            <w:vAlign w:val="center"/>
          </w:tcPr>
          <w:p w:rsidR="00352796" w:rsidRDefault="00EB154B">
            <w:pPr>
              <w:jc w:val="center"/>
            </w:pPr>
            <w:r>
              <w:rPr>
                <w:rFonts w:eastAsiaTheme="minorEastAsia"/>
                <w:color w:val="000000" w:themeColor="text1"/>
              </w:rPr>
              <w:t>2020-08-14</w:t>
            </w:r>
          </w:p>
        </w:tc>
        <w:tc>
          <w:tcPr>
            <w:tcW w:w="1559" w:type="dxa"/>
            <w:vAlign w:val="center"/>
          </w:tcPr>
          <w:p w:rsidR="00352796" w:rsidRDefault="00EB154B">
            <w:pPr>
              <w:jc w:val="center"/>
            </w:pPr>
            <w:r>
              <w:rPr>
                <w:rFonts w:eastAsiaTheme="minorEastAsia"/>
                <w:color w:val="000000" w:themeColor="text1"/>
              </w:rPr>
              <w:t>-</w:t>
            </w:r>
          </w:p>
        </w:tc>
        <w:tc>
          <w:tcPr>
            <w:tcW w:w="1417" w:type="dxa"/>
            <w:vAlign w:val="center"/>
          </w:tcPr>
          <w:p w:rsidR="00352796" w:rsidRDefault="00EB154B">
            <w:pPr>
              <w:jc w:val="center"/>
            </w:pPr>
            <w:r>
              <w:rPr>
                <w:rFonts w:eastAsiaTheme="minorEastAsia"/>
                <w:color w:val="000000" w:themeColor="text1"/>
              </w:rPr>
              <w:t>18</w:t>
            </w:r>
            <w:r>
              <w:rPr>
                <w:rFonts w:eastAsiaTheme="minorEastAsia"/>
                <w:color w:val="000000" w:themeColor="text1"/>
              </w:rPr>
              <w:t>年</w:t>
            </w:r>
          </w:p>
        </w:tc>
        <w:tc>
          <w:tcPr>
            <w:tcW w:w="2694" w:type="dxa"/>
            <w:vAlign w:val="center"/>
          </w:tcPr>
          <w:p w:rsidR="00352796" w:rsidRDefault="00EB154B">
            <w:r>
              <w:rPr>
                <w:rFonts w:eastAsiaTheme="minorEastAsia"/>
                <w:color w:val="000000" w:themeColor="text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rPr>
              <w:t>2017</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月起加入摩根基金管理（中国）有限公司（原上投摩根基金管理有限公司），历任专户投资二部副总监兼资深投资经理，现任债券投资部副总监兼</w:t>
            </w:r>
            <w:r>
              <w:rPr>
                <w:rFonts w:eastAsiaTheme="minorEastAsia"/>
                <w:color w:val="000000" w:themeColor="text1"/>
              </w:rPr>
              <w:lastRenderedPageBreak/>
              <w:t>资深基金经理。</w:t>
            </w:r>
          </w:p>
        </w:tc>
      </w:tr>
    </w:tbl>
    <w:p w:rsidR="00352796" w:rsidRDefault="00EB154B">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352796" w:rsidRDefault="00EB154B">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52796" w:rsidRDefault="00EB154B">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352796" w:rsidRDefault="00EB154B">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lastRenderedPageBreak/>
        <w:t>4.4.1</w:t>
      </w:r>
      <w:r w:rsidRPr="00FF6B9A">
        <w:rPr>
          <w:rFonts w:eastAsiaTheme="minorEastAsia"/>
          <w:color w:val="000000" w:themeColor="text1"/>
          <w:sz w:val="24"/>
          <w:szCs w:val="24"/>
        </w:rPr>
        <w:t>报告期内基金投资策略和运作分析</w:t>
      </w:r>
    </w:p>
    <w:p w:rsidR="00352796" w:rsidRDefault="00EB154B">
      <w:pPr>
        <w:spacing w:line="360" w:lineRule="auto"/>
        <w:ind w:firstLineChars="200" w:firstLine="420"/>
        <w:rPr>
          <w:rFonts w:eastAsiaTheme="minorEastAsia"/>
          <w:color w:val="000000" w:themeColor="text1"/>
        </w:rPr>
      </w:pPr>
      <w:r>
        <w:rPr>
          <w:rFonts w:eastAsiaTheme="minorEastAsia"/>
          <w:color w:val="000000" w:themeColor="text1"/>
        </w:rPr>
        <w:t>2024</w:t>
      </w:r>
      <w:r>
        <w:rPr>
          <w:rFonts w:eastAsiaTheme="minorEastAsia"/>
          <w:color w:val="000000" w:themeColor="text1"/>
        </w:rPr>
        <w:t>年第二季度，国内经济延续了</w:t>
      </w:r>
      <w:r>
        <w:rPr>
          <w:rFonts w:eastAsiaTheme="minorEastAsia"/>
          <w:color w:val="000000" w:themeColor="text1"/>
        </w:rPr>
        <w:t>2023</w:t>
      </w:r>
      <w:r>
        <w:rPr>
          <w:rFonts w:eastAsiaTheme="minorEastAsia"/>
          <w:color w:val="000000" w:themeColor="text1"/>
        </w:rPr>
        <w:t>年第四季度以来的缓慢复苏趋势，宏观经济数据在结构上也延续了</w:t>
      </w:r>
      <w:r>
        <w:rPr>
          <w:rFonts w:eastAsiaTheme="minorEastAsia"/>
          <w:color w:val="000000" w:themeColor="text1"/>
        </w:rPr>
        <w:t>2024</w:t>
      </w:r>
      <w:r>
        <w:rPr>
          <w:rFonts w:eastAsiaTheme="minorEastAsia"/>
          <w:color w:val="000000" w:themeColor="text1"/>
        </w:rPr>
        <w:t>年第一季度以来的态势。根据最新公布的</w:t>
      </w:r>
      <w:r>
        <w:rPr>
          <w:rFonts w:eastAsiaTheme="minorEastAsia"/>
          <w:color w:val="000000" w:themeColor="text1"/>
        </w:rPr>
        <w:t>5</w:t>
      </w:r>
      <w:r>
        <w:rPr>
          <w:rFonts w:eastAsiaTheme="minorEastAsia"/>
          <w:color w:val="000000" w:themeColor="text1"/>
        </w:rPr>
        <w:t>月宏观经济数据，数据分项略呈分化态势。出口、</w:t>
      </w:r>
      <w:r>
        <w:rPr>
          <w:rFonts w:eastAsiaTheme="minorEastAsia"/>
          <w:color w:val="000000" w:themeColor="text1"/>
        </w:rPr>
        <w:t>PPI</w:t>
      </w:r>
      <w:r>
        <w:rPr>
          <w:rFonts w:eastAsiaTheme="minorEastAsia"/>
          <w:color w:val="000000" w:themeColor="text1"/>
        </w:rPr>
        <w:t>增速反弹，消费增速有所反弹但读数仍低且弱于预期；工业生产、基建投资回落，地产跌幅扩大，工业企业利润增速回落，信贷社融超季节性走弱，中国制造业采购经理指数</w:t>
      </w:r>
      <w:r>
        <w:rPr>
          <w:rFonts w:eastAsiaTheme="minorEastAsia"/>
          <w:color w:val="000000" w:themeColor="text1"/>
        </w:rPr>
        <w:t>(PMI)</w:t>
      </w:r>
      <w:r>
        <w:rPr>
          <w:rFonts w:eastAsiaTheme="minorEastAsia"/>
          <w:color w:val="000000" w:themeColor="text1"/>
        </w:rPr>
        <w:t>重回荣枯线下，核心消费价格指数（核心</w:t>
      </w:r>
      <w:r>
        <w:rPr>
          <w:rFonts w:eastAsiaTheme="minorEastAsia"/>
          <w:color w:val="000000" w:themeColor="text1"/>
        </w:rPr>
        <w:t>CPI</w:t>
      </w:r>
      <w:r>
        <w:rPr>
          <w:rFonts w:eastAsiaTheme="minorEastAsia"/>
          <w:color w:val="000000" w:themeColor="text1"/>
        </w:rPr>
        <w:t>）同比续创同期新低。</w:t>
      </w:r>
    </w:p>
    <w:p w:rsidR="00352796" w:rsidRDefault="00EB154B">
      <w:pPr>
        <w:spacing w:line="360" w:lineRule="auto"/>
        <w:ind w:firstLineChars="200" w:firstLine="420"/>
        <w:rPr>
          <w:rFonts w:eastAsiaTheme="minorEastAsia"/>
          <w:color w:val="000000" w:themeColor="text1"/>
        </w:rPr>
      </w:pPr>
      <w:r>
        <w:rPr>
          <w:rFonts w:eastAsiaTheme="minorEastAsia"/>
          <w:color w:val="000000" w:themeColor="text1"/>
        </w:rPr>
        <w:t>货币政策上，第二季度央行公开市场通过隔夜回购和中期借贷便利（</w:t>
      </w:r>
      <w:r>
        <w:rPr>
          <w:rFonts w:eastAsiaTheme="minorEastAsia"/>
          <w:color w:val="000000" w:themeColor="text1"/>
        </w:rPr>
        <w:t>MLF</w:t>
      </w:r>
      <w:r>
        <w:rPr>
          <w:rFonts w:eastAsiaTheme="minorEastAsia"/>
          <w:color w:val="000000" w:themeColor="text1"/>
        </w:rPr>
        <w:t>）分别净回笼</w:t>
      </w:r>
      <w:r>
        <w:rPr>
          <w:rFonts w:eastAsiaTheme="minorEastAsia"/>
          <w:color w:val="000000" w:themeColor="text1"/>
        </w:rPr>
        <w:t>1000</w:t>
      </w:r>
      <w:r>
        <w:rPr>
          <w:rFonts w:eastAsiaTheme="minorEastAsia"/>
          <w:color w:val="000000" w:themeColor="text1"/>
        </w:rPr>
        <w:t>亿元</w:t>
      </w:r>
      <w:r>
        <w:rPr>
          <w:rFonts w:eastAsiaTheme="minorEastAsia"/>
          <w:color w:val="000000" w:themeColor="text1"/>
        </w:rPr>
        <w:t>和</w:t>
      </w:r>
      <w:r>
        <w:rPr>
          <w:rFonts w:eastAsiaTheme="minorEastAsia"/>
          <w:color w:val="000000" w:themeColor="text1"/>
        </w:rPr>
        <w:t>1250</w:t>
      </w:r>
      <w:r>
        <w:rPr>
          <w:rFonts w:eastAsiaTheme="minorEastAsia"/>
          <w:color w:val="000000" w:themeColor="text1"/>
        </w:rPr>
        <w:t>亿元。银行间市场流动性保持充裕，价格保持低位。非银机构流动性充裕程度上升，</w:t>
      </w:r>
      <w:r>
        <w:rPr>
          <w:rFonts w:eastAsiaTheme="minorEastAsia"/>
          <w:color w:val="000000" w:themeColor="text1"/>
        </w:rPr>
        <w:t>R001</w:t>
      </w:r>
      <w:r>
        <w:rPr>
          <w:rFonts w:eastAsiaTheme="minorEastAsia"/>
          <w:color w:val="000000" w:themeColor="text1"/>
        </w:rPr>
        <w:t>和</w:t>
      </w:r>
      <w:r>
        <w:rPr>
          <w:rFonts w:eastAsiaTheme="minorEastAsia"/>
          <w:color w:val="000000" w:themeColor="text1"/>
        </w:rPr>
        <w:t>R007</w:t>
      </w:r>
      <w:r>
        <w:rPr>
          <w:rFonts w:eastAsiaTheme="minorEastAsia"/>
          <w:color w:val="000000" w:themeColor="text1"/>
        </w:rPr>
        <w:t>均值较第一季度分别下行</w:t>
      </w:r>
      <w:r>
        <w:rPr>
          <w:rFonts w:eastAsiaTheme="minorEastAsia"/>
          <w:color w:val="000000" w:themeColor="text1"/>
        </w:rPr>
        <w:t>0.7bp</w:t>
      </w:r>
      <w:r>
        <w:rPr>
          <w:rFonts w:eastAsiaTheme="minorEastAsia"/>
          <w:color w:val="000000" w:themeColor="text1"/>
        </w:rPr>
        <w:t>和</w:t>
      </w:r>
      <w:r>
        <w:rPr>
          <w:rFonts w:eastAsiaTheme="minorEastAsia"/>
          <w:color w:val="000000" w:themeColor="text1"/>
        </w:rPr>
        <w:t>19bp</w:t>
      </w:r>
      <w:r>
        <w:rPr>
          <w:rFonts w:eastAsiaTheme="minorEastAsia"/>
          <w:color w:val="000000" w:themeColor="text1"/>
        </w:rPr>
        <w:t>，银行机构间资金价格略有上行，</w:t>
      </w:r>
      <w:r>
        <w:rPr>
          <w:rFonts w:eastAsiaTheme="minorEastAsia"/>
          <w:color w:val="000000" w:themeColor="text1"/>
        </w:rPr>
        <w:t>DR001</w:t>
      </w:r>
      <w:r>
        <w:rPr>
          <w:rFonts w:eastAsiaTheme="minorEastAsia"/>
          <w:color w:val="000000" w:themeColor="text1"/>
        </w:rPr>
        <w:t>和</w:t>
      </w:r>
      <w:r>
        <w:rPr>
          <w:rFonts w:eastAsiaTheme="minorEastAsia"/>
          <w:color w:val="000000" w:themeColor="text1"/>
        </w:rPr>
        <w:t>DR007</w:t>
      </w:r>
      <w:r>
        <w:rPr>
          <w:rFonts w:eastAsiaTheme="minorEastAsia"/>
          <w:color w:val="000000" w:themeColor="text1"/>
        </w:rPr>
        <w:t>均值分别较第一季度上行</w:t>
      </w:r>
      <w:r>
        <w:rPr>
          <w:rFonts w:eastAsiaTheme="minorEastAsia"/>
          <w:color w:val="000000" w:themeColor="text1"/>
        </w:rPr>
        <w:t>6.8bp</w:t>
      </w:r>
      <w:r>
        <w:rPr>
          <w:rFonts w:eastAsiaTheme="minorEastAsia"/>
          <w:color w:val="000000" w:themeColor="text1"/>
        </w:rPr>
        <w:t>和</w:t>
      </w:r>
      <w:r>
        <w:rPr>
          <w:rFonts w:eastAsiaTheme="minorEastAsia"/>
          <w:color w:val="000000" w:themeColor="text1"/>
        </w:rPr>
        <w:t>0.4bp</w:t>
      </w:r>
      <w:r>
        <w:rPr>
          <w:rFonts w:eastAsiaTheme="minorEastAsia"/>
          <w:color w:val="000000" w:themeColor="text1"/>
        </w:rPr>
        <w:t>。银行间市场资金分层的程度进一步下降。</w:t>
      </w:r>
    </w:p>
    <w:p w:rsidR="00352796" w:rsidRDefault="00EB154B">
      <w:pPr>
        <w:spacing w:line="360" w:lineRule="auto"/>
        <w:ind w:firstLineChars="200" w:firstLine="420"/>
        <w:rPr>
          <w:rFonts w:eastAsiaTheme="minorEastAsia"/>
          <w:color w:val="000000" w:themeColor="text1"/>
        </w:rPr>
      </w:pPr>
      <w:r>
        <w:rPr>
          <w:rFonts w:eastAsiaTheme="minorEastAsia"/>
          <w:color w:val="000000" w:themeColor="text1"/>
        </w:rPr>
        <w:t>国际经济方面，各国央行货币政策的紧缩程度有所分化，瑞士央行</w:t>
      </w:r>
      <w:r>
        <w:rPr>
          <w:rFonts w:eastAsiaTheme="minorEastAsia"/>
          <w:color w:val="000000" w:themeColor="text1"/>
        </w:rPr>
        <w:t>6</w:t>
      </w:r>
      <w:r>
        <w:rPr>
          <w:rFonts w:eastAsiaTheme="minorEastAsia"/>
          <w:color w:val="000000" w:themeColor="text1"/>
        </w:rPr>
        <w:t>月宣布第二次降息，降息幅度为</w:t>
      </w:r>
      <w:r>
        <w:rPr>
          <w:rFonts w:eastAsiaTheme="minorEastAsia"/>
          <w:color w:val="000000" w:themeColor="text1"/>
        </w:rPr>
        <w:t>25bp</w:t>
      </w:r>
      <w:r>
        <w:rPr>
          <w:rFonts w:eastAsiaTheme="minorEastAsia"/>
          <w:color w:val="000000" w:themeColor="text1"/>
        </w:rPr>
        <w:t>；欧洲央行</w:t>
      </w:r>
      <w:r>
        <w:rPr>
          <w:rFonts w:eastAsiaTheme="minorEastAsia"/>
          <w:color w:val="000000" w:themeColor="text1"/>
        </w:rPr>
        <w:t>6</w:t>
      </w:r>
      <w:r>
        <w:rPr>
          <w:rFonts w:eastAsiaTheme="minorEastAsia"/>
          <w:color w:val="000000" w:themeColor="text1"/>
        </w:rPr>
        <w:t>月也宣布降息</w:t>
      </w:r>
      <w:r>
        <w:rPr>
          <w:rFonts w:eastAsiaTheme="minorEastAsia"/>
          <w:color w:val="000000" w:themeColor="text1"/>
        </w:rPr>
        <w:t>25bp</w:t>
      </w:r>
      <w:r>
        <w:rPr>
          <w:rFonts w:eastAsiaTheme="minorEastAsia"/>
          <w:color w:val="000000" w:themeColor="text1"/>
        </w:rPr>
        <w:t>，这是欧洲央行自</w:t>
      </w:r>
      <w:r>
        <w:rPr>
          <w:rFonts w:eastAsiaTheme="minorEastAsia"/>
          <w:color w:val="000000" w:themeColor="text1"/>
        </w:rPr>
        <w:t>2019</w:t>
      </w:r>
      <w:r>
        <w:rPr>
          <w:rFonts w:eastAsiaTheme="minorEastAsia"/>
          <w:color w:val="000000" w:themeColor="text1"/>
        </w:rPr>
        <w:t>年以来</w:t>
      </w:r>
      <w:r>
        <w:rPr>
          <w:rFonts w:eastAsiaTheme="minorEastAsia"/>
          <w:color w:val="000000" w:themeColor="text1"/>
        </w:rPr>
        <w:t>5</w:t>
      </w:r>
      <w:r>
        <w:rPr>
          <w:rFonts w:eastAsiaTheme="minorEastAsia"/>
          <w:color w:val="000000" w:themeColor="text1"/>
        </w:rPr>
        <w:t>年内的第一次降息；但美联储的降息预期不断延迟，根据</w:t>
      </w:r>
      <w:r>
        <w:rPr>
          <w:rFonts w:eastAsiaTheme="minorEastAsia"/>
          <w:color w:val="000000" w:themeColor="text1"/>
        </w:rPr>
        <w:t>6</w:t>
      </w:r>
      <w:r>
        <w:rPr>
          <w:rFonts w:eastAsiaTheme="minorEastAsia"/>
          <w:color w:val="000000" w:themeColor="text1"/>
        </w:rPr>
        <w:t>月份公布的预测中值，</w:t>
      </w:r>
      <w:r>
        <w:rPr>
          <w:rFonts w:eastAsiaTheme="minorEastAsia"/>
          <w:color w:val="000000" w:themeColor="text1"/>
        </w:rPr>
        <w:t>美联储官员预计今年将降息一次。截至第二季度末，美国</w:t>
      </w:r>
      <w:r>
        <w:rPr>
          <w:rFonts w:eastAsiaTheme="minorEastAsia"/>
          <w:color w:val="000000" w:themeColor="text1"/>
        </w:rPr>
        <w:t>10</w:t>
      </w:r>
      <w:r>
        <w:rPr>
          <w:rFonts w:eastAsiaTheme="minorEastAsia"/>
          <w:color w:val="000000" w:themeColor="text1"/>
        </w:rPr>
        <w:t>年国债收益率较第一季度末略有上行，上行幅度约</w:t>
      </w:r>
      <w:r>
        <w:rPr>
          <w:rFonts w:eastAsiaTheme="minorEastAsia"/>
          <w:color w:val="000000" w:themeColor="text1"/>
        </w:rPr>
        <w:t>17bp</w:t>
      </w:r>
      <w:r>
        <w:rPr>
          <w:rFonts w:eastAsiaTheme="minorEastAsia"/>
          <w:color w:val="000000" w:themeColor="text1"/>
        </w:rPr>
        <w:t>。根据</w:t>
      </w:r>
      <w:r>
        <w:rPr>
          <w:rFonts w:eastAsiaTheme="minorEastAsia"/>
          <w:color w:val="000000" w:themeColor="text1"/>
        </w:rPr>
        <w:t>CFETS</w:t>
      </w:r>
      <w:r>
        <w:rPr>
          <w:rFonts w:eastAsiaTheme="minorEastAsia"/>
          <w:color w:val="000000" w:themeColor="text1"/>
        </w:rPr>
        <w:t>数据，</w:t>
      </w:r>
      <w:r>
        <w:rPr>
          <w:rFonts w:eastAsiaTheme="minorEastAsia"/>
          <w:color w:val="000000" w:themeColor="text1"/>
        </w:rPr>
        <w:t>6</w:t>
      </w:r>
      <w:r>
        <w:rPr>
          <w:rFonts w:eastAsiaTheme="minorEastAsia"/>
          <w:color w:val="000000" w:themeColor="text1"/>
        </w:rPr>
        <w:t>月末，美元人民币即期汇率收于</w:t>
      </w:r>
      <w:r>
        <w:rPr>
          <w:rFonts w:eastAsiaTheme="minorEastAsia"/>
          <w:color w:val="000000" w:themeColor="text1"/>
        </w:rPr>
        <w:t>7.2659</w:t>
      </w:r>
      <w:r>
        <w:rPr>
          <w:rFonts w:eastAsiaTheme="minorEastAsia"/>
          <w:color w:val="000000" w:themeColor="text1"/>
        </w:rPr>
        <w:t>，较</w:t>
      </w:r>
      <w:r>
        <w:rPr>
          <w:rFonts w:eastAsiaTheme="minorEastAsia"/>
          <w:color w:val="000000" w:themeColor="text1"/>
        </w:rPr>
        <w:t>3</w:t>
      </w:r>
      <w:r>
        <w:rPr>
          <w:rFonts w:eastAsiaTheme="minorEastAsia"/>
          <w:color w:val="000000" w:themeColor="text1"/>
        </w:rPr>
        <w:t>月末的收盘价</w:t>
      </w:r>
      <w:r>
        <w:rPr>
          <w:rFonts w:eastAsiaTheme="minorEastAsia"/>
          <w:color w:val="000000" w:themeColor="text1"/>
        </w:rPr>
        <w:t>7.2232</w:t>
      </w:r>
      <w:r>
        <w:rPr>
          <w:rFonts w:eastAsiaTheme="minorEastAsia"/>
          <w:color w:val="000000" w:themeColor="text1"/>
        </w:rPr>
        <w:t>略有上行。</w:t>
      </w:r>
    </w:p>
    <w:p w:rsidR="00352796" w:rsidRDefault="00EB154B">
      <w:pPr>
        <w:spacing w:line="360" w:lineRule="auto"/>
        <w:ind w:firstLineChars="200" w:firstLine="420"/>
        <w:rPr>
          <w:rFonts w:eastAsiaTheme="minorEastAsia"/>
          <w:color w:val="000000" w:themeColor="text1"/>
        </w:rPr>
      </w:pPr>
      <w:r>
        <w:rPr>
          <w:rFonts w:eastAsiaTheme="minorEastAsia"/>
          <w:color w:val="000000" w:themeColor="text1"/>
        </w:rPr>
        <w:t>第二季度，受流动性宽松和债券供给量未能如期迅速上升的影响，债券收益率依旧延续了第一季度的下行趋势。仅在</w:t>
      </w:r>
      <w:r>
        <w:rPr>
          <w:rFonts w:eastAsiaTheme="minorEastAsia"/>
          <w:color w:val="000000" w:themeColor="text1"/>
        </w:rPr>
        <w:t>4</w:t>
      </w:r>
      <w:r>
        <w:rPr>
          <w:rFonts w:eastAsiaTheme="minorEastAsia"/>
          <w:color w:val="000000" w:themeColor="text1"/>
        </w:rPr>
        <w:t>月中下旬，受当时市场预期债券供给量会迅速上升的影响，收益率略有回调，</w:t>
      </w:r>
      <w:r>
        <w:rPr>
          <w:rFonts w:eastAsiaTheme="minorEastAsia"/>
          <w:color w:val="000000" w:themeColor="text1"/>
        </w:rPr>
        <w:t>10</w:t>
      </w:r>
      <w:r>
        <w:rPr>
          <w:rFonts w:eastAsiaTheme="minorEastAsia"/>
          <w:color w:val="000000" w:themeColor="text1"/>
        </w:rPr>
        <w:t>年国债和</w:t>
      </w:r>
      <w:r>
        <w:rPr>
          <w:rFonts w:eastAsiaTheme="minorEastAsia"/>
          <w:color w:val="000000" w:themeColor="text1"/>
        </w:rPr>
        <w:t>10</w:t>
      </w:r>
      <w:r>
        <w:rPr>
          <w:rFonts w:eastAsiaTheme="minorEastAsia"/>
          <w:color w:val="000000" w:themeColor="text1"/>
        </w:rPr>
        <w:t>年国开债较截至当时的年内最低点分别上行</w:t>
      </w:r>
      <w:r>
        <w:rPr>
          <w:rFonts w:eastAsiaTheme="minorEastAsia"/>
          <w:color w:val="000000" w:themeColor="text1"/>
        </w:rPr>
        <w:t>12bp</w:t>
      </w:r>
      <w:r>
        <w:rPr>
          <w:rFonts w:eastAsiaTheme="minorEastAsia"/>
          <w:color w:val="000000" w:themeColor="text1"/>
        </w:rPr>
        <w:t>和</w:t>
      </w:r>
      <w:r>
        <w:rPr>
          <w:rFonts w:eastAsiaTheme="minorEastAsia"/>
          <w:color w:val="000000" w:themeColor="text1"/>
        </w:rPr>
        <w:t>16bp</w:t>
      </w:r>
      <w:r>
        <w:rPr>
          <w:rFonts w:eastAsiaTheme="minorEastAsia"/>
          <w:color w:val="000000" w:themeColor="text1"/>
        </w:rPr>
        <w:t>。但随着市场对债券供给量预期的调整，收益率又迅速重回下行</w:t>
      </w:r>
      <w:r>
        <w:rPr>
          <w:rFonts w:eastAsiaTheme="minorEastAsia"/>
          <w:color w:val="000000" w:themeColor="text1"/>
        </w:rPr>
        <w:t>趋势，并在</w:t>
      </w:r>
      <w:r>
        <w:rPr>
          <w:rFonts w:eastAsiaTheme="minorEastAsia"/>
          <w:color w:val="000000" w:themeColor="text1"/>
        </w:rPr>
        <w:t>6</w:t>
      </w:r>
      <w:r>
        <w:rPr>
          <w:rFonts w:eastAsiaTheme="minorEastAsia"/>
          <w:color w:val="000000" w:themeColor="text1"/>
        </w:rPr>
        <w:t>月底刷新历史前低。截至第二季度末，</w:t>
      </w:r>
      <w:r>
        <w:rPr>
          <w:rFonts w:eastAsiaTheme="minorEastAsia"/>
          <w:color w:val="000000" w:themeColor="text1"/>
        </w:rPr>
        <w:t>10</w:t>
      </w:r>
      <w:r>
        <w:rPr>
          <w:rFonts w:eastAsiaTheme="minorEastAsia"/>
          <w:color w:val="000000" w:themeColor="text1"/>
        </w:rPr>
        <w:t>年国债和</w:t>
      </w:r>
      <w:r>
        <w:rPr>
          <w:rFonts w:eastAsiaTheme="minorEastAsia"/>
          <w:color w:val="000000" w:themeColor="text1"/>
        </w:rPr>
        <w:t>10</w:t>
      </w:r>
      <w:r>
        <w:rPr>
          <w:rFonts w:eastAsiaTheme="minorEastAsia"/>
          <w:color w:val="000000" w:themeColor="text1"/>
        </w:rPr>
        <w:t>年国开债收益率分别较第一季度末下行</w:t>
      </w:r>
      <w:r>
        <w:rPr>
          <w:rFonts w:eastAsiaTheme="minorEastAsia"/>
          <w:color w:val="000000" w:themeColor="text1"/>
        </w:rPr>
        <w:t>8bp</w:t>
      </w:r>
      <w:r>
        <w:rPr>
          <w:rFonts w:eastAsiaTheme="minorEastAsia"/>
          <w:color w:val="000000" w:themeColor="text1"/>
        </w:rPr>
        <w:t>和</w:t>
      </w:r>
      <w:r>
        <w:rPr>
          <w:rFonts w:eastAsiaTheme="minorEastAsia"/>
          <w:color w:val="000000" w:themeColor="text1"/>
        </w:rPr>
        <w:t>12bp</w:t>
      </w:r>
      <w:r>
        <w:rPr>
          <w:rFonts w:eastAsiaTheme="minorEastAsia"/>
          <w:color w:val="000000" w:themeColor="text1"/>
        </w:rPr>
        <w:t>，至</w:t>
      </w:r>
      <w:r>
        <w:rPr>
          <w:rFonts w:eastAsiaTheme="minorEastAsia"/>
          <w:color w:val="000000" w:themeColor="text1"/>
        </w:rPr>
        <w:t>2.21%</w:t>
      </w:r>
      <w:r>
        <w:rPr>
          <w:rFonts w:eastAsiaTheme="minorEastAsia"/>
          <w:color w:val="000000" w:themeColor="text1"/>
        </w:rPr>
        <w:t>和</w:t>
      </w:r>
      <w:r>
        <w:rPr>
          <w:rFonts w:eastAsiaTheme="minorEastAsia"/>
          <w:color w:val="000000" w:themeColor="text1"/>
        </w:rPr>
        <w:t>2.29%</w:t>
      </w:r>
      <w:r>
        <w:rPr>
          <w:rFonts w:eastAsiaTheme="minorEastAsia"/>
          <w:color w:val="000000" w:themeColor="text1"/>
        </w:rPr>
        <w:t>，这是自</w:t>
      </w:r>
      <w:r>
        <w:rPr>
          <w:rFonts w:eastAsiaTheme="minorEastAsia"/>
          <w:color w:val="000000" w:themeColor="text1"/>
        </w:rPr>
        <w:t>2004</w:t>
      </w:r>
      <w:r>
        <w:rPr>
          <w:rFonts w:eastAsiaTheme="minorEastAsia"/>
          <w:color w:val="000000" w:themeColor="text1"/>
        </w:rPr>
        <w:t>年以来，</w:t>
      </w:r>
      <w:r>
        <w:rPr>
          <w:rFonts w:eastAsiaTheme="minorEastAsia"/>
          <w:color w:val="000000" w:themeColor="text1"/>
        </w:rPr>
        <w:t>10</w:t>
      </w:r>
      <w:r>
        <w:rPr>
          <w:rFonts w:eastAsiaTheme="minorEastAsia"/>
          <w:color w:val="000000" w:themeColor="text1"/>
        </w:rPr>
        <w:t>年国债和</w:t>
      </w:r>
      <w:r>
        <w:rPr>
          <w:rFonts w:eastAsiaTheme="minorEastAsia"/>
          <w:color w:val="000000" w:themeColor="text1"/>
        </w:rPr>
        <w:t>10</w:t>
      </w:r>
      <w:r>
        <w:rPr>
          <w:rFonts w:eastAsiaTheme="minorEastAsia"/>
          <w:color w:val="000000" w:themeColor="text1"/>
        </w:rPr>
        <w:t>年国开债收益率的最低水平。</w:t>
      </w:r>
    </w:p>
    <w:p w:rsidR="00352796" w:rsidRDefault="00EB154B">
      <w:pPr>
        <w:spacing w:line="360" w:lineRule="auto"/>
        <w:ind w:firstLineChars="200" w:firstLine="420"/>
        <w:rPr>
          <w:rFonts w:eastAsiaTheme="minorEastAsia"/>
          <w:color w:val="000000" w:themeColor="text1"/>
        </w:rPr>
      </w:pPr>
      <w:r>
        <w:rPr>
          <w:rFonts w:eastAsiaTheme="minorEastAsia"/>
          <w:color w:val="000000" w:themeColor="text1"/>
        </w:rPr>
        <w:t>第二季度，本基金保持杠杆水平，并提前借入长期资金，尽力避开了</w:t>
      </w:r>
      <w:r>
        <w:rPr>
          <w:rFonts w:eastAsiaTheme="minorEastAsia"/>
          <w:color w:val="000000" w:themeColor="text1"/>
        </w:rPr>
        <w:t>6</w:t>
      </w:r>
      <w:r>
        <w:rPr>
          <w:rFonts w:eastAsiaTheme="minorEastAsia"/>
          <w:color w:val="000000" w:themeColor="text1"/>
        </w:rPr>
        <w:t>月中下旬资金价格上涨阶段，有效降低了融资成本。</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展望第三季度，债券市场多空因素交织。国内流动性预计保持宽松，宏观经济数据整体维持缓慢的弱复苏态势，结构数据可能继续分化。此外，下半年美国大选可能对我国上半年以来维持强劲的出口数据带来不确定性，美联储降息的临近则可能为我国实行进一步宽松的货币政策提供更有利的外部环境。但同时，随着债券收益率低位快速下行，我国央行出手维</w:t>
      </w:r>
      <w:r w:rsidRPr="00FF6B9A">
        <w:rPr>
          <w:rFonts w:eastAsiaTheme="minorEastAsia"/>
          <w:color w:val="000000" w:themeColor="text1"/>
        </w:rPr>
        <w:lastRenderedPageBreak/>
        <w:t>护债市平稳运行的可能性在不断上升，而且第三季度可能迎来债券发行的高峰期，债券供给不足的问题可能将有所缓解。因此，预计债券收益率仍将处于长期下行通道，但短期调整压力在抬升，组合操作策略上维持杠杆水平，合理安排融资期限，控制融资成本。</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本报告期摩根瑞盛</w:t>
      </w:r>
      <w:r w:rsidRPr="00FF6B9A">
        <w:rPr>
          <w:rFonts w:eastAsiaTheme="minorEastAsia"/>
          <w:color w:val="000000" w:themeColor="text1"/>
        </w:rPr>
        <w:t>87</w:t>
      </w:r>
      <w:r w:rsidRPr="00FF6B9A">
        <w:rPr>
          <w:rFonts w:eastAsiaTheme="minorEastAsia"/>
          <w:color w:val="000000" w:themeColor="text1"/>
        </w:rPr>
        <w:t>个月份额净值增长率为</w:t>
      </w:r>
      <w:r w:rsidRPr="00FF6B9A">
        <w:rPr>
          <w:rFonts w:eastAsiaTheme="minorEastAsia"/>
          <w:color w:val="000000" w:themeColor="text1"/>
        </w:rPr>
        <w:t>:1.02%</w:t>
      </w:r>
      <w:r w:rsidRPr="00FF6B9A">
        <w:rPr>
          <w:rFonts w:eastAsiaTheme="minorEastAsia"/>
          <w:color w:val="000000" w:themeColor="text1"/>
        </w:rPr>
        <w:t>，同期业绩比较基准收益率为</w:t>
      </w:r>
      <w:r w:rsidRPr="00FF6B9A">
        <w:rPr>
          <w:rFonts w:eastAsiaTheme="minorEastAsia"/>
          <w:color w:val="000000" w:themeColor="text1"/>
        </w:rPr>
        <w:t>:1.01%</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13,730,449,568.30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98.48</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13,730,449,568.30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98.48</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212,018,611.13</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1.52</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13,942,468,179.43</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autoSpaceDE w:val="0"/>
        <w:autoSpaceDN w:val="0"/>
        <w:adjustRightInd w:val="0"/>
        <w:spacing w:line="360" w:lineRule="auto"/>
        <w:jc w:val="left"/>
        <w:rPr>
          <w:rFonts w:eastAsiaTheme="minorEastAsia"/>
          <w:color w:val="000000" w:themeColor="text1"/>
        </w:rPr>
      </w:pPr>
      <w:bookmarkStart w:id="0" w:name="_GoBack"/>
      <w:bookmarkEnd w:id="0"/>
      <w:r w:rsidRPr="00FF6B9A">
        <w:rPr>
          <w:rFonts w:eastAsiaTheme="minorEastAsia"/>
          <w:color w:val="000000" w:themeColor="text1"/>
        </w:rPr>
        <w:lastRenderedPageBreak/>
        <w:t>本基金本报告期末未持有股票。</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p w:rsidR="00FF6B9A" w:rsidRPr="00FF6B9A" w:rsidRDefault="00FF6B9A" w:rsidP="00FF6B9A">
      <w:pPr>
        <w:spacing w:line="360" w:lineRule="auto"/>
        <w:ind w:firstLineChars="200" w:firstLine="480"/>
        <w:rPr>
          <w:rFonts w:eastAsiaTheme="minorEastAsia"/>
          <w:sz w:val="24"/>
          <w:szCs w:val="24"/>
        </w:rPr>
      </w:pPr>
      <w:r w:rsidRPr="00FF6B9A">
        <w:rPr>
          <w:rFonts w:eastAsiaTheme="minorEastAsia"/>
          <w:sz w:val="24"/>
          <w:szCs w:val="24"/>
        </w:rPr>
        <w:t>本基金本报告期末未持有股票。</w:t>
      </w:r>
    </w:p>
    <w:bookmarkEnd w:id="1"/>
    <w:p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10,588,456,718.00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122.82</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10,588,456,718.00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122.82</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3,141,992,850.30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36.44</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13,730,449,568.30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159.26</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352796">
        <w:tc>
          <w:tcPr>
            <w:tcW w:w="1252" w:type="dxa"/>
            <w:vAlign w:val="center"/>
          </w:tcPr>
          <w:p w:rsidR="00352796" w:rsidRDefault="00EB154B">
            <w:pPr>
              <w:jc w:val="center"/>
            </w:pPr>
            <w:r>
              <w:rPr>
                <w:rFonts w:eastAsiaTheme="minorEastAsia"/>
                <w:color w:val="000000" w:themeColor="text1"/>
                <w:kern w:val="0"/>
              </w:rPr>
              <w:t>1</w:t>
            </w:r>
          </w:p>
        </w:tc>
        <w:tc>
          <w:tcPr>
            <w:tcW w:w="1310" w:type="dxa"/>
            <w:vAlign w:val="center"/>
          </w:tcPr>
          <w:p w:rsidR="00352796" w:rsidRDefault="00EB154B">
            <w:pPr>
              <w:jc w:val="center"/>
            </w:pPr>
            <w:r>
              <w:rPr>
                <w:rFonts w:eastAsiaTheme="minorEastAsia"/>
                <w:color w:val="000000" w:themeColor="text1"/>
                <w:kern w:val="0"/>
              </w:rPr>
              <w:t>200209</w:t>
            </w:r>
          </w:p>
        </w:tc>
        <w:tc>
          <w:tcPr>
            <w:tcW w:w="1282" w:type="dxa"/>
            <w:vAlign w:val="center"/>
          </w:tcPr>
          <w:p w:rsidR="00352796" w:rsidRDefault="00EB154B">
            <w:pPr>
              <w:jc w:val="center"/>
            </w:pPr>
            <w:r>
              <w:rPr>
                <w:rFonts w:eastAsiaTheme="minorEastAsia"/>
                <w:color w:val="000000" w:themeColor="text1"/>
                <w:kern w:val="0"/>
              </w:rPr>
              <w:t>20</w:t>
            </w:r>
            <w:r>
              <w:rPr>
                <w:rFonts w:eastAsiaTheme="minorEastAsia"/>
                <w:color w:val="000000" w:themeColor="text1"/>
                <w:kern w:val="0"/>
              </w:rPr>
              <w:t>国开</w:t>
            </w:r>
            <w:r>
              <w:rPr>
                <w:rFonts w:eastAsiaTheme="minorEastAsia"/>
                <w:color w:val="000000" w:themeColor="text1"/>
                <w:kern w:val="0"/>
              </w:rPr>
              <w:t>09</w:t>
            </w:r>
          </w:p>
        </w:tc>
        <w:tc>
          <w:tcPr>
            <w:tcW w:w="1426" w:type="dxa"/>
            <w:vAlign w:val="center"/>
          </w:tcPr>
          <w:p w:rsidR="00352796" w:rsidRDefault="00EB154B">
            <w:pPr>
              <w:jc w:val="right"/>
            </w:pPr>
            <w:r>
              <w:rPr>
                <w:rFonts w:eastAsiaTheme="minorEastAsia"/>
                <w:color w:val="000000" w:themeColor="text1"/>
                <w:kern w:val="0"/>
              </w:rPr>
              <w:t>28,700,000</w:t>
            </w:r>
          </w:p>
        </w:tc>
        <w:tc>
          <w:tcPr>
            <w:tcW w:w="1646" w:type="dxa"/>
            <w:vAlign w:val="center"/>
          </w:tcPr>
          <w:p w:rsidR="00352796" w:rsidRDefault="00EB154B">
            <w:pPr>
              <w:jc w:val="right"/>
            </w:pPr>
            <w:r>
              <w:rPr>
                <w:rFonts w:eastAsiaTheme="minorEastAsia"/>
                <w:color w:val="000000" w:themeColor="text1"/>
                <w:kern w:val="0"/>
              </w:rPr>
              <w:t>2,957,091,232.56</w:t>
            </w:r>
          </w:p>
        </w:tc>
        <w:tc>
          <w:tcPr>
            <w:tcW w:w="1612" w:type="dxa"/>
            <w:vAlign w:val="center"/>
          </w:tcPr>
          <w:p w:rsidR="00352796" w:rsidRDefault="00EB154B">
            <w:pPr>
              <w:jc w:val="right"/>
            </w:pPr>
            <w:r>
              <w:rPr>
                <w:rFonts w:eastAsiaTheme="minorEastAsia"/>
                <w:color w:val="000000" w:themeColor="text1"/>
                <w:kern w:val="0"/>
              </w:rPr>
              <w:t>34.30</w:t>
            </w:r>
          </w:p>
        </w:tc>
      </w:tr>
      <w:tr w:rsidR="00352796">
        <w:tc>
          <w:tcPr>
            <w:tcW w:w="1252" w:type="dxa"/>
            <w:vAlign w:val="center"/>
          </w:tcPr>
          <w:p w:rsidR="00352796" w:rsidRDefault="00EB154B">
            <w:pPr>
              <w:jc w:val="center"/>
            </w:pPr>
            <w:r>
              <w:rPr>
                <w:rFonts w:eastAsiaTheme="minorEastAsia"/>
                <w:color w:val="000000" w:themeColor="text1"/>
                <w:kern w:val="0"/>
              </w:rPr>
              <w:t>2</w:t>
            </w:r>
          </w:p>
        </w:tc>
        <w:tc>
          <w:tcPr>
            <w:tcW w:w="1310" w:type="dxa"/>
            <w:vAlign w:val="center"/>
          </w:tcPr>
          <w:p w:rsidR="00352796" w:rsidRDefault="00EB154B">
            <w:pPr>
              <w:jc w:val="center"/>
            </w:pPr>
            <w:r>
              <w:rPr>
                <w:rFonts w:eastAsiaTheme="minorEastAsia"/>
                <w:color w:val="000000" w:themeColor="text1"/>
                <w:kern w:val="0"/>
              </w:rPr>
              <w:t>092018002</w:t>
            </w:r>
          </w:p>
        </w:tc>
        <w:tc>
          <w:tcPr>
            <w:tcW w:w="1282" w:type="dxa"/>
            <w:vAlign w:val="center"/>
          </w:tcPr>
          <w:p w:rsidR="00352796" w:rsidRDefault="00EB154B">
            <w:pPr>
              <w:jc w:val="center"/>
            </w:pPr>
            <w:r>
              <w:rPr>
                <w:rFonts w:eastAsiaTheme="minorEastAsia"/>
                <w:color w:val="000000" w:themeColor="text1"/>
                <w:kern w:val="0"/>
              </w:rPr>
              <w:t>20</w:t>
            </w:r>
            <w:r>
              <w:rPr>
                <w:rFonts w:eastAsiaTheme="minorEastAsia"/>
                <w:color w:val="000000" w:themeColor="text1"/>
                <w:kern w:val="0"/>
              </w:rPr>
              <w:t>农发清发</w:t>
            </w:r>
            <w:r>
              <w:rPr>
                <w:rFonts w:eastAsiaTheme="minorEastAsia"/>
                <w:color w:val="000000" w:themeColor="text1"/>
                <w:kern w:val="0"/>
              </w:rPr>
              <w:t>02</w:t>
            </w:r>
          </w:p>
        </w:tc>
        <w:tc>
          <w:tcPr>
            <w:tcW w:w="1426" w:type="dxa"/>
            <w:vAlign w:val="center"/>
          </w:tcPr>
          <w:p w:rsidR="00352796" w:rsidRDefault="00EB154B">
            <w:pPr>
              <w:jc w:val="right"/>
            </w:pPr>
            <w:r>
              <w:rPr>
                <w:rFonts w:eastAsiaTheme="minorEastAsia"/>
                <w:color w:val="000000" w:themeColor="text1"/>
                <w:kern w:val="0"/>
              </w:rPr>
              <w:t>29,700,000</w:t>
            </w:r>
          </w:p>
        </w:tc>
        <w:tc>
          <w:tcPr>
            <w:tcW w:w="1646" w:type="dxa"/>
            <w:vAlign w:val="center"/>
          </w:tcPr>
          <w:p w:rsidR="00352796" w:rsidRDefault="00EB154B">
            <w:pPr>
              <w:jc w:val="right"/>
            </w:pPr>
            <w:r>
              <w:rPr>
                <w:rFonts w:eastAsiaTheme="minorEastAsia"/>
                <w:color w:val="000000" w:themeColor="text1"/>
                <w:kern w:val="0"/>
              </w:rPr>
              <w:t>2,932,619,032.26</w:t>
            </w:r>
          </w:p>
        </w:tc>
        <w:tc>
          <w:tcPr>
            <w:tcW w:w="1612" w:type="dxa"/>
            <w:vAlign w:val="center"/>
          </w:tcPr>
          <w:p w:rsidR="00352796" w:rsidRDefault="00EB154B">
            <w:pPr>
              <w:jc w:val="right"/>
            </w:pPr>
            <w:r>
              <w:rPr>
                <w:rFonts w:eastAsiaTheme="minorEastAsia"/>
                <w:color w:val="000000" w:themeColor="text1"/>
                <w:kern w:val="0"/>
              </w:rPr>
              <w:t>34.02</w:t>
            </w:r>
          </w:p>
        </w:tc>
      </w:tr>
      <w:tr w:rsidR="00352796">
        <w:tc>
          <w:tcPr>
            <w:tcW w:w="1252" w:type="dxa"/>
            <w:vAlign w:val="center"/>
          </w:tcPr>
          <w:p w:rsidR="00352796" w:rsidRDefault="00EB154B">
            <w:pPr>
              <w:jc w:val="center"/>
            </w:pPr>
            <w:r>
              <w:rPr>
                <w:rFonts w:eastAsiaTheme="minorEastAsia"/>
                <w:color w:val="000000" w:themeColor="text1"/>
                <w:kern w:val="0"/>
              </w:rPr>
              <w:t>3</w:t>
            </w:r>
          </w:p>
        </w:tc>
        <w:tc>
          <w:tcPr>
            <w:tcW w:w="1310" w:type="dxa"/>
            <w:vAlign w:val="center"/>
          </w:tcPr>
          <w:p w:rsidR="00352796" w:rsidRDefault="00EB154B">
            <w:pPr>
              <w:jc w:val="center"/>
            </w:pPr>
            <w:r>
              <w:rPr>
                <w:rFonts w:eastAsiaTheme="minorEastAsia"/>
                <w:color w:val="000000" w:themeColor="text1"/>
                <w:kern w:val="0"/>
              </w:rPr>
              <w:t>170415</w:t>
            </w:r>
          </w:p>
        </w:tc>
        <w:tc>
          <w:tcPr>
            <w:tcW w:w="1282" w:type="dxa"/>
            <w:vAlign w:val="center"/>
          </w:tcPr>
          <w:p w:rsidR="00352796" w:rsidRDefault="00EB154B">
            <w:pPr>
              <w:jc w:val="center"/>
            </w:pPr>
            <w:r>
              <w:rPr>
                <w:rFonts w:eastAsiaTheme="minorEastAsia"/>
                <w:color w:val="000000" w:themeColor="text1"/>
                <w:kern w:val="0"/>
              </w:rPr>
              <w:t>17</w:t>
            </w:r>
            <w:r>
              <w:rPr>
                <w:rFonts w:eastAsiaTheme="minorEastAsia"/>
                <w:color w:val="000000" w:themeColor="text1"/>
                <w:kern w:val="0"/>
              </w:rPr>
              <w:t>农发</w:t>
            </w:r>
            <w:r>
              <w:rPr>
                <w:rFonts w:eastAsiaTheme="minorEastAsia"/>
                <w:color w:val="000000" w:themeColor="text1"/>
                <w:kern w:val="0"/>
              </w:rPr>
              <w:t>15</w:t>
            </w:r>
          </w:p>
        </w:tc>
        <w:tc>
          <w:tcPr>
            <w:tcW w:w="1426" w:type="dxa"/>
            <w:vAlign w:val="center"/>
          </w:tcPr>
          <w:p w:rsidR="00352796" w:rsidRDefault="00EB154B">
            <w:pPr>
              <w:jc w:val="right"/>
            </w:pPr>
            <w:r>
              <w:rPr>
                <w:rFonts w:eastAsiaTheme="minorEastAsia"/>
                <w:color w:val="000000" w:themeColor="text1"/>
                <w:kern w:val="0"/>
              </w:rPr>
              <w:t>24,800,000</w:t>
            </w:r>
          </w:p>
        </w:tc>
        <w:tc>
          <w:tcPr>
            <w:tcW w:w="1646" w:type="dxa"/>
            <w:vAlign w:val="center"/>
          </w:tcPr>
          <w:p w:rsidR="00352796" w:rsidRDefault="00EB154B">
            <w:pPr>
              <w:jc w:val="right"/>
            </w:pPr>
            <w:r>
              <w:rPr>
                <w:rFonts w:eastAsiaTheme="minorEastAsia"/>
                <w:color w:val="000000" w:themeColor="text1"/>
                <w:kern w:val="0"/>
              </w:rPr>
              <w:t>2,637,114,506.48</w:t>
            </w:r>
          </w:p>
        </w:tc>
        <w:tc>
          <w:tcPr>
            <w:tcW w:w="1612" w:type="dxa"/>
            <w:vAlign w:val="center"/>
          </w:tcPr>
          <w:p w:rsidR="00352796" w:rsidRDefault="00EB154B">
            <w:pPr>
              <w:jc w:val="right"/>
            </w:pPr>
            <w:r>
              <w:rPr>
                <w:rFonts w:eastAsiaTheme="minorEastAsia"/>
                <w:color w:val="000000" w:themeColor="text1"/>
                <w:kern w:val="0"/>
              </w:rPr>
              <w:t>30.59</w:t>
            </w:r>
          </w:p>
        </w:tc>
      </w:tr>
      <w:tr w:rsidR="00352796">
        <w:tc>
          <w:tcPr>
            <w:tcW w:w="1252" w:type="dxa"/>
            <w:vAlign w:val="center"/>
          </w:tcPr>
          <w:p w:rsidR="00352796" w:rsidRDefault="00EB154B">
            <w:pPr>
              <w:jc w:val="center"/>
            </w:pPr>
            <w:r>
              <w:rPr>
                <w:rFonts w:eastAsiaTheme="minorEastAsia"/>
                <w:color w:val="000000" w:themeColor="text1"/>
                <w:kern w:val="0"/>
              </w:rPr>
              <w:t>4</w:t>
            </w:r>
          </w:p>
        </w:tc>
        <w:tc>
          <w:tcPr>
            <w:tcW w:w="1310" w:type="dxa"/>
            <w:vAlign w:val="center"/>
          </w:tcPr>
          <w:p w:rsidR="00352796" w:rsidRDefault="00EB154B">
            <w:pPr>
              <w:jc w:val="center"/>
            </w:pPr>
            <w:r>
              <w:rPr>
                <w:rFonts w:eastAsiaTheme="minorEastAsia"/>
                <w:color w:val="000000" w:themeColor="text1"/>
                <w:kern w:val="0"/>
              </w:rPr>
              <w:t>170210</w:t>
            </w:r>
          </w:p>
        </w:tc>
        <w:tc>
          <w:tcPr>
            <w:tcW w:w="1282" w:type="dxa"/>
            <w:vAlign w:val="center"/>
          </w:tcPr>
          <w:p w:rsidR="00352796" w:rsidRDefault="00EB154B">
            <w:pPr>
              <w:jc w:val="center"/>
            </w:pPr>
            <w:r>
              <w:rPr>
                <w:rFonts w:eastAsiaTheme="minorEastAsia"/>
                <w:color w:val="000000" w:themeColor="text1"/>
                <w:kern w:val="0"/>
              </w:rPr>
              <w:t>17</w:t>
            </w:r>
            <w:r>
              <w:rPr>
                <w:rFonts w:eastAsiaTheme="minorEastAsia"/>
                <w:color w:val="000000" w:themeColor="text1"/>
                <w:kern w:val="0"/>
              </w:rPr>
              <w:t>国开</w:t>
            </w:r>
            <w:r>
              <w:rPr>
                <w:rFonts w:eastAsiaTheme="minorEastAsia"/>
                <w:color w:val="000000" w:themeColor="text1"/>
                <w:kern w:val="0"/>
              </w:rPr>
              <w:t>10</w:t>
            </w:r>
          </w:p>
        </w:tc>
        <w:tc>
          <w:tcPr>
            <w:tcW w:w="1426" w:type="dxa"/>
            <w:vAlign w:val="center"/>
          </w:tcPr>
          <w:p w:rsidR="00352796" w:rsidRDefault="00EB154B">
            <w:pPr>
              <w:jc w:val="right"/>
            </w:pPr>
            <w:r>
              <w:rPr>
                <w:rFonts w:eastAsiaTheme="minorEastAsia"/>
                <w:color w:val="000000" w:themeColor="text1"/>
                <w:kern w:val="0"/>
              </w:rPr>
              <w:t>15,100,000</w:t>
            </w:r>
          </w:p>
        </w:tc>
        <w:tc>
          <w:tcPr>
            <w:tcW w:w="1646" w:type="dxa"/>
            <w:vAlign w:val="center"/>
          </w:tcPr>
          <w:p w:rsidR="00352796" w:rsidRDefault="00EB154B">
            <w:pPr>
              <w:jc w:val="right"/>
            </w:pPr>
            <w:r>
              <w:rPr>
                <w:rFonts w:eastAsiaTheme="minorEastAsia"/>
                <w:color w:val="000000" w:themeColor="text1"/>
                <w:kern w:val="0"/>
              </w:rPr>
              <w:t>1,542,582,026.84</w:t>
            </w:r>
          </w:p>
        </w:tc>
        <w:tc>
          <w:tcPr>
            <w:tcW w:w="1612" w:type="dxa"/>
            <w:vAlign w:val="center"/>
          </w:tcPr>
          <w:p w:rsidR="00352796" w:rsidRDefault="00EB154B">
            <w:pPr>
              <w:jc w:val="right"/>
            </w:pPr>
            <w:r>
              <w:rPr>
                <w:rFonts w:eastAsiaTheme="minorEastAsia"/>
                <w:color w:val="000000" w:themeColor="text1"/>
                <w:kern w:val="0"/>
              </w:rPr>
              <w:t>17.89</w:t>
            </w:r>
          </w:p>
        </w:tc>
      </w:tr>
      <w:tr w:rsidR="00352796">
        <w:tc>
          <w:tcPr>
            <w:tcW w:w="1252" w:type="dxa"/>
            <w:vAlign w:val="center"/>
          </w:tcPr>
          <w:p w:rsidR="00352796" w:rsidRDefault="00EB154B">
            <w:pPr>
              <w:jc w:val="center"/>
            </w:pPr>
            <w:r>
              <w:rPr>
                <w:rFonts w:eastAsiaTheme="minorEastAsia"/>
                <w:color w:val="000000" w:themeColor="text1"/>
                <w:kern w:val="0"/>
              </w:rPr>
              <w:lastRenderedPageBreak/>
              <w:t>5</w:t>
            </w:r>
          </w:p>
        </w:tc>
        <w:tc>
          <w:tcPr>
            <w:tcW w:w="1310" w:type="dxa"/>
            <w:vAlign w:val="center"/>
          </w:tcPr>
          <w:p w:rsidR="00352796" w:rsidRDefault="00EB154B">
            <w:pPr>
              <w:jc w:val="center"/>
            </w:pPr>
            <w:r>
              <w:rPr>
                <w:rFonts w:eastAsiaTheme="minorEastAsia"/>
                <w:color w:val="000000" w:themeColor="text1"/>
                <w:kern w:val="0"/>
              </w:rPr>
              <w:t>160993</w:t>
            </w:r>
          </w:p>
        </w:tc>
        <w:tc>
          <w:tcPr>
            <w:tcW w:w="1282" w:type="dxa"/>
            <w:vAlign w:val="center"/>
          </w:tcPr>
          <w:p w:rsidR="00352796" w:rsidRDefault="00EB154B">
            <w:pPr>
              <w:jc w:val="center"/>
            </w:pPr>
            <w:r>
              <w:rPr>
                <w:rFonts w:eastAsiaTheme="minorEastAsia"/>
                <w:color w:val="000000" w:themeColor="text1"/>
                <w:kern w:val="0"/>
              </w:rPr>
              <w:t>20</w:t>
            </w:r>
            <w:r>
              <w:rPr>
                <w:rFonts w:eastAsiaTheme="minorEastAsia"/>
                <w:color w:val="000000" w:themeColor="text1"/>
                <w:kern w:val="0"/>
              </w:rPr>
              <w:t>江苏</w:t>
            </w:r>
            <w:r>
              <w:rPr>
                <w:rFonts w:eastAsiaTheme="minorEastAsia"/>
                <w:color w:val="000000" w:themeColor="text1"/>
                <w:kern w:val="0"/>
              </w:rPr>
              <w:t>19</w:t>
            </w:r>
          </w:p>
        </w:tc>
        <w:tc>
          <w:tcPr>
            <w:tcW w:w="1426" w:type="dxa"/>
            <w:vAlign w:val="center"/>
          </w:tcPr>
          <w:p w:rsidR="00352796" w:rsidRDefault="00EB154B">
            <w:pPr>
              <w:jc w:val="right"/>
            </w:pPr>
            <w:r>
              <w:rPr>
                <w:rFonts w:eastAsiaTheme="minorEastAsia"/>
                <w:color w:val="000000" w:themeColor="text1"/>
                <w:kern w:val="0"/>
              </w:rPr>
              <w:t>7,100,000</w:t>
            </w:r>
          </w:p>
        </w:tc>
        <w:tc>
          <w:tcPr>
            <w:tcW w:w="1646" w:type="dxa"/>
            <w:vAlign w:val="center"/>
          </w:tcPr>
          <w:p w:rsidR="00352796" w:rsidRDefault="00EB154B">
            <w:pPr>
              <w:jc w:val="right"/>
            </w:pPr>
            <w:r>
              <w:rPr>
                <w:rFonts w:eastAsiaTheme="minorEastAsia"/>
                <w:color w:val="000000" w:themeColor="text1"/>
                <w:kern w:val="0"/>
              </w:rPr>
              <w:t>730,020,268.27</w:t>
            </w:r>
          </w:p>
        </w:tc>
        <w:tc>
          <w:tcPr>
            <w:tcW w:w="1612" w:type="dxa"/>
            <w:vAlign w:val="center"/>
          </w:tcPr>
          <w:p w:rsidR="00352796" w:rsidRDefault="00EB154B">
            <w:pPr>
              <w:jc w:val="right"/>
            </w:pPr>
            <w:r>
              <w:rPr>
                <w:rFonts w:eastAsiaTheme="minorEastAsia"/>
                <w:color w:val="000000" w:themeColor="text1"/>
                <w:kern w:val="0"/>
              </w:rPr>
              <w:t>8.47</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本基金本报告期末无其他资产构成。</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lastRenderedPageBreak/>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7,990,077,699.94</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7,990,077,699.94</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基金管理人运用固有资金投资本基金交易明细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影响投资者决策的其他重要信息</w:t>
      </w:r>
    </w:p>
    <w:p w:rsidR="00D06738" w:rsidRPr="00FF6B9A" w:rsidRDefault="00454D20">
      <w:pPr>
        <w:autoSpaceDE w:val="0"/>
        <w:autoSpaceDN w:val="0"/>
        <w:adjustRightInd w:val="0"/>
        <w:spacing w:line="360" w:lineRule="auto"/>
        <w:jc w:val="left"/>
        <w:rPr>
          <w:b/>
          <w:bCs/>
          <w:color w:val="000000"/>
          <w:kern w:val="0"/>
          <w:sz w:val="24"/>
          <w:szCs w:val="24"/>
        </w:rPr>
      </w:pPr>
      <w:r w:rsidRPr="00FF6B9A">
        <w:rPr>
          <w:b/>
          <w:bCs/>
          <w:color w:val="000000"/>
          <w:kern w:val="0"/>
          <w:sz w:val="24"/>
          <w:szCs w:val="24"/>
        </w:rPr>
        <w:t xml:space="preserve">8.1 </w:t>
      </w:r>
      <w:r w:rsidRPr="00FF6B9A">
        <w:rPr>
          <w:b/>
          <w:bCs/>
          <w:color w:val="000000"/>
          <w:kern w:val="0"/>
          <w:sz w:val="24"/>
          <w:szCs w:val="24"/>
        </w:rPr>
        <w:t>报告期内单一投资者持有基金份额比例达到或超过</w:t>
      </w:r>
      <w:r w:rsidRPr="00FF6B9A">
        <w:rPr>
          <w:b/>
          <w:bCs/>
          <w:color w:val="000000"/>
          <w:kern w:val="0"/>
          <w:sz w:val="24"/>
          <w:szCs w:val="24"/>
        </w:rPr>
        <w:t>20%</w:t>
      </w:r>
      <w:r w:rsidRPr="00FF6B9A">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06738" w:rsidRPr="00FF6B9A">
        <w:tc>
          <w:tcPr>
            <w:tcW w:w="993" w:type="dxa"/>
            <w:vMerge w:val="restart"/>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投资者类别</w:t>
            </w:r>
            <w:r w:rsidRPr="00FF6B9A">
              <w:rPr>
                <w:color w:val="000000"/>
                <w:kern w:val="0"/>
              </w:rPr>
              <w:t xml:space="preserve">  </w:t>
            </w:r>
          </w:p>
        </w:tc>
        <w:tc>
          <w:tcPr>
            <w:tcW w:w="5670" w:type="dxa"/>
            <w:gridSpan w:val="5"/>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报告期内持有基金份额变化情况</w:t>
            </w:r>
          </w:p>
        </w:tc>
        <w:tc>
          <w:tcPr>
            <w:tcW w:w="2549" w:type="dxa"/>
            <w:gridSpan w:val="2"/>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报告期末持有基金情况</w:t>
            </w:r>
          </w:p>
        </w:tc>
      </w:tr>
      <w:tr w:rsidR="00D06738" w:rsidRPr="00FF6B9A">
        <w:tc>
          <w:tcPr>
            <w:tcW w:w="993" w:type="dxa"/>
            <w:vMerge/>
            <w:vAlign w:val="center"/>
          </w:tcPr>
          <w:p w:rsidR="00D06738" w:rsidRPr="00FF6B9A" w:rsidRDefault="00D06738">
            <w:pPr>
              <w:autoSpaceDE w:val="0"/>
              <w:autoSpaceDN w:val="0"/>
              <w:adjustRightInd w:val="0"/>
              <w:jc w:val="center"/>
              <w:rPr>
                <w:b/>
                <w:bCs/>
                <w:color w:val="000000"/>
                <w:kern w:val="0"/>
              </w:rPr>
            </w:pPr>
          </w:p>
        </w:tc>
        <w:tc>
          <w:tcPr>
            <w:tcW w:w="992"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序号</w:t>
            </w:r>
          </w:p>
        </w:tc>
        <w:tc>
          <w:tcPr>
            <w:tcW w:w="1843"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持有基金份额比例达到或者超过</w:t>
            </w:r>
            <w:r w:rsidRPr="00FF6B9A">
              <w:rPr>
                <w:color w:val="000000"/>
                <w:kern w:val="0"/>
              </w:rPr>
              <w:t>20%</w:t>
            </w:r>
            <w:r w:rsidRPr="00FF6B9A">
              <w:rPr>
                <w:color w:val="000000"/>
                <w:kern w:val="0"/>
              </w:rPr>
              <w:t>的时间区间</w:t>
            </w:r>
          </w:p>
        </w:tc>
        <w:tc>
          <w:tcPr>
            <w:tcW w:w="851" w:type="dxa"/>
            <w:vAlign w:val="center"/>
          </w:tcPr>
          <w:p w:rsidR="00D06738" w:rsidRPr="00FF6B9A" w:rsidRDefault="00454D20">
            <w:pPr>
              <w:widowControl/>
              <w:jc w:val="center"/>
              <w:rPr>
                <w:b/>
                <w:bCs/>
                <w:color w:val="000000"/>
                <w:kern w:val="0"/>
              </w:rPr>
            </w:pPr>
            <w:r w:rsidRPr="00FF6B9A">
              <w:rPr>
                <w:color w:val="000000"/>
                <w:kern w:val="0"/>
              </w:rPr>
              <w:t>期初份额</w:t>
            </w:r>
          </w:p>
        </w:tc>
        <w:tc>
          <w:tcPr>
            <w:tcW w:w="850" w:type="dxa"/>
            <w:vAlign w:val="center"/>
          </w:tcPr>
          <w:p w:rsidR="00D06738" w:rsidRPr="00FF6B9A" w:rsidRDefault="00454D20">
            <w:pPr>
              <w:widowControl/>
              <w:jc w:val="center"/>
              <w:rPr>
                <w:b/>
                <w:bCs/>
                <w:color w:val="000000"/>
                <w:kern w:val="0"/>
              </w:rPr>
            </w:pPr>
            <w:r w:rsidRPr="00FF6B9A">
              <w:rPr>
                <w:color w:val="000000"/>
                <w:kern w:val="0"/>
              </w:rPr>
              <w:t>申购份额</w:t>
            </w:r>
          </w:p>
        </w:tc>
        <w:tc>
          <w:tcPr>
            <w:tcW w:w="1134" w:type="dxa"/>
            <w:vAlign w:val="center"/>
          </w:tcPr>
          <w:p w:rsidR="00D06738" w:rsidRPr="00FF6B9A" w:rsidRDefault="00454D20">
            <w:pPr>
              <w:widowControl/>
              <w:jc w:val="center"/>
              <w:rPr>
                <w:b/>
                <w:bCs/>
                <w:color w:val="000000"/>
                <w:kern w:val="0"/>
              </w:rPr>
            </w:pPr>
            <w:r w:rsidRPr="00FF6B9A">
              <w:rPr>
                <w:color w:val="000000"/>
                <w:kern w:val="0"/>
              </w:rPr>
              <w:t>赎回份额</w:t>
            </w:r>
          </w:p>
        </w:tc>
        <w:tc>
          <w:tcPr>
            <w:tcW w:w="1419"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持有份额</w:t>
            </w:r>
          </w:p>
        </w:tc>
        <w:tc>
          <w:tcPr>
            <w:tcW w:w="1130"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份额占比</w:t>
            </w:r>
          </w:p>
        </w:tc>
      </w:tr>
      <w:tr w:rsidR="00352796">
        <w:tc>
          <w:tcPr>
            <w:tcW w:w="993" w:type="dxa"/>
            <w:vMerge w:val="restart"/>
            <w:vAlign w:val="center"/>
          </w:tcPr>
          <w:p w:rsidR="00352796" w:rsidRDefault="00EB154B">
            <w:r>
              <w:rPr>
                <w:bCs/>
                <w:color w:val="000000"/>
                <w:kern w:val="0"/>
              </w:rPr>
              <w:t>机构</w:t>
            </w:r>
          </w:p>
        </w:tc>
        <w:tc>
          <w:tcPr>
            <w:tcW w:w="992" w:type="dxa"/>
            <w:vAlign w:val="center"/>
          </w:tcPr>
          <w:p w:rsidR="00352796" w:rsidRDefault="00EB154B">
            <w:pPr>
              <w:jc w:val="center"/>
            </w:pPr>
            <w:r>
              <w:rPr>
                <w:color w:val="000000"/>
                <w:kern w:val="0"/>
              </w:rPr>
              <w:t>1</w:t>
            </w:r>
          </w:p>
        </w:tc>
        <w:tc>
          <w:tcPr>
            <w:tcW w:w="1843" w:type="dxa"/>
            <w:vAlign w:val="center"/>
          </w:tcPr>
          <w:p w:rsidR="00352796" w:rsidRDefault="00EB154B">
            <w:pPr>
              <w:jc w:val="center"/>
            </w:pPr>
            <w:r>
              <w:rPr>
                <w:color w:val="000000"/>
                <w:kern w:val="0"/>
              </w:rPr>
              <w:t>20240401-20240630</w:t>
            </w:r>
          </w:p>
        </w:tc>
        <w:tc>
          <w:tcPr>
            <w:tcW w:w="851" w:type="dxa"/>
            <w:vAlign w:val="center"/>
          </w:tcPr>
          <w:p w:rsidR="00352796" w:rsidRDefault="00EB154B">
            <w:pPr>
              <w:jc w:val="center"/>
            </w:pPr>
            <w:r>
              <w:rPr>
                <w:color w:val="000000"/>
                <w:kern w:val="0"/>
              </w:rPr>
              <w:t>3,989,999,000.00</w:t>
            </w:r>
          </w:p>
        </w:tc>
        <w:tc>
          <w:tcPr>
            <w:tcW w:w="850" w:type="dxa"/>
            <w:vAlign w:val="center"/>
          </w:tcPr>
          <w:p w:rsidR="00352796" w:rsidRDefault="00EB154B">
            <w:pPr>
              <w:jc w:val="center"/>
            </w:pPr>
            <w:r>
              <w:rPr>
                <w:color w:val="000000"/>
                <w:kern w:val="0"/>
              </w:rPr>
              <w:t>0.00</w:t>
            </w:r>
          </w:p>
        </w:tc>
        <w:tc>
          <w:tcPr>
            <w:tcW w:w="1134" w:type="dxa"/>
            <w:vAlign w:val="center"/>
          </w:tcPr>
          <w:p w:rsidR="00352796" w:rsidRDefault="00EB154B">
            <w:pPr>
              <w:jc w:val="center"/>
            </w:pPr>
            <w:r>
              <w:rPr>
                <w:color w:val="000000"/>
                <w:kern w:val="0"/>
              </w:rPr>
              <w:t>0.00</w:t>
            </w:r>
          </w:p>
        </w:tc>
        <w:tc>
          <w:tcPr>
            <w:tcW w:w="1419" w:type="dxa"/>
            <w:vAlign w:val="center"/>
          </w:tcPr>
          <w:p w:rsidR="00352796" w:rsidRDefault="00EB154B">
            <w:pPr>
              <w:jc w:val="center"/>
            </w:pPr>
            <w:r>
              <w:rPr>
                <w:color w:val="000000"/>
                <w:kern w:val="0"/>
              </w:rPr>
              <w:t>3,989,999,000.00</w:t>
            </w:r>
          </w:p>
        </w:tc>
        <w:tc>
          <w:tcPr>
            <w:tcW w:w="1130" w:type="dxa"/>
            <w:vAlign w:val="center"/>
          </w:tcPr>
          <w:p w:rsidR="00352796" w:rsidRDefault="00EB154B">
            <w:pPr>
              <w:jc w:val="center"/>
            </w:pPr>
            <w:r>
              <w:rPr>
                <w:color w:val="000000"/>
                <w:kern w:val="0"/>
              </w:rPr>
              <w:t>49.94%</w:t>
            </w:r>
          </w:p>
        </w:tc>
      </w:tr>
      <w:tr w:rsidR="00352796">
        <w:tc>
          <w:tcPr>
            <w:tcW w:w="993" w:type="dxa"/>
            <w:vMerge/>
          </w:tcPr>
          <w:p w:rsidR="00352796" w:rsidRDefault="00352796"/>
        </w:tc>
        <w:tc>
          <w:tcPr>
            <w:tcW w:w="992" w:type="dxa"/>
            <w:vAlign w:val="center"/>
          </w:tcPr>
          <w:p w:rsidR="00352796" w:rsidRDefault="00EB154B">
            <w:pPr>
              <w:jc w:val="center"/>
            </w:pPr>
            <w:r>
              <w:rPr>
                <w:color w:val="000000"/>
                <w:kern w:val="0"/>
              </w:rPr>
              <w:t>2</w:t>
            </w:r>
          </w:p>
        </w:tc>
        <w:tc>
          <w:tcPr>
            <w:tcW w:w="1843" w:type="dxa"/>
            <w:vAlign w:val="center"/>
          </w:tcPr>
          <w:p w:rsidR="00352796" w:rsidRDefault="00EB154B">
            <w:pPr>
              <w:jc w:val="center"/>
            </w:pPr>
            <w:r>
              <w:rPr>
                <w:color w:val="000000"/>
                <w:kern w:val="0"/>
              </w:rPr>
              <w:t>20240401-20240630</w:t>
            </w:r>
          </w:p>
        </w:tc>
        <w:tc>
          <w:tcPr>
            <w:tcW w:w="851" w:type="dxa"/>
            <w:vAlign w:val="center"/>
          </w:tcPr>
          <w:p w:rsidR="00352796" w:rsidRDefault="00EB154B">
            <w:pPr>
              <w:jc w:val="center"/>
            </w:pPr>
            <w:r>
              <w:rPr>
                <w:color w:val="000000"/>
                <w:kern w:val="0"/>
              </w:rPr>
              <w:t>2,199,999,000.</w:t>
            </w:r>
            <w:r>
              <w:rPr>
                <w:color w:val="000000"/>
                <w:kern w:val="0"/>
              </w:rPr>
              <w:lastRenderedPageBreak/>
              <w:t>00</w:t>
            </w:r>
          </w:p>
        </w:tc>
        <w:tc>
          <w:tcPr>
            <w:tcW w:w="850" w:type="dxa"/>
            <w:vAlign w:val="center"/>
          </w:tcPr>
          <w:p w:rsidR="00352796" w:rsidRDefault="00EB154B">
            <w:pPr>
              <w:jc w:val="center"/>
            </w:pPr>
            <w:r>
              <w:rPr>
                <w:color w:val="000000"/>
                <w:kern w:val="0"/>
              </w:rPr>
              <w:lastRenderedPageBreak/>
              <w:t>0.00</w:t>
            </w:r>
          </w:p>
        </w:tc>
        <w:tc>
          <w:tcPr>
            <w:tcW w:w="1134" w:type="dxa"/>
            <w:vAlign w:val="center"/>
          </w:tcPr>
          <w:p w:rsidR="00352796" w:rsidRDefault="00EB154B">
            <w:pPr>
              <w:jc w:val="center"/>
            </w:pPr>
            <w:r>
              <w:rPr>
                <w:color w:val="000000"/>
                <w:kern w:val="0"/>
              </w:rPr>
              <w:t>0.00</w:t>
            </w:r>
          </w:p>
        </w:tc>
        <w:tc>
          <w:tcPr>
            <w:tcW w:w="1419" w:type="dxa"/>
            <w:vAlign w:val="center"/>
          </w:tcPr>
          <w:p w:rsidR="00352796" w:rsidRDefault="00EB154B">
            <w:pPr>
              <w:jc w:val="center"/>
            </w:pPr>
            <w:r>
              <w:rPr>
                <w:color w:val="000000"/>
                <w:kern w:val="0"/>
              </w:rPr>
              <w:t>2,199,999,000.00</w:t>
            </w:r>
          </w:p>
        </w:tc>
        <w:tc>
          <w:tcPr>
            <w:tcW w:w="1130" w:type="dxa"/>
            <w:vAlign w:val="center"/>
          </w:tcPr>
          <w:p w:rsidR="00352796" w:rsidRDefault="00EB154B">
            <w:pPr>
              <w:jc w:val="center"/>
            </w:pPr>
            <w:r>
              <w:rPr>
                <w:color w:val="000000"/>
                <w:kern w:val="0"/>
              </w:rPr>
              <w:t>27.53%</w:t>
            </w:r>
          </w:p>
        </w:tc>
      </w:tr>
      <w:tr w:rsidR="00D06738" w:rsidRPr="00FF6B9A">
        <w:tc>
          <w:tcPr>
            <w:tcW w:w="9212" w:type="dxa"/>
            <w:gridSpan w:val="8"/>
            <w:vAlign w:val="center"/>
          </w:tcPr>
          <w:p w:rsidR="00D06738" w:rsidRPr="00FF6B9A" w:rsidRDefault="00454D20">
            <w:pPr>
              <w:autoSpaceDE w:val="0"/>
              <w:autoSpaceDN w:val="0"/>
              <w:adjustRightInd w:val="0"/>
              <w:jc w:val="center"/>
              <w:rPr>
                <w:kern w:val="0"/>
              </w:rPr>
            </w:pPr>
            <w:r w:rsidRPr="00FF6B9A">
              <w:rPr>
                <w:color w:val="000000"/>
                <w:kern w:val="0"/>
              </w:rPr>
              <w:t>产品特有风险</w:t>
            </w:r>
          </w:p>
        </w:tc>
      </w:tr>
      <w:tr w:rsidR="00D06738" w:rsidRPr="00FF6B9A">
        <w:tc>
          <w:tcPr>
            <w:tcW w:w="9212" w:type="dxa"/>
            <w:gridSpan w:val="8"/>
            <w:vAlign w:val="center"/>
          </w:tcPr>
          <w:p w:rsidR="00D06738" w:rsidRPr="00FF6B9A" w:rsidRDefault="00454D20">
            <w:pPr>
              <w:autoSpaceDE w:val="0"/>
              <w:autoSpaceDN w:val="0"/>
              <w:adjustRightInd w:val="0"/>
              <w:jc w:val="left"/>
              <w:rPr>
                <w:kern w:val="0"/>
              </w:rPr>
            </w:pPr>
            <w:r w:rsidRPr="00FF6B9A">
              <w:rPr>
                <w:kern w:val="0"/>
              </w:rPr>
              <w:t>本基金的集中度风险主要体现在有单一投资者持有基金份额比例达到或者超过</w:t>
            </w:r>
            <w:r w:rsidRPr="00FF6B9A">
              <w:rPr>
                <w:kern w:val="0"/>
              </w:rPr>
              <w:t>20%</w:t>
            </w:r>
            <w:r w:rsidRPr="00FF6B9A">
              <w:rPr>
                <w:kern w:val="0"/>
              </w:rPr>
              <w:t>，如果投资者发生大额赎回，可能出现基金可变现资产无法满足投资者赎回需要以及因为资产变现成本过高导致投资者的利益受到损害的风险。</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§9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9.1 </w:t>
      </w:r>
      <w:r w:rsidRPr="00FF6B9A">
        <w:rPr>
          <w:rFonts w:eastAsiaTheme="minorEastAsia"/>
          <w:b/>
          <w:bCs/>
          <w:color w:val="000000" w:themeColor="text1"/>
          <w:kern w:val="0"/>
          <w:sz w:val="24"/>
          <w:szCs w:val="24"/>
        </w:rPr>
        <w:t>备查文件目录</w:t>
      </w:r>
    </w:p>
    <w:p w:rsidR="00352796" w:rsidRDefault="00EB154B">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中国证监会准予本基金募集注册的文件</w:t>
      </w:r>
    </w:p>
    <w:p w:rsidR="00352796" w:rsidRDefault="00EB154B">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 xml:space="preserve">) </w:t>
      </w:r>
      <w:r>
        <w:rPr>
          <w:rFonts w:eastAsiaTheme="minorEastAsia"/>
          <w:color w:val="000000" w:themeColor="text1"/>
        </w:rPr>
        <w:t>摩根瑞盛</w:t>
      </w:r>
      <w:r>
        <w:rPr>
          <w:rFonts w:eastAsiaTheme="minorEastAsia"/>
          <w:color w:val="000000" w:themeColor="text1"/>
        </w:rPr>
        <w:t>87</w:t>
      </w:r>
      <w:r>
        <w:rPr>
          <w:rFonts w:eastAsiaTheme="minorEastAsia"/>
          <w:color w:val="000000" w:themeColor="text1"/>
        </w:rPr>
        <w:t>个月定期开放债券型证券投资基金基金合同</w:t>
      </w:r>
    </w:p>
    <w:p w:rsidR="00352796" w:rsidRDefault="00EB154B">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 xml:space="preserve">) </w:t>
      </w:r>
      <w:r>
        <w:rPr>
          <w:rFonts w:eastAsiaTheme="minorEastAsia"/>
          <w:color w:val="000000" w:themeColor="text1"/>
        </w:rPr>
        <w:t>摩根瑞盛</w:t>
      </w:r>
      <w:r>
        <w:rPr>
          <w:rFonts w:eastAsiaTheme="minorEastAsia"/>
          <w:color w:val="000000" w:themeColor="text1"/>
        </w:rPr>
        <w:t>87</w:t>
      </w:r>
      <w:r>
        <w:rPr>
          <w:rFonts w:eastAsiaTheme="minorEastAsia"/>
          <w:color w:val="000000" w:themeColor="text1"/>
        </w:rPr>
        <w:t>个月定期开放债券型证券投资基金托管协议</w:t>
      </w:r>
    </w:p>
    <w:p w:rsidR="00352796" w:rsidRDefault="00EB154B">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352796" w:rsidRDefault="00EB154B">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352796" w:rsidRDefault="00EB154B">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352796" w:rsidRDefault="00EB154B">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lastRenderedPageBreak/>
        <w:t>二〇二四年七月十九日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03" w:rsidRDefault="00376E03">
      <w:r>
        <w:separator/>
      </w:r>
    </w:p>
  </w:endnote>
  <w:endnote w:type="continuationSeparator" w:id="0">
    <w:p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EB154B" w:rsidRPr="00EB154B">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EB154B">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03" w:rsidRDefault="00376E03">
      <w:r>
        <w:separator/>
      </w:r>
    </w:p>
  </w:footnote>
  <w:footnote w:type="continuationSeparator" w:id="0">
    <w:p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摩根瑞盛</w:t>
    </w:r>
    <w:r>
      <w:rPr>
        <w:rFonts w:hint="eastAsia"/>
      </w:rPr>
      <w:t>87</w:t>
    </w:r>
    <w:r>
      <w:rPr>
        <w:rFonts w:hint="eastAsia"/>
      </w:rPr>
      <w:t>个月定期开放债券型证券投资基金</w:t>
    </w:r>
    <w:r>
      <w:rPr>
        <w:rFonts w:hint="eastAsia"/>
      </w:rPr>
      <w:t>2024</w:t>
    </w:r>
    <w:r>
      <w:rPr>
        <w:rFonts w:hint="eastAsia"/>
      </w:rPr>
      <w:t>年第</w:t>
    </w:r>
    <w:r>
      <w:rPr>
        <w:rFonts w:hint="eastAsia"/>
      </w:rPr>
      <w:t>2</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2796"/>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154B"/>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3D592D"/>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4CDB4-CC57-476D-91E6-9BDA6D79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1017</Words>
  <Characters>5797</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Cynthia.Yu@FA</cp:lastModifiedBy>
  <cp:revision>270</cp:revision>
  <dcterms:created xsi:type="dcterms:W3CDTF">2012-10-16T06:07:00Z</dcterms:created>
  <dcterms:modified xsi:type="dcterms:W3CDTF">2024-07-18T07:17:00Z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