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摩根慧见两年持有期混合型证券投资基金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2023</w:t>
      </w:r>
      <w:r w:rsidRPr="00FF6B9A">
        <w:rPr>
          <w:rFonts w:eastAsiaTheme="minorEastAsia"/>
          <w:b/>
          <w:color w:val="000000" w:themeColor="text1"/>
          <w:sz w:val="36"/>
          <w:szCs w:val="36"/>
        </w:rPr>
        <w:t>年第</w:t>
      </w:r>
      <w:r w:rsidRPr="00FF6B9A">
        <w:rPr>
          <w:rFonts w:eastAsiaTheme="minorEastAsia"/>
          <w:b/>
          <w:color w:val="000000" w:themeColor="text1"/>
          <w:sz w:val="36"/>
          <w:szCs w:val="36"/>
        </w:rPr>
        <w:t>3</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2023</w:t>
      </w:r>
      <w:r w:rsidRPr="00FF6B9A">
        <w:rPr>
          <w:rFonts w:eastAsiaTheme="minorEastAsia"/>
          <w:b/>
          <w:color w:val="000000" w:themeColor="text1"/>
          <w:sz w:val="36"/>
          <w:szCs w:val="36"/>
        </w:rPr>
        <w:t>年</w:t>
      </w:r>
      <w:r w:rsidRPr="00FF6B9A">
        <w:rPr>
          <w:rFonts w:eastAsiaTheme="minorEastAsia"/>
          <w:b/>
          <w:color w:val="000000" w:themeColor="text1"/>
          <w:sz w:val="36"/>
          <w:szCs w:val="36"/>
        </w:rPr>
        <w:t>9</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基金管理人：摩根基金管理（中国）有限公司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基金托管人：中国建设银行股份有限公司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报告送出日期：二〇二三年十月二十五日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BC6297" w:rsidRDefault="007D03A3">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BC6297" w:rsidRDefault="007D03A3">
      <w:pPr>
        <w:spacing w:line="360" w:lineRule="auto"/>
        <w:ind w:firstLineChars="200" w:firstLine="420"/>
        <w:rPr>
          <w:rFonts w:eastAsiaTheme="minorEastAsia"/>
          <w:color w:val="000000" w:themeColor="text1"/>
        </w:rPr>
      </w:pPr>
      <w:r>
        <w:rPr>
          <w:rFonts w:eastAsiaTheme="minorEastAsia"/>
          <w:color w:val="000000" w:themeColor="text1"/>
        </w:rPr>
        <w:t>基金托管人中国建设银行股份有限公司根据本基金合同规定，于</w:t>
      </w:r>
      <w:r>
        <w:rPr>
          <w:rFonts w:eastAsiaTheme="minorEastAsia"/>
          <w:color w:val="000000" w:themeColor="text1"/>
        </w:rPr>
        <w:t>2023</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w:t>
      </w:r>
      <w:r>
        <w:rPr>
          <w:rFonts w:eastAsiaTheme="minorEastAsia"/>
          <w:color w:val="000000" w:themeColor="text1"/>
        </w:rPr>
        <w:t>24</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BC6297" w:rsidRDefault="007D03A3">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BC6297" w:rsidRDefault="007D03A3">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BC6297" w:rsidRDefault="007D03A3">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2023</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摩根慧见两年持有期混合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009998</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009998</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2020</w:t>
            </w:r>
            <w:r w:rsidRPr="00FF6B9A">
              <w:rPr>
                <w:rFonts w:eastAsiaTheme="minorEastAsia"/>
                <w:color w:val="000000" w:themeColor="text1"/>
                <w:kern w:val="0"/>
              </w:rPr>
              <w:t>年</w:t>
            </w:r>
            <w:r w:rsidRPr="00FF6B9A">
              <w:rPr>
                <w:rFonts w:eastAsiaTheme="minorEastAsia"/>
                <w:color w:val="000000" w:themeColor="text1"/>
                <w:kern w:val="0"/>
              </w:rPr>
              <w:t>9</w:t>
            </w:r>
            <w:r w:rsidRPr="00FF6B9A">
              <w:rPr>
                <w:rFonts w:eastAsiaTheme="minorEastAsia"/>
                <w:color w:val="000000" w:themeColor="text1"/>
                <w:kern w:val="0"/>
              </w:rPr>
              <w:t>月</w:t>
            </w:r>
            <w:r w:rsidRPr="00FF6B9A">
              <w:rPr>
                <w:rFonts w:eastAsiaTheme="minorEastAsia"/>
                <w:color w:val="000000" w:themeColor="text1"/>
                <w:kern w:val="0"/>
              </w:rPr>
              <w:t>17</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1,736,288,743.59</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采用定量及定性研究方法，通过自上而下资产配置与自下而上精选个股相结合，基于严格的风险控制，力争实现基金资产的长期增值。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BC6297" w:rsidRDefault="007D03A3">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BC6297" w:rsidRDefault="007D03A3">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 xml:space="preserve"> </w:t>
            </w:r>
            <w:r>
              <w:rPr>
                <w:rFonts w:eastAsiaTheme="minorEastAsia"/>
                <w:color w:val="000000" w:themeColor="text1"/>
                <w:kern w:val="0"/>
              </w:rPr>
              <w:lastRenderedPageBreak/>
              <w:t xml:space="preserve">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BC6297" w:rsidRDefault="007D03A3">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BC6297" w:rsidRDefault="007D03A3">
            <w:pPr>
              <w:adjustRightInd w:val="0"/>
              <w:spacing w:before="29" w:line="360" w:lineRule="auto"/>
              <w:ind w:left="17"/>
              <w:rPr>
                <w:rFonts w:eastAsiaTheme="minorEastAsia"/>
                <w:color w:val="000000" w:themeColor="text1"/>
              </w:rPr>
            </w:pPr>
            <w:r>
              <w:rPr>
                <w:rFonts w:eastAsiaTheme="minorEastAsia"/>
                <w:color w:val="000000" w:themeColor="text1"/>
                <w:kern w:val="0"/>
              </w:rPr>
              <w:t>本基金坚持</w:t>
            </w:r>
            <w:r>
              <w:rPr>
                <w:rFonts w:eastAsiaTheme="minorEastAsia"/>
                <w:color w:val="000000" w:themeColor="text1"/>
                <w:kern w:val="0"/>
              </w:rPr>
              <w:t>“</w:t>
            </w:r>
            <w:r>
              <w:rPr>
                <w:rFonts w:eastAsiaTheme="minorEastAsia"/>
                <w:color w:val="000000" w:themeColor="text1"/>
                <w:kern w:val="0"/>
              </w:rPr>
              <w:t>成长与价值并重</w:t>
            </w:r>
            <w:r>
              <w:rPr>
                <w:rFonts w:eastAsiaTheme="minorEastAsia"/>
                <w:color w:val="000000" w:themeColor="text1"/>
                <w:kern w:val="0"/>
              </w:rPr>
              <w:t>”</w:t>
            </w:r>
            <w:r>
              <w:rPr>
                <w:rFonts w:eastAsiaTheme="minorEastAsia"/>
                <w:color w:val="000000" w:themeColor="text1"/>
                <w:kern w:val="0"/>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w:t>
            </w:r>
          </w:p>
          <w:p w:rsidR="00BC6297" w:rsidRDefault="007D03A3">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、港股投资策略</w:t>
            </w:r>
          </w:p>
          <w:p w:rsidR="00BC6297" w:rsidRDefault="007D03A3">
            <w:pPr>
              <w:adjustRightInd w:val="0"/>
              <w:spacing w:before="29" w:line="360" w:lineRule="auto"/>
              <w:ind w:left="17"/>
              <w:rPr>
                <w:rFonts w:eastAsiaTheme="minorEastAsia"/>
                <w:color w:val="000000" w:themeColor="text1"/>
              </w:rPr>
            </w:pPr>
            <w:r>
              <w:rPr>
                <w:rFonts w:eastAsiaTheme="minorEastAsia"/>
                <w:color w:val="000000" w:themeColor="text1"/>
                <w:kern w:val="0"/>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BC6297" w:rsidRDefault="007D03A3">
            <w:pPr>
              <w:adjustRightInd w:val="0"/>
              <w:spacing w:before="29" w:line="360" w:lineRule="auto"/>
              <w:ind w:left="17"/>
              <w:rPr>
                <w:rFonts w:eastAsiaTheme="minorEastAsia"/>
                <w:color w:val="000000" w:themeColor="text1"/>
              </w:rPr>
            </w:pPr>
            <w:r>
              <w:rPr>
                <w:rFonts w:eastAsiaTheme="minorEastAsia"/>
                <w:color w:val="000000" w:themeColor="text1"/>
                <w:kern w:val="0"/>
              </w:rPr>
              <w:t>4</w:t>
            </w:r>
            <w:r>
              <w:rPr>
                <w:rFonts w:eastAsiaTheme="minorEastAsia"/>
                <w:color w:val="000000" w:themeColor="text1"/>
                <w:kern w:val="0"/>
              </w:rPr>
              <w:t>、债券投资策略</w:t>
            </w:r>
          </w:p>
          <w:p w:rsidR="00BC6297" w:rsidRDefault="007D03A3">
            <w:pPr>
              <w:adjustRightInd w:val="0"/>
              <w:spacing w:before="29" w:line="360" w:lineRule="auto"/>
              <w:ind w:left="17"/>
              <w:rPr>
                <w:rFonts w:eastAsiaTheme="minorEastAsia"/>
                <w:color w:val="000000" w:themeColor="text1"/>
              </w:rPr>
            </w:pPr>
            <w:r>
              <w:rPr>
                <w:rFonts w:eastAsiaTheme="minorEastAsia"/>
                <w:color w:val="000000" w:themeColor="text1"/>
                <w:kern w:val="0"/>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5</w:t>
            </w:r>
            <w:r w:rsidRPr="00FF6B9A">
              <w:rPr>
                <w:rFonts w:eastAsiaTheme="minorEastAsia"/>
                <w:color w:val="000000" w:themeColor="text1"/>
                <w:kern w:val="0"/>
              </w:rPr>
              <w:t>、其他投资策略：包括股指期货投资策略、资产支持证</w:t>
            </w:r>
            <w:r w:rsidRPr="00FF6B9A">
              <w:rPr>
                <w:rFonts w:eastAsiaTheme="minorEastAsia"/>
                <w:color w:val="000000" w:themeColor="text1"/>
                <w:kern w:val="0"/>
              </w:rPr>
              <w:lastRenderedPageBreak/>
              <w:t>券投资策略、股票期权投资策略、证券公司短期公司债券投资策略、存托凭证投资策略。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*70%+</w:t>
            </w:r>
            <w:r w:rsidRPr="00FF6B9A">
              <w:rPr>
                <w:rFonts w:eastAsiaTheme="minorEastAsia"/>
                <w:color w:val="000000" w:themeColor="text1"/>
                <w:kern w:val="0"/>
              </w:rPr>
              <w:t>中证港股通指数收益率</w:t>
            </w:r>
            <w:r w:rsidRPr="00FF6B9A">
              <w:rPr>
                <w:rFonts w:eastAsiaTheme="minorEastAsia"/>
                <w:color w:val="000000" w:themeColor="text1"/>
                <w:kern w:val="0"/>
              </w:rPr>
              <w:t>*10%+</w:t>
            </w:r>
            <w:r w:rsidRPr="00FF6B9A">
              <w:rPr>
                <w:rFonts w:eastAsiaTheme="minorEastAsia"/>
                <w:color w:val="000000" w:themeColor="text1"/>
                <w:kern w:val="0"/>
              </w:rPr>
              <w:t>上证国债指数收益率</w:t>
            </w:r>
            <w:r w:rsidRPr="00FF6B9A">
              <w:rPr>
                <w:rFonts w:eastAsiaTheme="minorEastAsia"/>
                <w:color w:val="000000" w:themeColor="text1"/>
                <w:kern w:val="0"/>
              </w:rPr>
              <w:t>*20%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本基金属于混合型基金产品，预期风险和收益水平高于债券型基金和货币市场基金，低于股票型基金。</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摩根基金管理（中国）有限公司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中国建设银行股份有限公司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7D03A3" w:rsidRPr="00FF6B9A" w:rsidTr="007D03A3">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(2023</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-2023</w:t>
            </w:r>
            <w:r w:rsidRPr="00FF6B9A">
              <w:rPr>
                <w:rFonts w:eastAsiaTheme="minorEastAsia"/>
                <w:color w:val="000000" w:themeColor="text1"/>
              </w:rPr>
              <w:t>年</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7D03A3" w:rsidRPr="00FF6B9A" w:rsidTr="007D03A3">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-7,322,544.84</w:t>
            </w:r>
          </w:p>
        </w:tc>
      </w:tr>
      <w:tr w:rsidR="007D03A3" w:rsidRPr="00FF6B9A" w:rsidTr="007D03A3">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-93,520,293.12</w:t>
            </w:r>
          </w:p>
        </w:tc>
      </w:tr>
      <w:tr w:rsidR="007D03A3" w:rsidRPr="00FF6B9A" w:rsidTr="007D03A3">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-0.0529</w:t>
            </w:r>
          </w:p>
        </w:tc>
      </w:tr>
      <w:tr w:rsidR="007D03A3" w:rsidRPr="00FF6B9A" w:rsidTr="007D03A3">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1,240,647,295.60</w:t>
            </w:r>
          </w:p>
        </w:tc>
      </w:tr>
      <w:tr w:rsidR="007D03A3" w:rsidRPr="00FF6B9A" w:rsidTr="007D03A3">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0.7145</w:t>
            </w:r>
          </w:p>
        </w:tc>
      </w:tr>
    </w:tbl>
    <w:p w:rsidR="00BC6297" w:rsidRDefault="007D03A3">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lastRenderedPageBreak/>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业绩比较基准收益</w:t>
            </w:r>
            <w:r w:rsidRPr="00FF6B9A">
              <w:rPr>
                <w:rFonts w:eastAsiaTheme="minorEastAsia"/>
                <w:color w:val="000000" w:themeColor="text1"/>
                <w:kern w:val="0"/>
              </w:rPr>
              <w:lastRenderedPageBreak/>
              <w:t>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业绩比较基准收益</w:t>
            </w:r>
            <w:r w:rsidRPr="00FF6B9A">
              <w:rPr>
                <w:rFonts w:eastAsiaTheme="minorEastAsia"/>
                <w:color w:val="000000" w:themeColor="text1"/>
                <w:kern w:val="0"/>
              </w:rPr>
              <w:lastRenderedPageBreak/>
              <w:t>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lastRenderedPageBreak/>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F422AD" w:rsidTr="009E0780">
        <w:tc>
          <w:tcPr>
            <w:tcW w:w="1395" w:type="dxa"/>
            <w:vAlign w:val="center"/>
          </w:tcPr>
          <w:p w:rsidR="00F422AD" w:rsidRDefault="00F422AD" w:rsidP="00F422AD">
            <w:pPr>
              <w:jc w:val="left"/>
            </w:pPr>
            <w:r>
              <w:rPr>
                <w:rFonts w:eastAsiaTheme="minorEastAsia"/>
                <w:color w:val="000000" w:themeColor="text1"/>
                <w:kern w:val="0"/>
              </w:rPr>
              <w:t>过去三个月</w:t>
            </w:r>
          </w:p>
        </w:tc>
        <w:tc>
          <w:tcPr>
            <w:tcW w:w="1092" w:type="dxa"/>
            <w:vAlign w:val="center"/>
          </w:tcPr>
          <w:p w:rsidR="00F422AD" w:rsidRDefault="00F422AD" w:rsidP="00F422AD">
            <w:pPr>
              <w:jc w:val="center"/>
            </w:pPr>
            <w:r>
              <w:rPr>
                <w:rFonts w:eastAsiaTheme="minorEastAsia"/>
                <w:color w:val="000000" w:themeColor="text1"/>
                <w:kern w:val="0"/>
              </w:rPr>
              <w:t>-6.88%</w:t>
            </w:r>
          </w:p>
        </w:tc>
        <w:tc>
          <w:tcPr>
            <w:tcW w:w="1161" w:type="dxa"/>
            <w:vAlign w:val="center"/>
          </w:tcPr>
          <w:p w:rsidR="00F422AD" w:rsidRDefault="00F422AD" w:rsidP="00F422AD">
            <w:pPr>
              <w:jc w:val="center"/>
            </w:pPr>
            <w:r>
              <w:rPr>
                <w:rFonts w:eastAsiaTheme="minorEastAsia"/>
                <w:color w:val="000000" w:themeColor="text1"/>
                <w:kern w:val="0"/>
              </w:rPr>
              <w:t>0.84%</w:t>
            </w:r>
          </w:p>
        </w:tc>
        <w:tc>
          <w:tcPr>
            <w:tcW w:w="1181" w:type="dxa"/>
            <w:vAlign w:val="center"/>
          </w:tcPr>
          <w:p w:rsidR="00F422AD" w:rsidRDefault="00F422AD" w:rsidP="00F422AD">
            <w:pPr>
              <w:jc w:val="center"/>
            </w:pPr>
            <w:r>
              <w:rPr>
                <w:rFonts w:eastAsiaTheme="minorEastAsia"/>
                <w:color w:val="000000" w:themeColor="text1"/>
                <w:kern w:val="0"/>
              </w:rPr>
              <w:t>-3.37%</w:t>
            </w:r>
          </w:p>
        </w:tc>
        <w:tc>
          <w:tcPr>
            <w:tcW w:w="1188" w:type="dxa"/>
            <w:vAlign w:val="center"/>
          </w:tcPr>
          <w:p w:rsidR="00F422AD" w:rsidRDefault="00F422AD" w:rsidP="00F422AD">
            <w:pPr>
              <w:jc w:val="center"/>
            </w:pPr>
            <w:r>
              <w:rPr>
                <w:rFonts w:eastAsiaTheme="minorEastAsia"/>
                <w:color w:val="000000" w:themeColor="text1"/>
                <w:kern w:val="0"/>
              </w:rPr>
              <w:t>0.70%</w:t>
            </w:r>
          </w:p>
        </w:tc>
        <w:tc>
          <w:tcPr>
            <w:tcW w:w="1199" w:type="dxa"/>
            <w:vAlign w:val="center"/>
          </w:tcPr>
          <w:p w:rsidR="00F422AD" w:rsidRDefault="00F422AD" w:rsidP="00F422AD">
            <w:pPr>
              <w:jc w:val="center"/>
            </w:pPr>
            <w:r>
              <w:rPr>
                <w:rFonts w:eastAsiaTheme="minorEastAsia"/>
                <w:color w:val="000000" w:themeColor="text1"/>
                <w:kern w:val="0"/>
              </w:rPr>
              <w:t>-3.51%</w:t>
            </w:r>
          </w:p>
        </w:tc>
        <w:tc>
          <w:tcPr>
            <w:tcW w:w="1204" w:type="dxa"/>
            <w:vAlign w:val="center"/>
          </w:tcPr>
          <w:p w:rsidR="00F422AD" w:rsidRDefault="00F422AD" w:rsidP="00F422AD">
            <w:pPr>
              <w:jc w:val="center"/>
            </w:pPr>
            <w:r>
              <w:rPr>
                <w:rFonts w:eastAsiaTheme="minorEastAsia"/>
                <w:color w:val="000000" w:themeColor="text1"/>
                <w:kern w:val="0"/>
              </w:rPr>
              <w:t>0.14%</w:t>
            </w:r>
          </w:p>
        </w:tc>
      </w:tr>
      <w:tr w:rsidR="00F422AD" w:rsidTr="009E0780">
        <w:tc>
          <w:tcPr>
            <w:tcW w:w="1395" w:type="dxa"/>
            <w:vAlign w:val="center"/>
          </w:tcPr>
          <w:p w:rsidR="00F422AD" w:rsidRDefault="00F422AD" w:rsidP="00F422AD">
            <w:pPr>
              <w:jc w:val="left"/>
            </w:pPr>
            <w:r>
              <w:rPr>
                <w:rFonts w:eastAsiaTheme="minorEastAsia"/>
                <w:color w:val="000000" w:themeColor="text1"/>
                <w:kern w:val="0"/>
              </w:rPr>
              <w:t>过去六个月</w:t>
            </w:r>
          </w:p>
        </w:tc>
        <w:tc>
          <w:tcPr>
            <w:tcW w:w="1092" w:type="dxa"/>
            <w:vAlign w:val="center"/>
          </w:tcPr>
          <w:p w:rsidR="00F422AD" w:rsidRDefault="00F422AD" w:rsidP="00F422AD">
            <w:pPr>
              <w:jc w:val="center"/>
            </w:pPr>
            <w:r>
              <w:rPr>
                <w:rFonts w:eastAsiaTheme="minorEastAsia"/>
                <w:color w:val="000000" w:themeColor="text1"/>
                <w:kern w:val="0"/>
              </w:rPr>
              <w:t>-3.41%</w:t>
            </w:r>
          </w:p>
        </w:tc>
        <w:tc>
          <w:tcPr>
            <w:tcW w:w="1161" w:type="dxa"/>
            <w:vAlign w:val="center"/>
          </w:tcPr>
          <w:p w:rsidR="00F422AD" w:rsidRDefault="00F422AD" w:rsidP="00F422AD">
            <w:pPr>
              <w:jc w:val="center"/>
            </w:pPr>
            <w:r>
              <w:rPr>
                <w:rFonts w:eastAsiaTheme="minorEastAsia"/>
                <w:color w:val="000000" w:themeColor="text1"/>
                <w:kern w:val="0"/>
              </w:rPr>
              <w:t>1.07%</w:t>
            </w:r>
          </w:p>
        </w:tc>
        <w:tc>
          <w:tcPr>
            <w:tcW w:w="1181" w:type="dxa"/>
            <w:vAlign w:val="center"/>
          </w:tcPr>
          <w:p w:rsidR="00F422AD" w:rsidRDefault="00F422AD" w:rsidP="00F422AD">
            <w:pPr>
              <w:jc w:val="center"/>
            </w:pPr>
            <w:r>
              <w:rPr>
                <w:rFonts w:eastAsiaTheme="minorEastAsia"/>
                <w:color w:val="000000" w:themeColor="text1"/>
                <w:kern w:val="0"/>
              </w:rPr>
              <w:t>-6.69%</w:t>
            </w:r>
          </w:p>
        </w:tc>
        <w:tc>
          <w:tcPr>
            <w:tcW w:w="1188" w:type="dxa"/>
            <w:vAlign w:val="center"/>
          </w:tcPr>
          <w:p w:rsidR="00F422AD" w:rsidRDefault="00F422AD" w:rsidP="00F422AD">
            <w:pPr>
              <w:jc w:val="center"/>
            </w:pPr>
            <w:r>
              <w:rPr>
                <w:rFonts w:eastAsiaTheme="minorEastAsia"/>
                <w:color w:val="000000" w:themeColor="text1"/>
                <w:kern w:val="0"/>
              </w:rPr>
              <w:t>0.67%</w:t>
            </w:r>
          </w:p>
        </w:tc>
        <w:tc>
          <w:tcPr>
            <w:tcW w:w="1199" w:type="dxa"/>
            <w:vAlign w:val="center"/>
          </w:tcPr>
          <w:p w:rsidR="00F422AD" w:rsidRDefault="00F422AD" w:rsidP="00F422AD">
            <w:pPr>
              <w:jc w:val="center"/>
            </w:pPr>
            <w:r>
              <w:rPr>
                <w:rFonts w:eastAsiaTheme="minorEastAsia"/>
                <w:color w:val="000000" w:themeColor="text1"/>
                <w:kern w:val="0"/>
              </w:rPr>
              <w:t>3.28%</w:t>
            </w:r>
          </w:p>
        </w:tc>
        <w:tc>
          <w:tcPr>
            <w:tcW w:w="1204" w:type="dxa"/>
            <w:vAlign w:val="center"/>
          </w:tcPr>
          <w:p w:rsidR="00F422AD" w:rsidRDefault="00F422AD" w:rsidP="00F422AD">
            <w:pPr>
              <w:jc w:val="center"/>
            </w:pPr>
            <w:r>
              <w:rPr>
                <w:rFonts w:eastAsiaTheme="minorEastAsia"/>
                <w:color w:val="000000" w:themeColor="text1"/>
                <w:kern w:val="0"/>
              </w:rPr>
              <w:t>0.40%</w:t>
            </w:r>
          </w:p>
        </w:tc>
      </w:tr>
      <w:tr w:rsidR="00F422AD" w:rsidTr="009E0780">
        <w:tc>
          <w:tcPr>
            <w:tcW w:w="1395" w:type="dxa"/>
            <w:vAlign w:val="center"/>
          </w:tcPr>
          <w:p w:rsidR="00F422AD" w:rsidRDefault="00F422AD" w:rsidP="00F422AD">
            <w:pPr>
              <w:jc w:val="left"/>
            </w:pPr>
            <w:r>
              <w:rPr>
                <w:rFonts w:eastAsiaTheme="minorEastAsia"/>
                <w:color w:val="000000" w:themeColor="text1"/>
                <w:kern w:val="0"/>
              </w:rPr>
              <w:t>过去一年</w:t>
            </w:r>
          </w:p>
        </w:tc>
        <w:tc>
          <w:tcPr>
            <w:tcW w:w="1092" w:type="dxa"/>
            <w:vAlign w:val="center"/>
          </w:tcPr>
          <w:p w:rsidR="00F422AD" w:rsidRDefault="00F422AD" w:rsidP="00F422AD">
            <w:pPr>
              <w:jc w:val="center"/>
            </w:pPr>
            <w:r>
              <w:rPr>
                <w:rFonts w:eastAsiaTheme="minorEastAsia"/>
                <w:color w:val="000000" w:themeColor="text1"/>
                <w:kern w:val="0"/>
              </w:rPr>
              <w:t>-9.10%</w:t>
            </w:r>
          </w:p>
        </w:tc>
        <w:tc>
          <w:tcPr>
            <w:tcW w:w="1161" w:type="dxa"/>
            <w:vAlign w:val="center"/>
          </w:tcPr>
          <w:p w:rsidR="00F422AD" w:rsidRDefault="00F422AD" w:rsidP="00F422AD">
            <w:pPr>
              <w:jc w:val="center"/>
            </w:pPr>
            <w:r>
              <w:rPr>
                <w:rFonts w:eastAsiaTheme="minorEastAsia"/>
                <w:color w:val="000000" w:themeColor="text1"/>
                <w:kern w:val="0"/>
              </w:rPr>
              <w:t>1.03%</w:t>
            </w:r>
          </w:p>
        </w:tc>
        <w:tc>
          <w:tcPr>
            <w:tcW w:w="1181" w:type="dxa"/>
            <w:vAlign w:val="center"/>
          </w:tcPr>
          <w:p w:rsidR="00F422AD" w:rsidRDefault="00F422AD" w:rsidP="00F422AD">
            <w:pPr>
              <w:jc w:val="center"/>
            </w:pPr>
            <w:r>
              <w:rPr>
                <w:rFonts w:eastAsiaTheme="minorEastAsia"/>
                <w:color w:val="000000" w:themeColor="text1"/>
                <w:kern w:val="0"/>
              </w:rPr>
              <w:t>-0.24%</w:t>
            </w:r>
          </w:p>
        </w:tc>
        <w:tc>
          <w:tcPr>
            <w:tcW w:w="1188" w:type="dxa"/>
            <w:vAlign w:val="center"/>
          </w:tcPr>
          <w:p w:rsidR="00F422AD" w:rsidRDefault="00F422AD" w:rsidP="00F422AD">
            <w:pPr>
              <w:jc w:val="center"/>
            </w:pPr>
            <w:r>
              <w:rPr>
                <w:rFonts w:eastAsiaTheme="minorEastAsia"/>
                <w:color w:val="000000" w:themeColor="text1"/>
                <w:kern w:val="0"/>
              </w:rPr>
              <w:t>0.76%</w:t>
            </w:r>
          </w:p>
        </w:tc>
        <w:tc>
          <w:tcPr>
            <w:tcW w:w="1199" w:type="dxa"/>
            <w:vAlign w:val="center"/>
          </w:tcPr>
          <w:p w:rsidR="00F422AD" w:rsidRDefault="00F422AD" w:rsidP="00F422AD">
            <w:pPr>
              <w:jc w:val="center"/>
            </w:pPr>
            <w:r>
              <w:rPr>
                <w:rFonts w:eastAsiaTheme="minorEastAsia"/>
                <w:color w:val="000000" w:themeColor="text1"/>
                <w:kern w:val="0"/>
              </w:rPr>
              <w:t>-8.86%</w:t>
            </w:r>
          </w:p>
        </w:tc>
        <w:tc>
          <w:tcPr>
            <w:tcW w:w="1204" w:type="dxa"/>
            <w:vAlign w:val="center"/>
          </w:tcPr>
          <w:p w:rsidR="00F422AD" w:rsidRDefault="00F422AD" w:rsidP="00F422AD">
            <w:pPr>
              <w:jc w:val="center"/>
            </w:pPr>
            <w:r>
              <w:rPr>
                <w:rFonts w:eastAsiaTheme="minorEastAsia"/>
                <w:color w:val="000000" w:themeColor="text1"/>
                <w:kern w:val="0"/>
              </w:rPr>
              <w:t>0.27%</w:t>
            </w:r>
          </w:p>
        </w:tc>
      </w:tr>
      <w:tr w:rsidR="00F422AD" w:rsidTr="009E0780">
        <w:tc>
          <w:tcPr>
            <w:tcW w:w="1395" w:type="dxa"/>
            <w:vAlign w:val="center"/>
          </w:tcPr>
          <w:p w:rsidR="00F422AD" w:rsidRDefault="00F422AD" w:rsidP="00F422AD">
            <w:pPr>
              <w:jc w:val="left"/>
            </w:pPr>
            <w:r>
              <w:rPr>
                <w:rFonts w:eastAsiaTheme="minorEastAsia"/>
                <w:color w:val="000000" w:themeColor="text1"/>
                <w:kern w:val="0"/>
              </w:rPr>
              <w:t>过去三年</w:t>
            </w:r>
          </w:p>
        </w:tc>
        <w:tc>
          <w:tcPr>
            <w:tcW w:w="1092" w:type="dxa"/>
            <w:vAlign w:val="center"/>
          </w:tcPr>
          <w:p w:rsidR="00F422AD" w:rsidRDefault="00F422AD" w:rsidP="00F422AD">
            <w:pPr>
              <w:jc w:val="center"/>
            </w:pPr>
            <w:r>
              <w:rPr>
                <w:rFonts w:eastAsiaTheme="minorEastAsia"/>
                <w:color w:val="000000" w:themeColor="text1"/>
                <w:kern w:val="0"/>
              </w:rPr>
              <w:t>-28.69%</w:t>
            </w:r>
          </w:p>
        </w:tc>
        <w:tc>
          <w:tcPr>
            <w:tcW w:w="1161" w:type="dxa"/>
            <w:vAlign w:val="center"/>
          </w:tcPr>
          <w:p w:rsidR="00F422AD" w:rsidRDefault="00F422AD" w:rsidP="00F422AD">
            <w:pPr>
              <w:jc w:val="center"/>
            </w:pPr>
            <w:r>
              <w:rPr>
                <w:rFonts w:eastAsiaTheme="minorEastAsia"/>
                <w:color w:val="000000" w:themeColor="text1"/>
                <w:kern w:val="0"/>
              </w:rPr>
              <w:t>1.33%</w:t>
            </w:r>
          </w:p>
        </w:tc>
        <w:tc>
          <w:tcPr>
            <w:tcW w:w="1181" w:type="dxa"/>
            <w:vAlign w:val="center"/>
          </w:tcPr>
          <w:p w:rsidR="00F422AD" w:rsidRDefault="00F422AD" w:rsidP="00F422AD">
            <w:pPr>
              <w:jc w:val="center"/>
            </w:pPr>
            <w:r>
              <w:rPr>
                <w:rFonts w:eastAsiaTheme="minorEastAsia"/>
                <w:color w:val="000000" w:themeColor="text1"/>
                <w:kern w:val="0"/>
              </w:rPr>
              <w:t>-11.54%</w:t>
            </w:r>
          </w:p>
        </w:tc>
        <w:tc>
          <w:tcPr>
            <w:tcW w:w="1188" w:type="dxa"/>
            <w:vAlign w:val="center"/>
          </w:tcPr>
          <w:p w:rsidR="00F422AD" w:rsidRDefault="00F422AD" w:rsidP="00F422AD">
            <w:pPr>
              <w:jc w:val="center"/>
            </w:pPr>
            <w:r>
              <w:rPr>
                <w:rFonts w:eastAsiaTheme="minorEastAsia"/>
                <w:color w:val="000000" w:themeColor="text1"/>
                <w:kern w:val="0"/>
              </w:rPr>
              <w:t>0.87%</w:t>
            </w:r>
          </w:p>
        </w:tc>
        <w:tc>
          <w:tcPr>
            <w:tcW w:w="1199" w:type="dxa"/>
            <w:vAlign w:val="center"/>
          </w:tcPr>
          <w:p w:rsidR="00F422AD" w:rsidRDefault="00F422AD" w:rsidP="00F422AD">
            <w:pPr>
              <w:jc w:val="center"/>
            </w:pPr>
            <w:r>
              <w:rPr>
                <w:rFonts w:eastAsiaTheme="minorEastAsia"/>
                <w:color w:val="000000" w:themeColor="text1"/>
                <w:kern w:val="0"/>
              </w:rPr>
              <w:t>-17.15%</w:t>
            </w:r>
          </w:p>
        </w:tc>
        <w:tc>
          <w:tcPr>
            <w:tcW w:w="1204" w:type="dxa"/>
            <w:vAlign w:val="center"/>
          </w:tcPr>
          <w:p w:rsidR="00F422AD" w:rsidRDefault="00F422AD" w:rsidP="00F422AD">
            <w:pPr>
              <w:jc w:val="center"/>
            </w:pPr>
            <w:r>
              <w:rPr>
                <w:rFonts w:eastAsiaTheme="minorEastAsia"/>
                <w:color w:val="000000" w:themeColor="text1"/>
                <w:kern w:val="0"/>
              </w:rPr>
              <w:t>0.46%</w:t>
            </w:r>
          </w:p>
        </w:tc>
      </w:tr>
      <w:tr w:rsidR="00F422AD" w:rsidTr="009E0780">
        <w:tc>
          <w:tcPr>
            <w:tcW w:w="1395" w:type="dxa"/>
            <w:vAlign w:val="center"/>
          </w:tcPr>
          <w:p w:rsidR="00F422AD" w:rsidRDefault="00F422AD" w:rsidP="00F422AD">
            <w:pPr>
              <w:jc w:val="left"/>
            </w:pPr>
            <w:r>
              <w:rPr>
                <w:rFonts w:eastAsiaTheme="minorEastAsia"/>
                <w:color w:val="000000" w:themeColor="text1"/>
                <w:kern w:val="0"/>
              </w:rPr>
              <w:t>过去五年</w:t>
            </w:r>
          </w:p>
        </w:tc>
        <w:tc>
          <w:tcPr>
            <w:tcW w:w="1092" w:type="dxa"/>
            <w:vAlign w:val="center"/>
          </w:tcPr>
          <w:p w:rsidR="00F422AD" w:rsidRDefault="00F422AD" w:rsidP="00F422AD">
            <w:pPr>
              <w:jc w:val="center"/>
            </w:pPr>
            <w:r>
              <w:rPr>
                <w:rFonts w:eastAsiaTheme="minorEastAsia"/>
                <w:color w:val="000000" w:themeColor="text1"/>
                <w:kern w:val="0"/>
              </w:rPr>
              <w:t>-</w:t>
            </w:r>
          </w:p>
        </w:tc>
        <w:tc>
          <w:tcPr>
            <w:tcW w:w="1161" w:type="dxa"/>
            <w:vAlign w:val="center"/>
          </w:tcPr>
          <w:p w:rsidR="00F422AD" w:rsidRDefault="00F422AD" w:rsidP="00F422AD">
            <w:pPr>
              <w:jc w:val="center"/>
            </w:pPr>
            <w:r>
              <w:rPr>
                <w:rFonts w:eastAsiaTheme="minorEastAsia"/>
                <w:color w:val="000000" w:themeColor="text1"/>
                <w:kern w:val="0"/>
              </w:rPr>
              <w:t>-</w:t>
            </w:r>
          </w:p>
        </w:tc>
        <w:tc>
          <w:tcPr>
            <w:tcW w:w="1181" w:type="dxa"/>
            <w:vAlign w:val="center"/>
          </w:tcPr>
          <w:p w:rsidR="00F422AD" w:rsidRDefault="00F422AD" w:rsidP="00F422AD">
            <w:pPr>
              <w:jc w:val="center"/>
            </w:pPr>
            <w:r>
              <w:rPr>
                <w:rFonts w:eastAsiaTheme="minorEastAsia"/>
                <w:color w:val="000000" w:themeColor="text1"/>
                <w:kern w:val="0"/>
              </w:rPr>
              <w:t>-</w:t>
            </w:r>
          </w:p>
        </w:tc>
        <w:tc>
          <w:tcPr>
            <w:tcW w:w="1188" w:type="dxa"/>
            <w:vAlign w:val="center"/>
          </w:tcPr>
          <w:p w:rsidR="00F422AD" w:rsidRDefault="00F422AD" w:rsidP="00F422AD">
            <w:pPr>
              <w:jc w:val="center"/>
            </w:pPr>
            <w:r>
              <w:rPr>
                <w:rFonts w:eastAsiaTheme="minorEastAsia"/>
                <w:color w:val="000000" w:themeColor="text1"/>
                <w:kern w:val="0"/>
              </w:rPr>
              <w:t>-</w:t>
            </w:r>
          </w:p>
        </w:tc>
        <w:tc>
          <w:tcPr>
            <w:tcW w:w="1199" w:type="dxa"/>
            <w:vAlign w:val="center"/>
          </w:tcPr>
          <w:p w:rsidR="00F422AD" w:rsidRDefault="00F422AD" w:rsidP="00F422AD">
            <w:pPr>
              <w:jc w:val="center"/>
            </w:pPr>
            <w:r>
              <w:rPr>
                <w:rFonts w:eastAsiaTheme="minorEastAsia"/>
                <w:color w:val="000000" w:themeColor="text1"/>
                <w:kern w:val="0"/>
              </w:rPr>
              <w:t>-</w:t>
            </w:r>
          </w:p>
        </w:tc>
        <w:tc>
          <w:tcPr>
            <w:tcW w:w="1204" w:type="dxa"/>
            <w:vAlign w:val="center"/>
          </w:tcPr>
          <w:p w:rsidR="00F422AD" w:rsidRDefault="00F422AD" w:rsidP="00F422AD">
            <w:pPr>
              <w:jc w:val="center"/>
            </w:pPr>
            <w:r>
              <w:rPr>
                <w:rFonts w:eastAsiaTheme="minorEastAsia"/>
                <w:color w:val="000000" w:themeColor="text1"/>
                <w:kern w:val="0"/>
              </w:rPr>
              <w:t>-</w:t>
            </w:r>
          </w:p>
        </w:tc>
      </w:tr>
      <w:tr w:rsidR="00F422AD" w:rsidTr="009E0780">
        <w:tc>
          <w:tcPr>
            <w:tcW w:w="1395" w:type="dxa"/>
            <w:vAlign w:val="center"/>
          </w:tcPr>
          <w:p w:rsidR="00F422AD" w:rsidRDefault="00F422AD" w:rsidP="00F422AD">
            <w:pPr>
              <w:jc w:val="left"/>
            </w:pPr>
            <w:r>
              <w:rPr>
                <w:rFonts w:eastAsiaTheme="minorEastAsia"/>
                <w:color w:val="000000" w:themeColor="text1"/>
                <w:kern w:val="0"/>
              </w:rPr>
              <w:t>自基金合同生效起至今</w:t>
            </w:r>
          </w:p>
        </w:tc>
        <w:tc>
          <w:tcPr>
            <w:tcW w:w="1092" w:type="dxa"/>
            <w:vAlign w:val="center"/>
          </w:tcPr>
          <w:p w:rsidR="00F422AD" w:rsidRDefault="00F422AD" w:rsidP="00F422AD">
            <w:pPr>
              <w:jc w:val="center"/>
            </w:pPr>
            <w:r>
              <w:rPr>
                <w:rFonts w:eastAsiaTheme="minorEastAsia"/>
                <w:color w:val="000000" w:themeColor="text1"/>
                <w:kern w:val="0"/>
              </w:rPr>
              <w:t>-28.55%</w:t>
            </w:r>
          </w:p>
        </w:tc>
        <w:tc>
          <w:tcPr>
            <w:tcW w:w="1161" w:type="dxa"/>
            <w:vAlign w:val="center"/>
          </w:tcPr>
          <w:p w:rsidR="00F422AD" w:rsidRDefault="00F422AD" w:rsidP="00F422AD">
            <w:pPr>
              <w:jc w:val="center"/>
            </w:pPr>
            <w:r>
              <w:rPr>
                <w:rFonts w:eastAsiaTheme="minorEastAsia"/>
                <w:color w:val="000000" w:themeColor="text1"/>
                <w:kern w:val="0"/>
              </w:rPr>
              <w:t>1.32%</w:t>
            </w:r>
          </w:p>
        </w:tc>
        <w:tc>
          <w:tcPr>
            <w:tcW w:w="1181" w:type="dxa"/>
            <w:vAlign w:val="center"/>
          </w:tcPr>
          <w:p w:rsidR="00F422AD" w:rsidRDefault="00F422AD" w:rsidP="00F422AD">
            <w:pPr>
              <w:jc w:val="center"/>
            </w:pPr>
            <w:r>
              <w:rPr>
                <w:rFonts w:eastAsiaTheme="minorEastAsia"/>
                <w:color w:val="000000" w:themeColor="text1"/>
                <w:kern w:val="0"/>
              </w:rPr>
              <w:t>-12.83%</w:t>
            </w:r>
          </w:p>
        </w:tc>
        <w:tc>
          <w:tcPr>
            <w:tcW w:w="1188" w:type="dxa"/>
            <w:vAlign w:val="center"/>
          </w:tcPr>
          <w:p w:rsidR="00F422AD" w:rsidRDefault="00F422AD" w:rsidP="00F422AD">
            <w:pPr>
              <w:jc w:val="center"/>
            </w:pPr>
            <w:r>
              <w:rPr>
                <w:rFonts w:eastAsiaTheme="minorEastAsia"/>
                <w:color w:val="000000" w:themeColor="text1"/>
                <w:kern w:val="0"/>
              </w:rPr>
              <w:t>0.87%</w:t>
            </w:r>
          </w:p>
        </w:tc>
        <w:tc>
          <w:tcPr>
            <w:tcW w:w="1199" w:type="dxa"/>
            <w:vAlign w:val="center"/>
          </w:tcPr>
          <w:p w:rsidR="00F422AD" w:rsidRDefault="00F422AD" w:rsidP="00F422AD">
            <w:pPr>
              <w:jc w:val="center"/>
            </w:pPr>
            <w:r>
              <w:rPr>
                <w:rFonts w:eastAsiaTheme="minorEastAsia"/>
                <w:color w:val="000000" w:themeColor="text1"/>
                <w:kern w:val="0"/>
              </w:rPr>
              <w:t>-15.72%</w:t>
            </w:r>
          </w:p>
        </w:tc>
        <w:tc>
          <w:tcPr>
            <w:tcW w:w="1204" w:type="dxa"/>
            <w:vAlign w:val="center"/>
          </w:tcPr>
          <w:p w:rsidR="00F422AD" w:rsidRDefault="00F422AD" w:rsidP="00F422AD">
            <w:pPr>
              <w:jc w:val="center"/>
            </w:pPr>
            <w:r>
              <w:rPr>
                <w:rFonts w:eastAsiaTheme="minorEastAsia"/>
                <w:color w:val="000000" w:themeColor="text1"/>
                <w:kern w:val="0"/>
              </w:rPr>
              <w:t>0.45%</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摩根慧见两年持有期混合型证券投资基金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(2020</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9</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17</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2023</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9</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F422AD">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drawing>
          <wp:inline distT="0" distB="0" distL="0" distR="0" wp14:anchorId="05D256C4" wp14:editId="71574B95">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BC6297" w:rsidRDefault="007D03A3">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w:t>
      </w:r>
      <w:r>
        <w:rPr>
          <w:rFonts w:eastAsiaTheme="minorEastAsia"/>
          <w:color w:val="000000" w:themeColor="text1"/>
        </w:rPr>
        <w:t>17</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6</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lastRenderedPageBreak/>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BC6297">
        <w:tc>
          <w:tcPr>
            <w:tcW w:w="851" w:type="dxa"/>
            <w:vAlign w:val="center"/>
          </w:tcPr>
          <w:p w:rsidR="00BC6297" w:rsidRDefault="007D03A3">
            <w:pPr>
              <w:jc w:val="center"/>
            </w:pPr>
            <w:r>
              <w:rPr>
                <w:rFonts w:eastAsiaTheme="minorEastAsia"/>
                <w:color w:val="000000" w:themeColor="text1"/>
              </w:rPr>
              <w:t>李德辉</w:t>
            </w:r>
          </w:p>
        </w:tc>
        <w:tc>
          <w:tcPr>
            <w:tcW w:w="850" w:type="dxa"/>
            <w:vAlign w:val="center"/>
          </w:tcPr>
          <w:p w:rsidR="00BC6297" w:rsidRDefault="007D03A3">
            <w:pPr>
              <w:jc w:val="center"/>
            </w:pPr>
            <w:r>
              <w:rPr>
                <w:rFonts w:eastAsiaTheme="minorEastAsia"/>
                <w:color w:val="000000" w:themeColor="text1"/>
              </w:rPr>
              <w:t>本基金基金经理</w:t>
            </w:r>
          </w:p>
        </w:tc>
        <w:tc>
          <w:tcPr>
            <w:tcW w:w="1560" w:type="dxa"/>
            <w:vAlign w:val="center"/>
          </w:tcPr>
          <w:p w:rsidR="00BC6297" w:rsidRDefault="007D03A3">
            <w:pPr>
              <w:jc w:val="center"/>
            </w:pPr>
            <w:r>
              <w:rPr>
                <w:rFonts w:eastAsiaTheme="minorEastAsia"/>
                <w:color w:val="000000" w:themeColor="text1"/>
              </w:rPr>
              <w:t>2020-09-17</w:t>
            </w:r>
          </w:p>
        </w:tc>
        <w:tc>
          <w:tcPr>
            <w:tcW w:w="1559" w:type="dxa"/>
            <w:vAlign w:val="center"/>
          </w:tcPr>
          <w:p w:rsidR="00BC6297" w:rsidRDefault="007D03A3">
            <w:pPr>
              <w:jc w:val="center"/>
            </w:pPr>
            <w:r>
              <w:rPr>
                <w:rFonts w:eastAsiaTheme="minorEastAsia"/>
                <w:color w:val="000000" w:themeColor="text1"/>
              </w:rPr>
              <w:t>-</w:t>
            </w:r>
          </w:p>
        </w:tc>
        <w:tc>
          <w:tcPr>
            <w:tcW w:w="1417" w:type="dxa"/>
            <w:vAlign w:val="center"/>
          </w:tcPr>
          <w:p w:rsidR="00BC6297" w:rsidRDefault="007D03A3">
            <w:pPr>
              <w:jc w:val="center"/>
            </w:pPr>
            <w:r>
              <w:rPr>
                <w:rFonts w:eastAsiaTheme="minorEastAsia"/>
                <w:color w:val="000000" w:themeColor="text1"/>
              </w:rPr>
              <w:t>11</w:t>
            </w:r>
            <w:r>
              <w:rPr>
                <w:rFonts w:eastAsiaTheme="minorEastAsia"/>
                <w:color w:val="000000" w:themeColor="text1"/>
              </w:rPr>
              <w:t>年</w:t>
            </w:r>
          </w:p>
        </w:tc>
        <w:tc>
          <w:tcPr>
            <w:tcW w:w="2694" w:type="dxa"/>
            <w:vAlign w:val="center"/>
          </w:tcPr>
          <w:p w:rsidR="00BC6297" w:rsidRDefault="007D03A3">
            <w:r>
              <w:rPr>
                <w:rFonts w:eastAsiaTheme="minorEastAsia"/>
                <w:color w:val="000000" w:themeColor="text1"/>
              </w:rPr>
              <w:t>李德辉先生曾任农银汇理基金管理有限公司研究员。</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月起加入摩根基金管理（中国）有限公司（原上投摩根基金管理有限公司），历任研究员、行业专家兼基金经理助理、基金经理、高级基金经理，现任资深基金经理。</w:t>
            </w:r>
          </w:p>
        </w:tc>
      </w:tr>
    </w:tbl>
    <w:p w:rsidR="00BC6297" w:rsidRDefault="007D03A3">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BC6297" w:rsidRDefault="007D03A3">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2.</w:t>
      </w:r>
      <w:r>
        <w:rPr>
          <w:rFonts w:eastAsiaTheme="minorEastAsia"/>
          <w:color w:val="000000" w:themeColor="text1"/>
        </w:rPr>
        <w:t>李德辉先生为本基金首任基金经理，其任职日期指本基金基金合同生效之日。</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3.</w:t>
      </w:r>
      <w:r w:rsidRPr="00FF6B9A">
        <w:rPr>
          <w:rFonts w:eastAsiaTheme="minorEastAsia"/>
          <w:color w:val="000000" w:themeColor="text1"/>
        </w:rPr>
        <w:t>证券从业的含义遵从行业协会《证券业从业人员资格管理办法》的相关规定。</w:t>
      </w:r>
    </w:p>
    <w:p w:rsidR="00454D20" w:rsidRPr="00FF6B9A" w:rsidRDefault="00454D20" w:rsidP="00454D20">
      <w:pPr>
        <w:autoSpaceDE w:val="0"/>
        <w:autoSpaceDN w:val="0"/>
        <w:adjustRightInd w:val="0"/>
        <w:spacing w:line="360" w:lineRule="auto"/>
        <w:jc w:val="left"/>
        <w:rPr>
          <w:rFonts w:eastAsia="Times New Roman"/>
          <w:b/>
          <w:color w:val="000000"/>
          <w:kern w:val="0"/>
          <w:sz w:val="24"/>
        </w:rPr>
      </w:pPr>
      <w:bookmarkStart w:id="0" w:name="_Hlk44921484"/>
      <w:r w:rsidRPr="00FF6B9A">
        <w:rPr>
          <w:b/>
          <w:color w:val="000000"/>
          <w:kern w:val="0"/>
          <w:sz w:val="24"/>
        </w:rPr>
        <w:t>4</w:t>
      </w:r>
      <w:r w:rsidRPr="00FF6B9A">
        <w:rPr>
          <w:rFonts w:eastAsia="Times New Roman"/>
          <w:b/>
          <w:color w:val="000000"/>
          <w:kern w:val="0"/>
          <w:sz w:val="24"/>
        </w:rPr>
        <w:t>.</w:t>
      </w:r>
      <w:r w:rsidRPr="00FF6B9A">
        <w:rPr>
          <w:b/>
          <w:color w:val="000000"/>
          <w:kern w:val="0"/>
          <w:sz w:val="24"/>
        </w:rPr>
        <w:t xml:space="preserve">1.1 </w:t>
      </w:r>
      <w:r w:rsidRPr="00FF6B9A">
        <w:rPr>
          <w:b/>
          <w:color w:val="000000"/>
          <w:kern w:val="0"/>
          <w:sz w:val="24"/>
        </w:rPr>
        <w:t>期末兼任私募资产管理计划投资经理的基金经理同时管理的产品情况</w:t>
      </w:r>
      <w:bookmarkEnd w:id="0"/>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1"/>
        <w:gridCol w:w="2396"/>
        <w:gridCol w:w="1818"/>
        <w:gridCol w:w="1350"/>
      </w:tblGrid>
      <w:tr w:rsidR="00454D20" w:rsidRPr="00FF6B9A" w:rsidTr="00454D20">
        <w:tc>
          <w:tcPr>
            <w:tcW w:w="959"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资产净值</w:t>
            </w:r>
            <w:r w:rsidRPr="00FF6B9A">
              <w:rPr>
                <w:rFonts w:eastAsiaTheme="minorEastAsia"/>
                <w:color w:val="000000"/>
              </w:rPr>
              <w:t>(</w:t>
            </w:r>
            <w:r w:rsidRPr="00FF6B9A">
              <w:rPr>
                <w:rFonts w:eastAsiaTheme="minorEastAsia"/>
                <w:color w:val="000000"/>
              </w:rPr>
              <w:t>元</w:t>
            </w:r>
            <w:r w:rsidRPr="00FF6B9A">
              <w:rPr>
                <w:rFonts w:eastAsiaTheme="minorEastAsia"/>
                <w:color w:val="000000"/>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任职时间</w:t>
            </w:r>
          </w:p>
        </w:tc>
      </w:tr>
      <w:tr w:rsidR="00454D20" w:rsidRPr="00FF6B9A" w:rsidTr="00454D20">
        <w:tc>
          <w:tcPr>
            <w:tcW w:w="959" w:type="dxa"/>
            <w:vMerge w:val="restart"/>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李德辉</w:t>
            </w: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公募基金</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6</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7,748,461,272.88</w:t>
            </w:r>
          </w:p>
        </w:tc>
        <w:tc>
          <w:tcPr>
            <w:tcW w:w="1381"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2016-11-18</w:t>
            </w:r>
          </w:p>
        </w:tc>
      </w:tr>
      <w:tr w:rsidR="00454D20" w:rsidRPr="00FF6B9A"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1</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20,247,271.83</w:t>
            </w:r>
          </w:p>
        </w:tc>
        <w:tc>
          <w:tcPr>
            <w:tcW w:w="1381"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2022-11-22</w:t>
            </w:r>
          </w:p>
        </w:tc>
      </w:tr>
      <w:tr w:rsidR="00454D20" w:rsidRPr="00FF6B9A"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其他组合</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w:t>
            </w:r>
          </w:p>
        </w:tc>
        <w:tc>
          <w:tcPr>
            <w:tcW w:w="1381"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w:t>
            </w:r>
          </w:p>
        </w:tc>
      </w:tr>
      <w:tr w:rsidR="00454D20" w:rsidRPr="00FF6B9A"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合计</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7</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7,768,708,544.71</w:t>
            </w:r>
          </w:p>
        </w:tc>
        <w:tc>
          <w:tcPr>
            <w:tcW w:w="1381" w:type="dxa"/>
            <w:tcBorders>
              <w:top w:val="single" w:sz="4" w:space="0" w:color="auto"/>
              <w:left w:val="single" w:sz="4" w:space="0" w:color="auto"/>
              <w:bottom w:val="single" w:sz="4" w:space="0" w:color="auto"/>
              <w:right w:val="single" w:sz="4" w:space="0" w:color="auto"/>
            </w:tcBorders>
          </w:tcPr>
          <w:p w:rsidR="00454D20" w:rsidRPr="00FF6B9A" w:rsidRDefault="00454D20">
            <w:pPr>
              <w:spacing w:line="288" w:lineRule="auto"/>
              <w:jc w:val="left"/>
              <w:rPr>
                <w:rFonts w:eastAsiaTheme="minorEastAsia"/>
                <w:color w:val="000000"/>
              </w:rPr>
            </w:pPr>
          </w:p>
        </w:tc>
      </w:tr>
    </w:tbl>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BC6297" w:rsidRDefault="007D03A3">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w:t>
      </w:r>
      <w:r>
        <w:rPr>
          <w:rFonts w:eastAsiaTheme="minorEastAsia"/>
          <w:color w:val="000000" w:themeColor="text1"/>
        </w:rPr>
        <w:lastRenderedPageBreak/>
        <w:t>保本公司管理的不同投资组合在授权、研究分析、投资决策、交易执行、业绩评估等投资管理活动相关的环节均得到公平对待。</w:t>
      </w:r>
    </w:p>
    <w:p w:rsidR="00BC6297" w:rsidRDefault="007D03A3">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BC6297" w:rsidRDefault="007D03A3">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BC6297" w:rsidRDefault="007D03A3">
      <w:pPr>
        <w:spacing w:line="360" w:lineRule="auto"/>
        <w:ind w:firstLineChars="200" w:firstLine="420"/>
        <w:rPr>
          <w:rFonts w:eastAsiaTheme="minorEastAsia"/>
          <w:color w:val="000000" w:themeColor="text1"/>
        </w:rPr>
      </w:pPr>
      <w:r>
        <w:rPr>
          <w:rFonts w:eastAsiaTheme="minorEastAsia"/>
          <w:color w:val="000000" w:themeColor="text1"/>
        </w:rPr>
        <w:t>三季度市场普跌，万得全</w:t>
      </w:r>
      <w:r>
        <w:rPr>
          <w:rFonts w:eastAsiaTheme="minorEastAsia"/>
          <w:color w:val="000000" w:themeColor="text1"/>
        </w:rPr>
        <w:t>A</w:t>
      </w:r>
      <w:r>
        <w:rPr>
          <w:rFonts w:eastAsiaTheme="minorEastAsia"/>
          <w:color w:val="000000" w:themeColor="text1"/>
        </w:rPr>
        <w:t>指数下跌</w:t>
      </w:r>
      <w:r>
        <w:rPr>
          <w:rFonts w:eastAsiaTheme="minorEastAsia"/>
          <w:color w:val="000000" w:themeColor="text1"/>
        </w:rPr>
        <w:t>4.33%</w:t>
      </w:r>
      <w:r>
        <w:rPr>
          <w:rFonts w:eastAsiaTheme="minorEastAsia"/>
          <w:color w:val="000000" w:themeColor="text1"/>
        </w:rPr>
        <w:t>，上证指数下跌</w:t>
      </w:r>
      <w:r>
        <w:rPr>
          <w:rFonts w:eastAsiaTheme="minorEastAsia"/>
          <w:color w:val="000000" w:themeColor="text1"/>
        </w:rPr>
        <w:t>2.86%</w:t>
      </w:r>
      <w:r>
        <w:rPr>
          <w:rFonts w:eastAsiaTheme="minorEastAsia"/>
          <w:color w:val="000000" w:themeColor="text1"/>
        </w:rPr>
        <w:t>，创业板指下跌</w:t>
      </w:r>
      <w:r>
        <w:rPr>
          <w:rFonts w:eastAsiaTheme="minorEastAsia"/>
          <w:color w:val="000000" w:themeColor="text1"/>
        </w:rPr>
        <w:t>9.53%</w:t>
      </w:r>
      <w:r>
        <w:rPr>
          <w:rFonts w:eastAsiaTheme="minorEastAsia"/>
          <w:color w:val="000000" w:themeColor="text1"/>
        </w:rPr>
        <w:t>。三季度成长方向跌幅较大，</w:t>
      </w:r>
      <w:r>
        <w:rPr>
          <w:rFonts w:eastAsiaTheme="minorEastAsia"/>
          <w:color w:val="000000" w:themeColor="text1"/>
        </w:rPr>
        <w:t>TMT</w:t>
      </w:r>
      <w:r>
        <w:rPr>
          <w:rFonts w:eastAsiaTheme="minorEastAsia"/>
          <w:color w:val="000000" w:themeColor="text1"/>
        </w:rPr>
        <w:t>板块由于人工智能（</w:t>
      </w:r>
      <w:r>
        <w:rPr>
          <w:rFonts w:eastAsiaTheme="minorEastAsia"/>
          <w:color w:val="000000" w:themeColor="text1"/>
        </w:rPr>
        <w:t>AI</w:t>
      </w:r>
      <w:r>
        <w:rPr>
          <w:rFonts w:eastAsiaTheme="minorEastAsia"/>
          <w:color w:val="000000" w:themeColor="text1"/>
        </w:rPr>
        <w:t>）热情退潮估值收敛较快，新能源方向仍面临供过于求而持续下跌。受益于经济企稳预期以及股息较高，周期价值股三季度表现较好。本基金三季度对</w:t>
      </w:r>
      <w:r>
        <w:rPr>
          <w:rFonts w:eastAsiaTheme="minorEastAsia"/>
          <w:color w:val="000000" w:themeColor="text1"/>
        </w:rPr>
        <w:t>AI</w:t>
      </w:r>
      <w:r>
        <w:rPr>
          <w:rFonts w:eastAsiaTheme="minorEastAsia"/>
          <w:color w:val="000000" w:themeColor="text1"/>
        </w:rPr>
        <w:t>算力板块做了获利了结，增持了超跌的医药板块以及部分高股息资产，净值表现好于创业板指，仍差于万得全</w:t>
      </w:r>
      <w:r>
        <w:rPr>
          <w:rFonts w:eastAsiaTheme="minorEastAsia"/>
          <w:color w:val="000000" w:themeColor="text1"/>
        </w:rPr>
        <w:t>A</w:t>
      </w:r>
      <w:r>
        <w:rPr>
          <w:rFonts w:eastAsiaTheme="minorEastAsia"/>
          <w:color w:val="000000" w:themeColor="text1"/>
        </w:rPr>
        <w:t>指数。</w:t>
      </w:r>
    </w:p>
    <w:p w:rsidR="00BC6297" w:rsidRDefault="007D03A3">
      <w:pPr>
        <w:spacing w:line="360" w:lineRule="auto"/>
        <w:ind w:firstLineChars="200" w:firstLine="420"/>
        <w:rPr>
          <w:rFonts w:eastAsiaTheme="minorEastAsia"/>
          <w:color w:val="000000" w:themeColor="text1"/>
        </w:rPr>
      </w:pPr>
      <w:r>
        <w:rPr>
          <w:rFonts w:eastAsiaTheme="minorEastAsia"/>
          <w:color w:val="000000" w:themeColor="text1"/>
        </w:rPr>
        <w:t>展望后市，三季度政策底或已经出现，房地产放松和地方债务化解等。基本面底部估计也已出现，制造业采购经理人指数（</w:t>
      </w:r>
      <w:r>
        <w:rPr>
          <w:rFonts w:eastAsiaTheme="minorEastAsia"/>
          <w:color w:val="000000" w:themeColor="text1"/>
        </w:rPr>
        <w:t>PMI</w:t>
      </w:r>
      <w:r>
        <w:rPr>
          <w:rFonts w:eastAsiaTheme="minorEastAsia"/>
          <w:color w:val="000000" w:themeColor="text1"/>
        </w:rPr>
        <w:t>）逐月回暖，生产者价格指数（</w:t>
      </w:r>
      <w:r>
        <w:rPr>
          <w:rFonts w:eastAsiaTheme="minorEastAsia"/>
          <w:color w:val="000000" w:themeColor="text1"/>
        </w:rPr>
        <w:t>PPI</w:t>
      </w:r>
      <w:r>
        <w:rPr>
          <w:rFonts w:eastAsiaTheme="minorEastAsia"/>
          <w:color w:val="000000" w:themeColor="text1"/>
        </w:rPr>
        <w:t>）跌幅收窄等。当下</w:t>
      </w:r>
      <w:r>
        <w:rPr>
          <w:rFonts w:eastAsiaTheme="minorEastAsia"/>
          <w:color w:val="000000" w:themeColor="text1"/>
        </w:rPr>
        <w:t>A</w:t>
      </w:r>
      <w:r>
        <w:rPr>
          <w:rFonts w:eastAsiaTheme="minorEastAsia"/>
          <w:color w:val="000000" w:themeColor="text1"/>
        </w:rPr>
        <w:t>股估值非常低，创业板指收益率</w:t>
      </w:r>
      <w:r>
        <w:rPr>
          <w:rFonts w:eastAsiaTheme="minorEastAsia"/>
          <w:color w:val="000000" w:themeColor="text1"/>
        </w:rPr>
        <w:t xml:space="preserve">PE </w:t>
      </w:r>
      <w:r>
        <w:rPr>
          <w:rFonts w:eastAsiaTheme="minorEastAsia"/>
          <w:color w:val="000000" w:themeColor="text1"/>
        </w:rPr>
        <w:t>（</w:t>
      </w:r>
      <w:r>
        <w:rPr>
          <w:rFonts w:eastAsiaTheme="minorEastAsia"/>
          <w:color w:val="000000" w:themeColor="text1"/>
        </w:rPr>
        <w:t>TTM</w:t>
      </w:r>
      <w:r>
        <w:rPr>
          <w:rFonts w:eastAsiaTheme="minorEastAsia"/>
          <w:color w:val="000000" w:themeColor="text1"/>
        </w:rPr>
        <w:t>）历史</w:t>
      </w:r>
      <w:r>
        <w:rPr>
          <w:rFonts w:eastAsiaTheme="minorEastAsia"/>
          <w:color w:val="000000" w:themeColor="text1"/>
        </w:rPr>
        <w:t>2.5%</w:t>
      </w:r>
      <w:r>
        <w:rPr>
          <w:rFonts w:eastAsiaTheme="minorEastAsia"/>
          <w:color w:val="000000" w:themeColor="text1"/>
        </w:rPr>
        <w:t>低位，沪深</w:t>
      </w:r>
      <w:r>
        <w:rPr>
          <w:rFonts w:eastAsiaTheme="minorEastAsia"/>
          <w:color w:val="000000" w:themeColor="text1"/>
        </w:rPr>
        <w:t xml:space="preserve"> 300 </w:t>
      </w:r>
      <w:r>
        <w:rPr>
          <w:rFonts w:eastAsiaTheme="minorEastAsia"/>
          <w:color w:val="000000" w:themeColor="text1"/>
        </w:rPr>
        <w:t>指数</w:t>
      </w:r>
      <w:r>
        <w:rPr>
          <w:rFonts w:eastAsiaTheme="minorEastAsia"/>
          <w:color w:val="000000" w:themeColor="text1"/>
        </w:rPr>
        <w:t>PE</w:t>
      </w:r>
      <w:r>
        <w:rPr>
          <w:rFonts w:eastAsiaTheme="minorEastAsia"/>
          <w:color w:val="000000" w:themeColor="text1"/>
        </w:rPr>
        <w:t>（</w:t>
      </w:r>
      <w:r>
        <w:rPr>
          <w:rFonts w:eastAsiaTheme="minorEastAsia"/>
          <w:color w:val="000000" w:themeColor="text1"/>
        </w:rPr>
        <w:t>TTM</w:t>
      </w:r>
      <w:r>
        <w:rPr>
          <w:rFonts w:eastAsiaTheme="minorEastAsia"/>
          <w:color w:val="000000" w:themeColor="text1"/>
        </w:rPr>
        <w:t>）历史</w:t>
      </w:r>
      <w:r>
        <w:rPr>
          <w:rFonts w:eastAsiaTheme="minorEastAsia"/>
          <w:color w:val="000000" w:themeColor="text1"/>
        </w:rPr>
        <w:t>22%</w:t>
      </w:r>
      <w:r>
        <w:rPr>
          <w:rFonts w:eastAsiaTheme="minorEastAsia"/>
          <w:color w:val="000000" w:themeColor="text1"/>
        </w:rPr>
        <w:t>低位。如果剔除股息类资产的上涨，</w:t>
      </w:r>
      <w:r>
        <w:rPr>
          <w:rFonts w:eastAsiaTheme="minorEastAsia"/>
          <w:color w:val="000000" w:themeColor="text1"/>
        </w:rPr>
        <w:t>A</w:t>
      </w:r>
      <w:r>
        <w:rPr>
          <w:rFonts w:eastAsiaTheme="minorEastAsia"/>
          <w:color w:val="000000" w:themeColor="text1"/>
        </w:rPr>
        <w:t>股的估值分位数应该更低。综上所述：我们认为当下可能就是市场底部，如果经济能持续好转，股市修复弹性或较大。</w:t>
      </w:r>
    </w:p>
    <w:p w:rsidR="00BC6297" w:rsidRDefault="007D03A3">
      <w:pPr>
        <w:spacing w:line="360" w:lineRule="auto"/>
        <w:ind w:firstLineChars="200" w:firstLine="420"/>
        <w:rPr>
          <w:rFonts w:eastAsiaTheme="minorEastAsia"/>
          <w:color w:val="000000" w:themeColor="text1"/>
        </w:rPr>
      </w:pPr>
      <w:r>
        <w:rPr>
          <w:rFonts w:eastAsiaTheme="minorEastAsia"/>
          <w:color w:val="000000" w:themeColor="text1"/>
        </w:rPr>
        <w:t>本基金均衡配置了</w:t>
      </w:r>
      <w:r>
        <w:rPr>
          <w:rFonts w:eastAsiaTheme="minorEastAsia"/>
          <w:color w:val="000000" w:themeColor="text1"/>
        </w:rPr>
        <w:t>TMT</w:t>
      </w:r>
      <w:r>
        <w:rPr>
          <w:rFonts w:eastAsiaTheme="minorEastAsia"/>
          <w:color w:val="000000" w:themeColor="text1"/>
        </w:rPr>
        <w:t>、医药、消费、新能源车、周期等行业核心资产。</w:t>
      </w:r>
      <w:r>
        <w:rPr>
          <w:rFonts w:eastAsiaTheme="minorEastAsia"/>
          <w:color w:val="000000" w:themeColor="text1"/>
        </w:rPr>
        <w:t>TMT</w:t>
      </w:r>
      <w:r>
        <w:rPr>
          <w:rFonts w:eastAsiaTheme="minorEastAsia"/>
          <w:color w:val="000000" w:themeColor="text1"/>
        </w:rPr>
        <w:t>：</w:t>
      </w:r>
      <w:r>
        <w:rPr>
          <w:rFonts w:eastAsiaTheme="minorEastAsia"/>
          <w:color w:val="000000" w:themeColor="text1"/>
        </w:rPr>
        <w:t>AI</w:t>
      </w:r>
      <w:r>
        <w:rPr>
          <w:rFonts w:eastAsiaTheme="minorEastAsia"/>
          <w:color w:val="000000" w:themeColor="text1"/>
        </w:rPr>
        <w:t>仍是长期重点关注的方向，但短期涨幅较大，做了适当减持。增持了部分不依赖于</w:t>
      </w:r>
      <w:r>
        <w:rPr>
          <w:rFonts w:eastAsiaTheme="minorEastAsia"/>
          <w:color w:val="000000" w:themeColor="text1"/>
        </w:rPr>
        <w:t>AI</w:t>
      </w:r>
      <w:r>
        <w:rPr>
          <w:rFonts w:eastAsiaTheme="minorEastAsia"/>
          <w:color w:val="000000" w:themeColor="text1"/>
        </w:rPr>
        <w:t>、增长较好且估值较低的个股。医药：到</w:t>
      </w:r>
      <w:r>
        <w:rPr>
          <w:rFonts w:eastAsiaTheme="minorEastAsia"/>
          <w:color w:val="000000" w:themeColor="text1"/>
        </w:rPr>
        <w:t>2035</w:t>
      </w:r>
      <w:r>
        <w:rPr>
          <w:rFonts w:eastAsiaTheme="minorEastAsia"/>
          <w:color w:val="000000" w:themeColor="text1"/>
        </w:rPr>
        <w:t>年我国</w:t>
      </w:r>
      <w:r>
        <w:rPr>
          <w:rFonts w:eastAsiaTheme="minorEastAsia"/>
          <w:color w:val="000000" w:themeColor="text1"/>
        </w:rPr>
        <w:t>60</w:t>
      </w:r>
      <w:r>
        <w:rPr>
          <w:rFonts w:eastAsiaTheme="minorEastAsia"/>
          <w:color w:val="000000" w:themeColor="text1"/>
        </w:rPr>
        <w:t>岁以上老人占比将超过</w:t>
      </w:r>
      <w:r>
        <w:rPr>
          <w:rFonts w:eastAsiaTheme="minorEastAsia"/>
          <w:color w:val="000000" w:themeColor="text1"/>
        </w:rPr>
        <w:t>30%</w:t>
      </w:r>
      <w:r>
        <w:rPr>
          <w:rFonts w:eastAsiaTheme="minorEastAsia"/>
          <w:color w:val="000000" w:themeColor="text1"/>
        </w:rPr>
        <w:t>，相比现在</w:t>
      </w:r>
      <w:r>
        <w:rPr>
          <w:rFonts w:eastAsiaTheme="minorEastAsia"/>
          <w:color w:val="000000" w:themeColor="text1"/>
        </w:rPr>
        <w:lastRenderedPageBreak/>
        <w:t>18%</w:t>
      </w:r>
      <w:r>
        <w:rPr>
          <w:rFonts w:eastAsiaTheme="minorEastAsia"/>
          <w:color w:val="000000" w:themeColor="text1"/>
        </w:rPr>
        <w:t>有显著增长，老龄化对医疗需求非常刚性，我们看好刚性需求的药物、耗材、器械等。消费：虽然短期消费略乏力，但是白酒这种品牌力强，增速较稳健，估值目前下跌较多，如果经济能起色，白酒仍是不错的配置方向。新能源车：行业内卷加剧，促进电动化渗透率持续提升，电池环节目前看仍有稳健的增长，目前估值性价比较高。周期：资源品由于供给增速较慢，商品价格可能长期维持在较高位置，高股息具有吸引力。家电、机械、化工部分公司：自身具有阿尔法（</w:t>
      </w:r>
      <w:r>
        <w:rPr>
          <w:rFonts w:eastAsiaTheme="minorEastAsia"/>
          <w:color w:val="000000" w:themeColor="text1"/>
        </w:rPr>
        <w:t>alpha</w:t>
      </w:r>
      <w:r>
        <w:rPr>
          <w:rFonts w:eastAsiaTheme="minorEastAsia"/>
          <w:color w:val="000000" w:themeColor="text1"/>
        </w:rPr>
        <w:t>），估值较低、业绩韧性较强。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个股选择，注重自下而上，寻找高质量公司，争取给投资人创造较好回报。</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本报告期摩根慧见两年份额净值增长率为</w:t>
      </w:r>
      <w:r w:rsidRPr="00FF6B9A">
        <w:rPr>
          <w:rFonts w:eastAsiaTheme="minorEastAsia"/>
          <w:color w:val="000000" w:themeColor="text1"/>
        </w:rPr>
        <w:t>:-6.88%</w:t>
      </w:r>
      <w:r w:rsidRPr="00FF6B9A">
        <w:rPr>
          <w:rFonts w:eastAsiaTheme="minorEastAsia"/>
          <w:color w:val="000000" w:themeColor="text1"/>
        </w:rPr>
        <w:t>，同期业绩比较基准收益率为</w:t>
      </w:r>
      <w:r w:rsidRPr="00FF6B9A">
        <w:rPr>
          <w:rFonts w:eastAsiaTheme="minorEastAsia"/>
          <w:color w:val="000000" w:themeColor="text1"/>
        </w:rPr>
        <w:t>:-3.37%</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946,393,320.88</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76.02</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946,393,320.88</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76.02</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150,014,494.24</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12.05</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103,578,938.14</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8.32</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44,930,955.85</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3.61</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1,244,917,709.11</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注：本基金本报告期末通过港股通交易机制投资的港股公允价值为人民币</w:t>
      </w:r>
      <w:r w:rsidRPr="00FF6B9A">
        <w:rPr>
          <w:rFonts w:eastAsiaTheme="minorEastAsia"/>
          <w:color w:val="000000" w:themeColor="text1"/>
        </w:rPr>
        <w:t>67,452,252.66</w:t>
      </w:r>
      <w:r w:rsidRPr="00FF6B9A">
        <w:rPr>
          <w:rFonts w:eastAsiaTheme="minorEastAsia"/>
          <w:color w:val="000000" w:themeColor="text1"/>
        </w:rPr>
        <w:t>元，占期末净值比例为</w:t>
      </w:r>
      <w:r w:rsidRPr="00FF6B9A">
        <w:rPr>
          <w:rFonts w:eastAsiaTheme="minorEastAsia"/>
          <w:color w:val="000000" w:themeColor="text1"/>
        </w:rPr>
        <w:t>5.44%</w:t>
      </w:r>
      <w:r w:rsidRPr="00FF6B9A">
        <w:rPr>
          <w:rFonts w:eastAsiaTheme="minorEastAsia"/>
          <w:color w:val="000000" w:themeColor="text1"/>
        </w:rPr>
        <w:t>。</w:t>
      </w:r>
      <w:r w:rsidRPr="00FF6B9A">
        <w:rPr>
          <w:rFonts w:eastAsiaTheme="minorEastAsia"/>
          <w:color w:val="000000" w:themeColor="text1"/>
        </w:rPr>
        <w:t xml:space="preserve">  </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46,078,040.08</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3.71</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705,356,976.04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56.85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87,720.68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40,520,113.41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3.27</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48,498,909.23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3.91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38,399,308.78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3.10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878,941,068.22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70.85</w:t>
            </w:r>
          </w:p>
        </w:tc>
      </w:tr>
    </w:tbl>
    <w:p w:rsidR="00D06738" w:rsidRPr="00FF6B9A" w:rsidRDefault="00454D20">
      <w:pPr>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 5.2.2</w:t>
      </w:r>
      <w:r w:rsidRPr="00FF6B9A">
        <w:rPr>
          <w:rFonts w:eastAsiaTheme="minorEastAsia"/>
          <w:b/>
          <w:bCs/>
          <w:color w:val="000000" w:themeColor="text1"/>
          <w:kern w:val="0"/>
          <w:sz w:val="24"/>
          <w:szCs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行业类别</w:t>
            </w:r>
          </w:p>
        </w:tc>
        <w:tc>
          <w:tcPr>
            <w:tcW w:w="311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公允价值（人民币）</w:t>
            </w:r>
          </w:p>
        </w:tc>
        <w:tc>
          <w:tcPr>
            <w:tcW w:w="311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p>
        </w:tc>
      </w:tr>
      <w:tr w:rsidR="00BC6297">
        <w:trPr>
          <w:jc w:val="center"/>
        </w:trPr>
        <w:tc>
          <w:tcPr>
            <w:tcW w:w="2397" w:type="dxa"/>
            <w:vAlign w:val="center"/>
          </w:tcPr>
          <w:p w:rsidR="00BC6297" w:rsidRDefault="007D03A3">
            <w:pPr>
              <w:jc w:val="center"/>
            </w:pPr>
            <w:r>
              <w:rPr>
                <w:rFonts w:eastAsiaTheme="minorEastAsia"/>
                <w:color w:val="000000" w:themeColor="text1"/>
                <w:kern w:val="0"/>
              </w:rPr>
              <w:lastRenderedPageBreak/>
              <w:t>A</w:t>
            </w:r>
            <w:r>
              <w:rPr>
                <w:rFonts w:eastAsiaTheme="minorEastAsia"/>
                <w:color w:val="000000" w:themeColor="text1"/>
                <w:kern w:val="0"/>
              </w:rPr>
              <w:t>基础材料</w:t>
            </w:r>
          </w:p>
        </w:tc>
        <w:tc>
          <w:tcPr>
            <w:tcW w:w="3119" w:type="dxa"/>
            <w:vAlign w:val="center"/>
          </w:tcPr>
          <w:p w:rsidR="00BC6297" w:rsidRDefault="007D03A3">
            <w:pPr>
              <w:jc w:val="center"/>
            </w:pPr>
            <w:r>
              <w:rPr>
                <w:rFonts w:eastAsiaTheme="minorEastAsia"/>
                <w:color w:val="000000" w:themeColor="text1"/>
                <w:kern w:val="0"/>
              </w:rPr>
              <w:t>-</w:t>
            </w:r>
          </w:p>
        </w:tc>
        <w:tc>
          <w:tcPr>
            <w:tcW w:w="3118" w:type="dxa"/>
            <w:vAlign w:val="center"/>
          </w:tcPr>
          <w:p w:rsidR="00BC6297" w:rsidRDefault="007D03A3">
            <w:pPr>
              <w:jc w:val="center"/>
            </w:pPr>
            <w:r>
              <w:rPr>
                <w:rFonts w:eastAsiaTheme="minorEastAsia"/>
                <w:color w:val="000000" w:themeColor="text1"/>
                <w:kern w:val="0"/>
              </w:rPr>
              <w:t>-</w:t>
            </w:r>
          </w:p>
        </w:tc>
      </w:tr>
      <w:tr w:rsidR="00BC6297">
        <w:trPr>
          <w:jc w:val="center"/>
        </w:trPr>
        <w:tc>
          <w:tcPr>
            <w:tcW w:w="2397" w:type="dxa"/>
            <w:vAlign w:val="center"/>
          </w:tcPr>
          <w:p w:rsidR="00BC6297" w:rsidRDefault="007D03A3">
            <w:pPr>
              <w:jc w:val="center"/>
            </w:pPr>
            <w:r>
              <w:rPr>
                <w:rFonts w:eastAsiaTheme="minorEastAsia"/>
                <w:color w:val="000000" w:themeColor="text1"/>
                <w:kern w:val="0"/>
              </w:rPr>
              <w:t>B</w:t>
            </w:r>
            <w:r>
              <w:rPr>
                <w:rFonts w:eastAsiaTheme="minorEastAsia"/>
                <w:color w:val="000000" w:themeColor="text1"/>
                <w:kern w:val="0"/>
              </w:rPr>
              <w:t>消费者非必需品</w:t>
            </w:r>
          </w:p>
        </w:tc>
        <w:tc>
          <w:tcPr>
            <w:tcW w:w="3119" w:type="dxa"/>
            <w:vAlign w:val="center"/>
          </w:tcPr>
          <w:p w:rsidR="00BC6297" w:rsidRDefault="007D03A3">
            <w:pPr>
              <w:jc w:val="center"/>
            </w:pPr>
            <w:r>
              <w:rPr>
                <w:rFonts w:eastAsiaTheme="minorEastAsia"/>
                <w:color w:val="000000" w:themeColor="text1"/>
                <w:kern w:val="0"/>
              </w:rPr>
              <w:t>2,430,302.33</w:t>
            </w:r>
          </w:p>
        </w:tc>
        <w:tc>
          <w:tcPr>
            <w:tcW w:w="3118" w:type="dxa"/>
            <w:vAlign w:val="center"/>
          </w:tcPr>
          <w:p w:rsidR="00BC6297" w:rsidRDefault="007D03A3">
            <w:pPr>
              <w:jc w:val="center"/>
            </w:pPr>
            <w:r>
              <w:rPr>
                <w:rFonts w:eastAsiaTheme="minorEastAsia"/>
                <w:color w:val="000000" w:themeColor="text1"/>
                <w:kern w:val="0"/>
              </w:rPr>
              <w:t>0.20</w:t>
            </w:r>
          </w:p>
        </w:tc>
      </w:tr>
      <w:tr w:rsidR="00BC6297">
        <w:trPr>
          <w:jc w:val="center"/>
        </w:trPr>
        <w:tc>
          <w:tcPr>
            <w:tcW w:w="2397" w:type="dxa"/>
            <w:vAlign w:val="center"/>
          </w:tcPr>
          <w:p w:rsidR="00BC6297" w:rsidRDefault="007D03A3">
            <w:pPr>
              <w:jc w:val="center"/>
            </w:pPr>
            <w:r>
              <w:rPr>
                <w:rFonts w:eastAsiaTheme="minorEastAsia"/>
                <w:color w:val="000000" w:themeColor="text1"/>
                <w:kern w:val="0"/>
              </w:rPr>
              <w:t>C</w:t>
            </w:r>
            <w:r>
              <w:rPr>
                <w:rFonts w:eastAsiaTheme="minorEastAsia"/>
                <w:color w:val="000000" w:themeColor="text1"/>
                <w:kern w:val="0"/>
              </w:rPr>
              <w:t>消费者常用品</w:t>
            </w:r>
          </w:p>
        </w:tc>
        <w:tc>
          <w:tcPr>
            <w:tcW w:w="3119" w:type="dxa"/>
            <w:vAlign w:val="center"/>
          </w:tcPr>
          <w:p w:rsidR="00BC6297" w:rsidRDefault="007D03A3">
            <w:pPr>
              <w:jc w:val="center"/>
            </w:pPr>
            <w:r>
              <w:rPr>
                <w:rFonts w:eastAsiaTheme="minorEastAsia"/>
                <w:color w:val="000000" w:themeColor="text1"/>
                <w:kern w:val="0"/>
              </w:rPr>
              <w:t>-</w:t>
            </w:r>
          </w:p>
        </w:tc>
        <w:tc>
          <w:tcPr>
            <w:tcW w:w="3118" w:type="dxa"/>
            <w:vAlign w:val="center"/>
          </w:tcPr>
          <w:p w:rsidR="00BC6297" w:rsidRDefault="007D03A3">
            <w:pPr>
              <w:jc w:val="center"/>
            </w:pPr>
            <w:r>
              <w:rPr>
                <w:rFonts w:eastAsiaTheme="minorEastAsia"/>
                <w:color w:val="000000" w:themeColor="text1"/>
                <w:kern w:val="0"/>
              </w:rPr>
              <w:t>-</w:t>
            </w:r>
          </w:p>
        </w:tc>
      </w:tr>
      <w:tr w:rsidR="00BC6297">
        <w:trPr>
          <w:jc w:val="center"/>
        </w:trPr>
        <w:tc>
          <w:tcPr>
            <w:tcW w:w="2397" w:type="dxa"/>
            <w:vAlign w:val="center"/>
          </w:tcPr>
          <w:p w:rsidR="00BC6297" w:rsidRDefault="007D03A3">
            <w:pPr>
              <w:jc w:val="center"/>
            </w:pPr>
            <w:r>
              <w:rPr>
                <w:rFonts w:eastAsiaTheme="minorEastAsia"/>
                <w:color w:val="000000" w:themeColor="text1"/>
                <w:kern w:val="0"/>
              </w:rPr>
              <w:t>D</w:t>
            </w:r>
            <w:r>
              <w:rPr>
                <w:rFonts w:eastAsiaTheme="minorEastAsia"/>
                <w:color w:val="000000" w:themeColor="text1"/>
                <w:kern w:val="0"/>
              </w:rPr>
              <w:t>能源</w:t>
            </w:r>
          </w:p>
        </w:tc>
        <w:tc>
          <w:tcPr>
            <w:tcW w:w="3119" w:type="dxa"/>
            <w:vAlign w:val="center"/>
          </w:tcPr>
          <w:p w:rsidR="00BC6297" w:rsidRDefault="007D03A3">
            <w:pPr>
              <w:jc w:val="center"/>
            </w:pPr>
            <w:r>
              <w:rPr>
                <w:rFonts w:eastAsiaTheme="minorEastAsia"/>
                <w:color w:val="000000" w:themeColor="text1"/>
                <w:kern w:val="0"/>
              </w:rPr>
              <w:t>12,151,788.69</w:t>
            </w:r>
          </w:p>
        </w:tc>
        <w:tc>
          <w:tcPr>
            <w:tcW w:w="3118" w:type="dxa"/>
            <w:vAlign w:val="center"/>
          </w:tcPr>
          <w:p w:rsidR="00BC6297" w:rsidRDefault="007D03A3">
            <w:pPr>
              <w:jc w:val="center"/>
            </w:pPr>
            <w:r>
              <w:rPr>
                <w:rFonts w:eastAsiaTheme="minorEastAsia"/>
                <w:color w:val="000000" w:themeColor="text1"/>
                <w:kern w:val="0"/>
              </w:rPr>
              <w:t>0.98</w:t>
            </w:r>
          </w:p>
        </w:tc>
      </w:tr>
      <w:tr w:rsidR="00BC6297">
        <w:trPr>
          <w:jc w:val="center"/>
        </w:trPr>
        <w:tc>
          <w:tcPr>
            <w:tcW w:w="2397" w:type="dxa"/>
            <w:vAlign w:val="center"/>
          </w:tcPr>
          <w:p w:rsidR="00BC6297" w:rsidRDefault="007D03A3">
            <w:pPr>
              <w:jc w:val="center"/>
            </w:pPr>
            <w:r>
              <w:rPr>
                <w:rFonts w:eastAsiaTheme="minorEastAsia"/>
                <w:color w:val="000000" w:themeColor="text1"/>
                <w:kern w:val="0"/>
              </w:rPr>
              <w:t>E</w:t>
            </w:r>
            <w:r>
              <w:rPr>
                <w:rFonts w:eastAsiaTheme="minorEastAsia"/>
                <w:color w:val="000000" w:themeColor="text1"/>
                <w:kern w:val="0"/>
              </w:rPr>
              <w:t>金融</w:t>
            </w:r>
          </w:p>
        </w:tc>
        <w:tc>
          <w:tcPr>
            <w:tcW w:w="3119" w:type="dxa"/>
            <w:vAlign w:val="center"/>
          </w:tcPr>
          <w:p w:rsidR="00BC6297" w:rsidRDefault="007D03A3">
            <w:pPr>
              <w:jc w:val="center"/>
            </w:pPr>
            <w:r>
              <w:rPr>
                <w:rFonts w:eastAsiaTheme="minorEastAsia"/>
                <w:color w:val="000000" w:themeColor="text1"/>
                <w:kern w:val="0"/>
              </w:rPr>
              <w:t>-</w:t>
            </w:r>
          </w:p>
        </w:tc>
        <w:tc>
          <w:tcPr>
            <w:tcW w:w="3118" w:type="dxa"/>
            <w:vAlign w:val="center"/>
          </w:tcPr>
          <w:p w:rsidR="00BC6297" w:rsidRDefault="007D03A3">
            <w:pPr>
              <w:jc w:val="center"/>
            </w:pPr>
            <w:r>
              <w:rPr>
                <w:rFonts w:eastAsiaTheme="minorEastAsia"/>
                <w:color w:val="000000" w:themeColor="text1"/>
                <w:kern w:val="0"/>
              </w:rPr>
              <w:t>-</w:t>
            </w:r>
          </w:p>
        </w:tc>
      </w:tr>
      <w:tr w:rsidR="00BC6297">
        <w:trPr>
          <w:jc w:val="center"/>
        </w:trPr>
        <w:tc>
          <w:tcPr>
            <w:tcW w:w="2397" w:type="dxa"/>
            <w:vAlign w:val="center"/>
          </w:tcPr>
          <w:p w:rsidR="00BC6297" w:rsidRDefault="007D03A3">
            <w:pPr>
              <w:jc w:val="center"/>
            </w:pPr>
            <w:r>
              <w:rPr>
                <w:rFonts w:eastAsiaTheme="minorEastAsia"/>
                <w:color w:val="000000" w:themeColor="text1"/>
                <w:kern w:val="0"/>
              </w:rPr>
              <w:t>F</w:t>
            </w:r>
            <w:r>
              <w:rPr>
                <w:rFonts w:eastAsiaTheme="minorEastAsia"/>
                <w:color w:val="000000" w:themeColor="text1"/>
                <w:kern w:val="0"/>
              </w:rPr>
              <w:t>医疗保健</w:t>
            </w:r>
          </w:p>
        </w:tc>
        <w:tc>
          <w:tcPr>
            <w:tcW w:w="3119" w:type="dxa"/>
            <w:vAlign w:val="center"/>
          </w:tcPr>
          <w:p w:rsidR="00BC6297" w:rsidRDefault="007D03A3">
            <w:pPr>
              <w:jc w:val="center"/>
            </w:pPr>
            <w:r>
              <w:rPr>
                <w:rFonts w:eastAsiaTheme="minorEastAsia"/>
                <w:color w:val="000000" w:themeColor="text1"/>
                <w:kern w:val="0"/>
              </w:rPr>
              <w:t>-</w:t>
            </w:r>
          </w:p>
        </w:tc>
        <w:tc>
          <w:tcPr>
            <w:tcW w:w="3118" w:type="dxa"/>
            <w:vAlign w:val="center"/>
          </w:tcPr>
          <w:p w:rsidR="00BC6297" w:rsidRDefault="007D03A3">
            <w:pPr>
              <w:jc w:val="center"/>
            </w:pPr>
            <w:r>
              <w:rPr>
                <w:rFonts w:eastAsiaTheme="minorEastAsia"/>
                <w:color w:val="000000" w:themeColor="text1"/>
                <w:kern w:val="0"/>
              </w:rPr>
              <w:t>-</w:t>
            </w:r>
          </w:p>
        </w:tc>
      </w:tr>
      <w:tr w:rsidR="00BC6297">
        <w:trPr>
          <w:jc w:val="center"/>
        </w:trPr>
        <w:tc>
          <w:tcPr>
            <w:tcW w:w="2397" w:type="dxa"/>
            <w:vAlign w:val="center"/>
          </w:tcPr>
          <w:p w:rsidR="00BC6297" w:rsidRDefault="007D03A3">
            <w:pPr>
              <w:jc w:val="center"/>
            </w:pPr>
            <w:r>
              <w:rPr>
                <w:rFonts w:eastAsiaTheme="minorEastAsia"/>
                <w:color w:val="000000" w:themeColor="text1"/>
                <w:kern w:val="0"/>
              </w:rPr>
              <w:t>G</w:t>
            </w:r>
            <w:r>
              <w:rPr>
                <w:rFonts w:eastAsiaTheme="minorEastAsia"/>
                <w:color w:val="000000" w:themeColor="text1"/>
                <w:kern w:val="0"/>
              </w:rPr>
              <w:t>工业</w:t>
            </w:r>
          </w:p>
        </w:tc>
        <w:tc>
          <w:tcPr>
            <w:tcW w:w="3119" w:type="dxa"/>
            <w:vAlign w:val="center"/>
          </w:tcPr>
          <w:p w:rsidR="00BC6297" w:rsidRDefault="007D03A3">
            <w:pPr>
              <w:jc w:val="center"/>
            </w:pPr>
            <w:r>
              <w:rPr>
                <w:rFonts w:eastAsiaTheme="minorEastAsia"/>
                <w:color w:val="000000" w:themeColor="text1"/>
                <w:kern w:val="0"/>
              </w:rPr>
              <w:t>3,321,086.50</w:t>
            </w:r>
          </w:p>
        </w:tc>
        <w:tc>
          <w:tcPr>
            <w:tcW w:w="3118" w:type="dxa"/>
            <w:vAlign w:val="center"/>
          </w:tcPr>
          <w:p w:rsidR="00BC6297" w:rsidRDefault="007D03A3">
            <w:pPr>
              <w:jc w:val="center"/>
            </w:pPr>
            <w:r>
              <w:rPr>
                <w:rFonts w:eastAsiaTheme="minorEastAsia"/>
                <w:color w:val="000000" w:themeColor="text1"/>
                <w:kern w:val="0"/>
              </w:rPr>
              <w:t>0.27</w:t>
            </w:r>
          </w:p>
        </w:tc>
      </w:tr>
      <w:tr w:rsidR="00BC6297">
        <w:trPr>
          <w:jc w:val="center"/>
        </w:trPr>
        <w:tc>
          <w:tcPr>
            <w:tcW w:w="2397" w:type="dxa"/>
            <w:vAlign w:val="center"/>
          </w:tcPr>
          <w:p w:rsidR="00BC6297" w:rsidRDefault="007D03A3">
            <w:pPr>
              <w:jc w:val="center"/>
            </w:pPr>
            <w:r>
              <w:rPr>
                <w:rFonts w:eastAsiaTheme="minorEastAsia"/>
                <w:color w:val="000000" w:themeColor="text1"/>
                <w:kern w:val="0"/>
              </w:rPr>
              <w:t>H</w:t>
            </w:r>
            <w:r>
              <w:rPr>
                <w:rFonts w:eastAsiaTheme="minorEastAsia"/>
                <w:color w:val="000000" w:themeColor="text1"/>
                <w:kern w:val="0"/>
              </w:rPr>
              <w:t>信息技术</w:t>
            </w:r>
          </w:p>
        </w:tc>
        <w:tc>
          <w:tcPr>
            <w:tcW w:w="3119" w:type="dxa"/>
            <w:vAlign w:val="center"/>
          </w:tcPr>
          <w:p w:rsidR="00BC6297" w:rsidRDefault="007D03A3">
            <w:pPr>
              <w:jc w:val="center"/>
            </w:pPr>
            <w:r>
              <w:rPr>
                <w:rFonts w:eastAsiaTheme="minorEastAsia"/>
                <w:color w:val="000000" w:themeColor="text1"/>
                <w:kern w:val="0"/>
              </w:rPr>
              <w:t>-</w:t>
            </w:r>
          </w:p>
        </w:tc>
        <w:tc>
          <w:tcPr>
            <w:tcW w:w="3118" w:type="dxa"/>
            <w:vAlign w:val="center"/>
          </w:tcPr>
          <w:p w:rsidR="00BC6297" w:rsidRDefault="007D03A3">
            <w:pPr>
              <w:jc w:val="center"/>
            </w:pPr>
            <w:r>
              <w:rPr>
                <w:rFonts w:eastAsiaTheme="minorEastAsia"/>
                <w:color w:val="000000" w:themeColor="text1"/>
                <w:kern w:val="0"/>
              </w:rPr>
              <w:t>-</w:t>
            </w:r>
          </w:p>
        </w:tc>
      </w:tr>
      <w:tr w:rsidR="00BC6297">
        <w:trPr>
          <w:jc w:val="center"/>
        </w:trPr>
        <w:tc>
          <w:tcPr>
            <w:tcW w:w="2397" w:type="dxa"/>
            <w:vAlign w:val="center"/>
          </w:tcPr>
          <w:p w:rsidR="00BC6297" w:rsidRDefault="007D03A3">
            <w:pPr>
              <w:jc w:val="center"/>
            </w:pPr>
            <w:r>
              <w:rPr>
                <w:rFonts w:eastAsiaTheme="minorEastAsia"/>
                <w:color w:val="000000" w:themeColor="text1"/>
                <w:kern w:val="0"/>
              </w:rPr>
              <w:t>I</w:t>
            </w:r>
            <w:r>
              <w:rPr>
                <w:rFonts w:eastAsiaTheme="minorEastAsia"/>
                <w:color w:val="000000" w:themeColor="text1"/>
                <w:kern w:val="0"/>
              </w:rPr>
              <w:t>电信服务</w:t>
            </w:r>
          </w:p>
        </w:tc>
        <w:tc>
          <w:tcPr>
            <w:tcW w:w="3119" w:type="dxa"/>
            <w:vAlign w:val="center"/>
          </w:tcPr>
          <w:p w:rsidR="00BC6297" w:rsidRDefault="007D03A3">
            <w:pPr>
              <w:jc w:val="center"/>
            </w:pPr>
            <w:r>
              <w:rPr>
                <w:rFonts w:eastAsiaTheme="minorEastAsia"/>
                <w:color w:val="000000" w:themeColor="text1"/>
                <w:kern w:val="0"/>
              </w:rPr>
              <w:t>47,972,953.85</w:t>
            </w:r>
          </w:p>
        </w:tc>
        <w:tc>
          <w:tcPr>
            <w:tcW w:w="3118" w:type="dxa"/>
            <w:vAlign w:val="center"/>
          </w:tcPr>
          <w:p w:rsidR="00BC6297" w:rsidRDefault="007D03A3">
            <w:pPr>
              <w:jc w:val="center"/>
            </w:pPr>
            <w:r>
              <w:rPr>
                <w:rFonts w:eastAsiaTheme="minorEastAsia"/>
                <w:color w:val="000000" w:themeColor="text1"/>
                <w:kern w:val="0"/>
              </w:rPr>
              <w:t>3.87</w:t>
            </w:r>
          </w:p>
        </w:tc>
      </w:tr>
      <w:tr w:rsidR="00BC6297">
        <w:trPr>
          <w:jc w:val="center"/>
        </w:trPr>
        <w:tc>
          <w:tcPr>
            <w:tcW w:w="2397" w:type="dxa"/>
            <w:vAlign w:val="center"/>
          </w:tcPr>
          <w:p w:rsidR="00BC6297" w:rsidRDefault="007D03A3">
            <w:pPr>
              <w:jc w:val="center"/>
            </w:pPr>
            <w:r>
              <w:rPr>
                <w:rFonts w:eastAsiaTheme="minorEastAsia"/>
                <w:color w:val="000000" w:themeColor="text1"/>
                <w:kern w:val="0"/>
              </w:rPr>
              <w:t>J</w:t>
            </w:r>
            <w:r>
              <w:rPr>
                <w:rFonts w:eastAsiaTheme="minorEastAsia"/>
                <w:color w:val="000000" w:themeColor="text1"/>
                <w:kern w:val="0"/>
              </w:rPr>
              <w:t>公用事业</w:t>
            </w:r>
          </w:p>
        </w:tc>
        <w:tc>
          <w:tcPr>
            <w:tcW w:w="3119" w:type="dxa"/>
            <w:vAlign w:val="center"/>
          </w:tcPr>
          <w:p w:rsidR="00BC6297" w:rsidRDefault="007D03A3">
            <w:pPr>
              <w:jc w:val="center"/>
            </w:pPr>
            <w:r>
              <w:rPr>
                <w:rFonts w:eastAsiaTheme="minorEastAsia"/>
                <w:color w:val="000000" w:themeColor="text1"/>
                <w:kern w:val="0"/>
              </w:rPr>
              <w:t>1,576,121.29</w:t>
            </w:r>
          </w:p>
        </w:tc>
        <w:tc>
          <w:tcPr>
            <w:tcW w:w="3118" w:type="dxa"/>
            <w:vAlign w:val="center"/>
          </w:tcPr>
          <w:p w:rsidR="00BC6297" w:rsidRDefault="007D03A3">
            <w:pPr>
              <w:jc w:val="center"/>
            </w:pPr>
            <w:r>
              <w:rPr>
                <w:rFonts w:eastAsiaTheme="minorEastAsia"/>
                <w:color w:val="000000" w:themeColor="text1"/>
                <w:kern w:val="0"/>
              </w:rPr>
              <w:t>0.13</w:t>
            </w:r>
          </w:p>
        </w:tc>
      </w:tr>
      <w:tr w:rsidR="00BC6297">
        <w:trPr>
          <w:jc w:val="center"/>
        </w:trPr>
        <w:tc>
          <w:tcPr>
            <w:tcW w:w="2397" w:type="dxa"/>
            <w:vAlign w:val="center"/>
          </w:tcPr>
          <w:p w:rsidR="00BC6297" w:rsidRDefault="007D03A3">
            <w:pPr>
              <w:jc w:val="center"/>
            </w:pPr>
            <w:r>
              <w:rPr>
                <w:rFonts w:eastAsiaTheme="minorEastAsia"/>
                <w:color w:val="000000" w:themeColor="text1"/>
                <w:kern w:val="0"/>
              </w:rPr>
              <w:t>K</w:t>
            </w:r>
            <w:r>
              <w:rPr>
                <w:rFonts w:eastAsiaTheme="minorEastAsia"/>
                <w:color w:val="000000" w:themeColor="text1"/>
                <w:kern w:val="0"/>
              </w:rPr>
              <w:t>房地产</w:t>
            </w:r>
          </w:p>
        </w:tc>
        <w:tc>
          <w:tcPr>
            <w:tcW w:w="3119" w:type="dxa"/>
            <w:vAlign w:val="center"/>
          </w:tcPr>
          <w:p w:rsidR="00BC6297" w:rsidRDefault="007D03A3">
            <w:pPr>
              <w:jc w:val="center"/>
            </w:pPr>
            <w:r>
              <w:rPr>
                <w:rFonts w:eastAsiaTheme="minorEastAsia"/>
                <w:color w:val="000000" w:themeColor="text1"/>
                <w:kern w:val="0"/>
              </w:rPr>
              <w:t>-</w:t>
            </w:r>
          </w:p>
        </w:tc>
        <w:tc>
          <w:tcPr>
            <w:tcW w:w="3118" w:type="dxa"/>
            <w:vAlign w:val="center"/>
          </w:tcPr>
          <w:p w:rsidR="00BC6297" w:rsidRDefault="007D03A3">
            <w:pPr>
              <w:jc w:val="center"/>
            </w:pPr>
            <w:r>
              <w:rPr>
                <w:rFonts w:eastAsiaTheme="minorEastAsia"/>
                <w:color w:val="000000" w:themeColor="text1"/>
                <w:kern w:val="0"/>
              </w:rPr>
              <w:t>-</w:t>
            </w:r>
          </w:p>
        </w:tc>
      </w:tr>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合计</w:t>
            </w:r>
          </w:p>
        </w:tc>
        <w:tc>
          <w:tcPr>
            <w:tcW w:w="3119"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67,452,252.66</w:t>
            </w:r>
          </w:p>
        </w:tc>
        <w:tc>
          <w:tcPr>
            <w:tcW w:w="3118"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5.44</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BC6297">
        <w:tc>
          <w:tcPr>
            <w:tcW w:w="817" w:type="dxa"/>
            <w:vAlign w:val="center"/>
          </w:tcPr>
          <w:p w:rsidR="00BC6297" w:rsidRDefault="007D03A3">
            <w:pPr>
              <w:jc w:val="center"/>
            </w:pPr>
            <w:r>
              <w:rPr>
                <w:rFonts w:eastAsiaTheme="minorEastAsia"/>
                <w:kern w:val="0"/>
                <w:sz w:val="24"/>
                <w:szCs w:val="24"/>
              </w:rPr>
              <w:t>1</w:t>
            </w:r>
          </w:p>
        </w:tc>
        <w:tc>
          <w:tcPr>
            <w:tcW w:w="1276" w:type="dxa"/>
            <w:vAlign w:val="center"/>
          </w:tcPr>
          <w:p w:rsidR="00BC6297" w:rsidRDefault="007D03A3">
            <w:pPr>
              <w:jc w:val="center"/>
            </w:pPr>
            <w:r>
              <w:rPr>
                <w:rFonts w:eastAsiaTheme="minorEastAsia"/>
                <w:kern w:val="0"/>
                <w:sz w:val="24"/>
                <w:szCs w:val="24"/>
              </w:rPr>
              <w:t>300750</w:t>
            </w:r>
          </w:p>
        </w:tc>
        <w:tc>
          <w:tcPr>
            <w:tcW w:w="1701" w:type="dxa"/>
            <w:vAlign w:val="center"/>
          </w:tcPr>
          <w:p w:rsidR="00BC6297" w:rsidRDefault="007D03A3">
            <w:pPr>
              <w:jc w:val="center"/>
            </w:pPr>
            <w:r>
              <w:rPr>
                <w:rFonts w:eastAsiaTheme="minorEastAsia"/>
                <w:kern w:val="0"/>
                <w:sz w:val="24"/>
                <w:szCs w:val="24"/>
              </w:rPr>
              <w:t>宁德时代</w:t>
            </w:r>
          </w:p>
        </w:tc>
        <w:tc>
          <w:tcPr>
            <w:tcW w:w="1276" w:type="dxa"/>
            <w:vAlign w:val="center"/>
          </w:tcPr>
          <w:p w:rsidR="00BC6297" w:rsidRDefault="007D03A3">
            <w:pPr>
              <w:jc w:val="right"/>
            </w:pPr>
            <w:r>
              <w:rPr>
                <w:rFonts w:eastAsiaTheme="minorEastAsia"/>
                <w:kern w:val="0"/>
                <w:sz w:val="24"/>
                <w:szCs w:val="24"/>
              </w:rPr>
              <w:t>405,466.00</w:t>
            </w:r>
          </w:p>
        </w:tc>
        <w:tc>
          <w:tcPr>
            <w:tcW w:w="1842" w:type="dxa"/>
            <w:vAlign w:val="center"/>
          </w:tcPr>
          <w:p w:rsidR="00BC6297" w:rsidRDefault="007D03A3">
            <w:pPr>
              <w:jc w:val="right"/>
            </w:pPr>
            <w:r>
              <w:rPr>
                <w:rFonts w:eastAsiaTheme="minorEastAsia"/>
                <w:kern w:val="0"/>
                <w:sz w:val="24"/>
                <w:szCs w:val="24"/>
              </w:rPr>
              <w:t>82,321,761.98</w:t>
            </w:r>
          </w:p>
        </w:tc>
        <w:tc>
          <w:tcPr>
            <w:tcW w:w="1616" w:type="dxa"/>
            <w:vAlign w:val="center"/>
          </w:tcPr>
          <w:p w:rsidR="00BC6297" w:rsidRDefault="007D03A3">
            <w:pPr>
              <w:jc w:val="right"/>
            </w:pPr>
            <w:r>
              <w:rPr>
                <w:rFonts w:eastAsiaTheme="minorEastAsia"/>
                <w:kern w:val="0"/>
                <w:sz w:val="24"/>
                <w:szCs w:val="24"/>
              </w:rPr>
              <w:t>6.64</w:t>
            </w:r>
          </w:p>
        </w:tc>
      </w:tr>
      <w:tr w:rsidR="00BC6297">
        <w:tc>
          <w:tcPr>
            <w:tcW w:w="817" w:type="dxa"/>
            <w:vAlign w:val="center"/>
          </w:tcPr>
          <w:p w:rsidR="00BC6297" w:rsidRDefault="007D03A3">
            <w:pPr>
              <w:jc w:val="center"/>
            </w:pPr>
            <w:r>
              <w:rPr>
                <w:rFonts w:eastAsiaTheme="minorEastAsia"/>
                <w:kern w:val="0"/>
                <w:sz w:val="24"/>
                <w:szCs w:val="24"/>
              </w:rPr>
              <w:t>2</w:t>
            </w:r>
          </w:p>
        </w:tc>
        <w:tc>
          <w:tcPr>
            <w:tcW w:w="1276" w:type="dxa"/>
            <w:vAlign w:val="center"/>
          </w:tcPr>
          <w:p w:rsidR="00BC6297" w:rsidRDefault="007D03A3">
            <w:pPr>
              <w:jc w:val="center"/>
            </w:pPr>
            <w:r>
              <w:rPr>
                <w:rFonts w:eastAsiaTheme="minorEastAsia"/>
                <w:kern w:val="0"/>
                <w:sz w:val="24"/>
                <w:szCs w:val="24"/>
              </w:rPr>
              <w:t>600519</w:t>
            </w:r>
          </w:p>
        </w:tc>
        <w:tc>
          <w:tcPr>
            <w:tcW w:w="1701" w:type="dxa"/>
            <w:vAlign w:val="center"/>
          </w:tcPr>
          <w:p w:rsidR="00BC6297" w:rsidRDefault="007D03A3">
            <w:pPr>
              <w:jc w:val="center"/>
            </w:pPr>
            <w:r>
              <w:rPr>
                <w:rFonts w:eastAsiaTheme="minorEastAsia"/>
                <w:kern w:val="0"/>
                <w:sz w:val="24"/>
                <w:szCs w:val="24"/>
              </w:rPr>
              <w:t>贵州茅台</w:t>
            </w:r>
          </w:p>
        </w:tc>
        <w:tc>
          <w:tcPr>
            <w:tcW w:w="1276" w:type="dxa"/>
            <w:vAlign w:val="center"/>
          </w:tcPr>
          <w:p w:rsidR="00BC6297" w:rsidRDefault="007D03A3">
            <w:pPr>
              <w:jc w:val="right"/>
            </w:pPr>
            <w:r>
              <w:rPr>
                <w:rFonts w:eastAsiaTheme="minorEastAsia"/>
                <w:kern w:val="0"/>
                <w:sz w:val="24"/>
                <w:szCs w:val="24"/>
              </w:rPr>
              <w:t>45,386.00</w:t>
            </w:r>
          </w:p>
        </w:tc>
        <w:tc>
          <w:tcPr>
            <w:tcW w:w="1842" w:type="dxa"/>
            <w:vAlign w:val="center"/>
          </w:tcPr>
          <w:p w:rsidR="00BC6297" w:rsidRDefault="007D03A3">
            <w:pPr>
              <w:jc w:val="right"/>
            </w:pPr>
            <w:r>
              <w:rPr>
                <w:rFonts w:eastAsiaTheme="minorEastAsia"/>
                <w:kern w:val="0"/>
                <w:sz w:val="24"/>
                <w:szCs w:val="24"/>
              </w:rPr>
              <w:t>81,628,990.30</w:t>
            </w:r>
          </w:p>
        </w:tc>
        <w:tc>
          <w:tcPr>
            <w:tcW w:w="1616" w:type="dxa"/>
            <w:vAlign w:val="center"/>
          </w:tcPr>
          <w:p w:rsidR="00BC6297" w:rsidRDefault="007D03A3">
            <w:pPr>
              <w:jc w:val="right"/>
            </w:pPr>
            <w:r>
              <w:rPr>
                <w:rFonts w:eastAsiaTheme="minorEastAsia"/>
                <w:kern w:val="0"/>
                <w:sz w:val="24"/>
                <w:szCs w:val="24"/>
              </w:rPr>
              <w:t>6.58</w:t>
            </w:r>
          </w:p>
        </w:tc>
      </w:tr>
      <w:tr w:rsidR="00BC6297">
        <w:tc>
          <w:tcPr>
            <w:tcW w:w="817" w:type="dxa"/>
            <w:vAlign w:val="center"/>
          </w:tcPr>
          <w:p w:rsidR="00BC6297" w:rsidRDefault="007D03A3">
            <w:pPr>
              <w:jc w:val="center"/>
            </w:pPr>
            <w:r>
              <w:rPr>
                <w:rFonts w:eastAsiaTheme="minorEastAsia"/>
                <w:kern w:val="0"/>
                <w:sz w:val="24"/>
                <w:szCs w:val="24"/>
              </w:rPr>
              <w:t>3</w:t>
            </w:r>
          </w:p>
        </w:tc>
        <w:tc>
          <w:tcPr>
            <w:tcW w:w="1276" w:type="dxa"/>
            <w:vAlign w:val="center"/>
          </w:tcPr>
          <w:p w:rsidR="00BC6297" w:rsidRDefault="007D03A3">
            <w:pPr>
              <w:jc w:val="center"/>
            </w:pPr>
            <w:r>
              <w:rPr>
                <w:rFonts w:eastAsiaTheme="minorEastAsia"/>
                <w:kern w:val="0"/>
                <w:sz w:val="24"/>
                <w:szCs w:val="24"/>
              </w:rPr>
              <w:t>688036</w:t>
            </w:r>
          </w:p>
        </w:tc>
        <w:tc>
          <w:tcPr>
            <w:tcW w:w="1701" w:type="dxa"/>
            <w:vAlign w:val="center"/>
          </w:tcPr>
          <w:p w:rsidR="00BC6297" w:rsidRDefault="007D03A3">
            <w:pPr>
              <w:jc w:val="center"/>
            </w:pPr>
            <w:r>
              <w:rPr>
                <w:rFonts w:eastAsiaTheme="minorEastAsia"/>
                <w:kern w:val="0"/>
                <w:sz w:val="24"/>
                <w:szCs w:val="24"/>
              </w:rPr>
              <w:t>传音控股</w:t>
            </w:r>
          </w:p>
        </w:tc>
        <w:tc>
          <w:tcPr>
            <w:tcW w:w="1276" w:type="dxa"/>
            <w:vAlign w:val="center"/>
          </w:tcPr>
          <w:p w:rsidR="00BC6297" w:rsidRDefault="007D03A3">
            <w:pPr>
              <w:jc w:val="right"/>
            </w:pPr>
            <w:r>
              <w:rPr>
                <w:rFonts w:eastAsiaTheme="minorEastAsia"/>
                <w:kern w:val="0"/>
                <w:sz w:val="24"/>
                <w:szCs w:val="24"/>
              </w:rPr>
              <w:t>522,692.00</w:t>
            </w:r>
          </w:p>
        </w:tc>
        <w:tc>
          <w:tcPr>
            <w:tcW w:w="1842" w:type="dxa"/>
            <w:vAlign w:val="center"/>
          </w:tcPr>
          <w:p w:rsidR="00BC6297" w:rsidRDefault="007D03A3">
            <w:pPr>
              <w:jc w:val="right"/>
            </w:pPr>
            <w:r>
              <w:rPr>
                <w:rFonts w:eastAsiaTheme="minorEastAsia"/>
                <w:kern w:val="0"/>
                <w:sz w:val="24"/>
                <w:szCs w:val="24"/>
              </w:rPr>
              <w:t>76,177,132.08</w:t>
            </w:r>
          </w:p>
        </w:tc>
        <w:tc>
          <w:tcPr>
            <w:tcW w:w="1616" w:type="dxa"/>
            <w:vAlign w:val="center"/>
          </w:tcPr>
          <w:p w:rsidR="00BC6297" w:rsidRDefault="007D03A3">
            <w:pPr>
              <w:jc w:val="right"/>
            </w:pPr>
            <w:r>
              <w:rPr>
                <w:rFonts w:eastAsiaTheme="minorEastAsia"/>
                <w:kern w:val="0"/>
                <w:sz w:val="24"/>
                <w:szCs w:val="24"/>
              </w:rPr>
              <w:t>6.14</w:t>
            </w:r>
          </w:p>
        </w:tc>
      </w:tr>
      <w:tr w:rsidR="00BC6297">
        <w:tc>
          <w:tcPr>
            <w:tcW w:w="817" w:type="dxa"/>
            <w:vAlign w:val="center"/>
          </w:tcPr>
          <w:p w:rsidR="00BC6297" w:rsidRDefault="007D03A3">
            <w:pPr>
              <w:jc w:val="center"/>
            </w:pPr>
            <w:r>
              <w:rPr>
                <w:rFonts w:eastAsiaTheme="minorEastAsia"/>
                <w:kern w:val="0"/>
                <w:sz w:val="24"/>
                <w:szCs w:val="24"/>
              </w:rPr>
              <w:t>4</w:t>
            </w:r>
          </w:p>
        </w:tc>
        <w:tc>
          <w:tcPr>
            <w:tcW w:w="1276" w:type="dxa"/>
            <w:vAlign w:val="center"/>
          </w:tcPr>
          <w:p w:rsidR="00BC6297" w:rsidRDefault="007D03A3">
            <w:pPr>
              <w:jc w:val="center"/>
            </w:pPr>
            <w:r>
              <w:rPr>
                <w:rFonts w:eastAsiaTheme="minorEastAsia"/>
                <w:kern w:val="0"/>
                <w:sz w:val="24"/>
                <w:szCs w:val="24"/>
              </w:rPr>
              <w:t>002236</w:t>
            </w:r>
          </w:p>
        </w:tc>
        <w:tc>
          <w:tcPr>
            <w:tcW w:w="1701" w:type="dxa"/>
            <w:vAlign w:val="center"/>
          </w:tcPr>
          <w:p w:rsidR="00BC6297" w:rsidRDefault="007D03A3">
            <w:pPr>
              <w:jc w:val="center"/>
            </w:pPr>
            <w:r>
              <w:rPr>
                <w:rFonts w:eastAsiaTheme="minorEastAsia"/>
                <w:kern w:val="0"/>
                <w:sz w:val="24"/>
                <w:szCs w:val="24"/>
              </w:rPr>
              <w:t>大华股份</w:t>
            </w:r>
          </w:p>
        </w:tc>
        <w:tc>
          <w:tcPr>
            <w:tcW w:w="1276" w:type="dxa"/>
            <w:vAlign w:val="center"/>
          </w:tcPr>
          <w:p w:rsidR="00BC6297" w:rsidRDefault="007D03A3">
            <w:pPr>
              <w:jc w:val="right"/>
            </w:pPr>
            <w:r>
              <w:rPr>
                <w:rFonts w:eastAsiaTheme="minorEastAsia"/>
                <w:kern w:val="0"/>
                <w:sz w:val="24"/>
                <w:szCs w:val="24"/>
              </w:rPr>
              <w:t>3,102,506.00</w:t>
            </w:r>
          </w:p>
        </w:tc>
        <w:tc>
          <w:tcPr>
            <w:tcW w:w="1842" w:type="dxa"/>
            <w:vAlign w:val="center"/>
          </w:tcPr>
          <w:p w:rsidR="00BC6297" w:rsidRDefault="007D03A3">
            <w:pPr>
              <w:jc w:val="right"/>
            </w:pPr>
            <w:r>
              <w:rPr>
                <w:rFonts w:eastAsiaTheme="minorEastAsia"/>
                <w:kern w:val="0"/>
                <w:sz w:val="24"/>
                <w:szCs w:val="24"/>
              </w:rPr>
              <w:t>69,092,808.62</w:t>
            </w:r>
          </w:p>
        </w:tc>
        <w:tc>
          <w:tcPr>
            <w:tcW w:w="1616" w:type="dxa"/>
            <w:vAlign w:val="center"/>
          </w:tcPr>
          <w:p w:rsidR="00BC6297" w:rsidRDefault="007D03A3">
            <w:pPr>
              <w:jc w:val="right"/>
            </w:pPr>
            <w:r>
              <w:rPr>
                <w:rFonts w:eastAsiaTheme="minorEastAsia"/>
                <w:kern w:val="0"/>
                <w:sz w:val="24"/>
                <w:szCs w:val="24"/>
              </w:rPr>
              <w:t>5.57</w:t>
            </w:r>
          </w:p>
        </w:tc>
      </w:tr>
      <w:tr w:rsidR="00BC6297">
        <w:tc>
          <w:tcPr>
            <w:tcW w:w="817" w:type="dxa"/>
            <w:vAlign w:val="center"/>
          </w:tcPr>
          <w:p w:rsidR="00BC6297" w:rsidRDefault="007D03A3">
            <w:pPr>
              <w:jc w:val="center"/>
            </w:pPr>
            <w:r>
              <w:rPr>
                <w:rFonts w:eastAsiaTheme="minorEastAsia"/>
                <w:kern w:val="0"/>
                <w:sz w:val="24"/>
                <w:szCs w:val="24"/>
              </w:rPr>
              <w:t>5</w:t>
            </w:r>
          </w:p>
        </w:tc>
        <w:tc>
          <w:tcPr>
            <w:tcW w:w="1276" w:type="dxa"/>
            <w:vAlign w:val="center"/>
          </w:tcPr>
          <w:p w:rsidR="00BC6297" w:rsidRDefault="007D03A3">
            <w:pPr>
              <w:jc w:val="center"/>
            </w:pPr>
            <w:r>
              <w:rPr>
                <w:rFonts w:eastAsiaTheme="minorEastAsia"/>
                <w:kern w:val="0"/>
                <w:sz w:val="24"/>
                <w:szCs w:val="24"/>
              </w:rPr>
              <w:t>00941</w:t>
            </w:r>
          </w:p>
        </w:tc>
        <w:tc>
          <w:tcPr>
            <w:tcW w:w="1701" w:type="dxa"/>
            <w:vAlign w:val="center"/>
          </w:tcPr>
          <w:p w:rsidR="00BC6297" w:rsidRDefault="007D03A3">
            <w:pPr>
              <w:jc w:val="center"/>
            </w:pPr>
            <w:r>
              <w:rPr>
                <w:rFonts w:eastAsiaTheme="minorEastAsia"/>
                <w:kern w:val="0"/>
                <w:sz w:val="24"/>
                <w:szCs w:val="24"/>
              </w:rPr>
              <w:t>中国移动</w:t>
            </w:r>
          </w:p>
        </w:tc>
        <w:tc>
          <w:tcPr>
            <w:tcW w:w="1276" w:type="dxa"/>
            <w:vAlign w:val="center"/>
          </w:tcPr>
          <w:p w:rsidR="00BC6297" w:rsidRDefault="007D03A3">
            <w:pPr>
              <w:jc w:val="right"/>
            </w:pPr>
            <w:r>
              <w:rPr>
                <w:rFonts w:eastAsiaTheme="minorEastAsia"/>
                <w:kern w:val="0"/>
                <w:sz w:val="24"/>
                <w:szCs w:val="24"/>
              </w:rPr>
              <w:t>566,500.00</w:t>
            </w:r>
          </w:p>
        </w:tc>
        <w:tc>
          <w:tcPr>
            <w:tcW w:w="1842" w:type="dxa"/>
            <w:vAlign w:val="center"/>
          </w:tcPr>
          <w:p w:rsidR="00BC6297" w:rsidRDefault="007D03A3">
            <w:pPr>
              <w:jc w:val="right"/>
            </w:pPr>
            <w:r>
              <w:rPr>
                <w:rFonts w:eastAsiaTheme="minorEastAsia"/>
                <w:kern w:val="0"/>
                <w:sz w:val="24"/>
                <w:szCs w:val="24"/>
              </w:rPr>
              <w:t>34,153,316.85</w:t>
            </w:r>
          </w:p>
        </w:tc>
        <w:tc>
          <w:tcPr>
            <w:tcW w:w="1616" w:type="dxa"/>
            <w:vAlign w:val="center"/>
          </w:tcPr>
          <w:p w:rsidR="00BC6297" w:rsidRDefault="007D03A3">
            <w:pPr>
              <w:jc w:val="right"/>
            </w:pPr>
            <w:r>
              <w:rPr>
                <w:rFonts w:eastAsiaTheme="minorEastAsia"/>
                <w:kern w:val="0"/>
                <w:sz w:val="24"/>
                <w:szCs w:val="24"/>
              </w:rPr>
              <w:t>2.75</w:t>
            </w:r>
          </w:p>
        </w:tc>
      </w:tr>
      <w:tr w:rsidR="00BC6297">
        <w:tc>
          <w:tcPr>
            <w:tcW w:w="817" w:type="dxa"/>
            <w:vAlign w:val="center"/>
          </w:tcPr>
          <w:p w:rsidR="00BC6297" w:rsidRDefault="007D03A3">
            <w:pPr>
              <w:jc w:val="center"/>
            </w:pPr>
            <w:r>
              <w:rPr>
                <w:rFonts w:eastAsiaTheme="minorEastAsia"/>
                <w:kern w:val="0"/>
                <w:sz w:val="24"/>
                <w:szCs w:val="24"/>
              </w:rPr>
              <w:t>5</w:t>
            </w:r>
          </w:p>
        </w:tc>
        <w:tc>
          <w:tcPr>
            <w:tcW w:w="1276" w:type="dxa"/>
            <w:vAlign w:val="center"/>
          </w:tcPr>
          <w:p w:rsidR="00BC6297" w:rsidRDefault="007D03A3">
            <w:pPr>
              <w:jc w:val="center"/>
            </w:pPr>
            <w:r>
              <w:rPr>
                <w:rFonts w:eastAsiaTheme="minorEastAsia"/>
                <w:kern w:val="0"/>
                <w:sz w:val="24"/>
                <w:szCs w:val="24"/>
              </w:rPr>
              <w:t>600941</w:t>
            </w:r>
          </w:p>
        </w:tc>
        <w:tc>
          <w:tcPr>
            <w:tcW w:w="1701" w:type="dxa"/>
            <w:vAlign w:val="center"/>
          </w:tcPr>
          <w:p w:rsidR="00BC6297" w:rsidRDefault="007D03A3">
            <w:pPr>
              <w:jc w:val="center"/>
            </w:pPr>
            <w:r>
              <w:rPr>
                <w:rFonts w:eastAsiaTheme="minorEastAsia"/>
                <w:kern w:val="0"/>
                <w:sz w:val="24"/>
                <w:szCs w:val="24"/>
              </w:rPr>
              <w:t>中国移动</w:t>
            </w:r>
          </w:p>
        </w:tc>
        <w:tc>
          <w:tcPr>
            <w:tcW w:w="1276" w:type="dxa"/>
            <w:vAlign w:val="center"/>
          </w:tcPr>
          <w:p w:rsidR="00BC6297" w:rsidRDefault="007D03A3">
            <w:pPr>
              <w:jc w:val="right"/>
            </w:pPr>
            <w:r>
              <w:rPr>
                <w:rFonts w:eastAsiaTheme="minorEastAsia"/>
                <w:kern w:val="0"/>
                <w:sz w:val="24"/>
                <w:szCs w:val="24"/>
              </w:rPr>
              <w:t>334,138.00</w:t>
            </w:r>
          </w:p>
        </w:tc>
        <w:tc>
          <w:tcPr>
            <w:tcW w:w="1842" w:type="dxa"/>
            <w:vAlign w:val="center"/>
          </w:tcPr>
          <w:p w:rsidR="00BC6297" w:rsidRDefault="007D03A3">
            <w:pPr>
              <w:jc w:val="right"/>
            </w:pPr>
            <w:r>
              <w:rPr>
                <w:rFonts w:eastAsiaTheme="minorEastAsia"/>
                <w:kern w:val="0"/>
                <w:sz w:val="24"/>
                <w:szCs w:val="24"/>
              </w:rPr>
              <w:t>32,351,241.16</w:t>
            </w:r>
          </w:p>
        </w:tc>
        <w:tc>
          <w:tcPr>
            <w:tcW w:w="1616" w:type="dxa"/>
            <w:vAlign w:val="center"/>
          </w:tcPr>
          <w:p w:rsidR="00BC6297" w:rsidRDefault="007D03A3">
            <w:pPr>
              <w:jc w:val="right"/>
            </w:pPr>
            <w:r>
              <w:rPr>
                <w:rFonts w:eastAsiaTheme="minorEastAsia"/>
                <w:kern w:val="0"/>
                <w:sz w:val="24"/>
                <w:szCs w:val="24"/>
              </w:rPr>
              <w:t>2.61</w:t>
            </w:r>
          </w:p>
        </w:tc>
      </w:tr>
      <w:tr w:rsidR="00BC6297">
        <w:tc>
          <w:tcPr>
            <w:tcW w:w="817" w:type="dxa"/>
            <w:vAlign w:val="center"/>
          </w:tcPr>
          <w:p w:rsidR="00BC6297" w:rsidRDefault="007D03A3">
            <w:pPr>
              <w:jc w:val="center"/>
            </w:pPr>
            <w:r>
              <w:rPr>
                <w:rFonts w:eastAsiaTheme="minorEastAsia"/>
                <w:kern w:val="0"/>
                <w:sz w:val="24"/>
                <w:szCs w:val="24"/>
              </w:rPr>
              <w:t>6</w:t>
            </w:r>
          </w:p>
        </w:tc>
        <w:tc>
          <w:tcPr>
            <w:tcW w:w="1276" w:type="dxa"/>
            <w:vAlign w:val="center"/>
          </w:tcPr>
          <w:p w:rsidR="00BC6297" w:rsidRDefault="007D03A3">
            <w:pPr>
              <w:jc w:val="center"/>
            </w:pPr>
            <w:r>
              <w:rPr>
                <w:rFonts w:eastAsiaTheme="minorEastAsia"/>
                <w:kern w:val="0"/>
                <w:sz w:val="24"/>
                <w:szCs w:val="24"/>
              </w:rPr>
              <w:t>000063</w:t>
            </w:r>
          </w:p>
        </w:tc>
        <w:tc>
          <w:tcPr>
            <w:tcW w:w="1701" w:type="dxa"/>
            <w:vAlign w:val="center"/>
          </w:tcPr>
          <w:p w:rsidR="00BC6297" w:rsidRDefault="007D03A3">
            <w:pPr>
              <w:jc w:val="center"/>
            </w:pPr>
            <w:r>
              <w:rPr>
                <w:rFonts w:eastAsiaTheme="minorEastAsia"/>
                <w:kern w:val="0"/>
                <w:sz w:val="24"/>
                <w:szCs w:val="24"/>
              </w:rPr>
              <w:t>中兴通讯</w:t>
            </w:r>
          </w:p>
        </w:tc>
        <w:tc>
          <w:tcPr>
            <w:tcW w:w="1276" w:type="dxa"/>
            <w:vAlign w:val="center"/>
          </w:tcPr>
          <w:p w:rsidR="00BC6297" w:rsidRDefault="007D03A3">
            <w:pPr>
              <w:jc w:val="right"/>
            </w:pPr>
            <w:r>
              <w:rPr>
                <w:rFonts w:eastAsiaTheme="minorEastAsia"/>
                <w:kern w:val="0"/>
                <w:sz w:val="24"/>
                <w:szCs w:val="24"/>
              </w:rPr>
              <w:t>1,669,485.00</w:t>
            </w:r>
          </w:p>
        </w:tc>
        <w:tc>
          <w:tcPr>
            <w:tcW w:w="1842" w:type="dxa"/>
            <w:vAlign w:val="center"/>
          </w:tcPr>
          <w:p w:rsidR="00BC6297" w:rsidRDefault="007D03A3">
            <w:pPr>
              <w:jc w:val="right"/>
            </w:pPr>
            <w:r>
              <w:rPr>
                <w:rFonts w:eastAsiaTheme="minorEastAsia"/>
                <w:kern w:val="0"/>
                <w:sz w:val="24"/>
                <w:szCs w:val="24"/>
              </w:rPr>
              <w:t>54,558,769.80</w:t>
            </w:r>
          </w:p>
        </w:tc>
        <w:tc>
          <w:tcPr>
            <w:tcW w:w="1616" w:type="dxa"/>
            <w:vAlign w:val="center"/>
          </w:tcPr>
          <w:p w:rsidR="00BC6297" w:rsidRDefault="007D03A3">
            <w:pPr>
              <w:jc w:val="right"/>
            </w:pPr>
            <w:r>
              <w:rPr>
                <w:rFonts w:eastAsiaTheme="minorEastAsia"/>
                <w:kern w:val="0"/>
                <w:sz w:val="24"/>
                <w:szCs w:val="24"/>
              </w:rPr>
              <w:t>4.40</w:t>
            </w:r>
          </w:p>
        </w:tc>
      </w:tr>
      <w:tr w:rsidR="00BC6297">
        <w:tc>
          <w:tcPr>
            <w:tcW w:w="817" w:type="dxa"/>
            <w:vAlign w:val="center"/>
          </w:tcPr>
          <w:p w:rsidR="00BC6297" w:rsidRDefault="007D03A3">
            <w:pPr>
              <w:jc w:val="center"/>
            </w:pPr>
            <w:r>
              <w:rPr>
                <w:rFonts w:eastAsiaTheme="minorEastAsia"/>
                <w:kern w:val="0"/>
                <w:sz w:val="24"/>
                <w:szCs w:val="24"/>
              </w:rPr>
              <w:t>7</w:t>
            </w:r>
          </w:p>
        </w:tc>
        <w:tc>
          <w:tcPr>
            <w:tcW w:w="1276" w:type="dxa"/>
            <w:vAlign w:val="center"/>
          </w:tcPr>
          <w:p w:rsidR="00BC6297" w:rsidRDefault="007D03A3">
            <w:pPr>
              <w:jc w:val="center"/>
            </w:pPr>
            <w:r>
              <w:rPr>
                <w:rFonts w:eastAsiaTheme="minorEastAsia"/>
                <w:kern w:val="0"/>
                <w:sz w:val="24"/>
                <w:szCs w:val="24"/>
              </w:rPr>
              <w:t>603259</w:t>
            </w:r>
          </w:p>
        </w:tc>
        <w:tc>
          <w:tcPr>
            <w:tcW w:w="1701" w:type="dxa"/>
            <w:vAlign w:val="center"/>
          </w:tcPr>
          <w:p w:rsidR="00BC6297" w:rsidRDefault="007D03A3">
            <w:pPr>
              <w:jc w:val="center"/>
            </w:pPr>
            <w:r>
              <w:rPr>
                <w:rFonts w:eastAsiaTheme="minorEastAsia"/>
                <w:kern w:val="0"/>
                <w:sz w:val="24"/>
                <w:szCs w:val="24"/>
              </w:rPr>
              <w:t>药明康德</w:t>
            </w:r>
          </w:p>
        </w:tc>
        <w:tc>
          <w:tcPr>
            <w:tcW w:w="1276" w:type="dxa"/>
            <w:vAlign w:val="center"/>
          </w:tcPr>
          <w:p w:rsidR="00BC6297" w:rsidRDefault="007D03A3">
            <w:pPr>
              <w:jc w:val="right"/>
            </w:pPr>
            <w:r>
              <w:rPr>
                <w:rFonts w:eastAsiaTheme="minorEastAsia"/>
                <w:kern w:val="0"/>
                <w:sz w:val="24"/>
                <w:szCs w:val="24"/>
              </w:rPr>
              <w:t>445,571.00</w:t>
            </w:r>
          </w:p>
        </w:tc>
        <w:tc>
          <w:tcPr>
            <w:tcW w:w="1842" w:type="dxa"/>
            <w:vAlign w:val="center"/>
          </w:tcPr>
          <w:p w:rsidR="00BC6297" w:rsidRDefault="007D03A3">
            <w:pPr>
              <w:jc w:val="right"/>
            </w:pPr>
            <w:r>
              <w:rPr>
                <w:rFonts w:eastAsiaTheme="minorEastAsia"/>
                <w:kern w:val="0"/>
                <w:sz w:val="24"/>
                <w:szCs w:val="24"/>
              </w:rPr>
              <w:t>38,399,308.78</w:t>
            </w:r>
          </w:p>
        </w:tc>
        <w:tc>
          <w:tcPr>
            <w:tcW w:w="1616" w:type="dxa"/>
            <w:vAlign w:val="center"/>
          </w:tcPr>
          <w:p w:rsidR="00BC6297" w:rsidRDefault="007D03A3">
            <w:pPr>
              <w:jc w:val="right"/>
            </w:pPr>
            <w:r>
              <w:rPr>
                <w:rFonts w:eastAsiaTheme="minorEastAsia"/>
                <w:kern w:val="0"/>
                <w:sz w:val="24"/>
                <w:szCs w:val="24"/>
              </w:rPr>
              <w:t>3.10</w:t>
            </w:r>
          </w:p>
        </w:tc>
      </w:tr>
      <w:tr w:rsidR="00BC6297">
        <w:tc>
          <w:tcPr>
            <w:tcW w:w="817" w:type="dxa"/>
            <w:vAlign w:val="center"/>
          </w:tcPr>
          <w:p w:rsidR="00BC6297" w:rsidRDefault="007D03A3">
            <w:pPr>
              <w:jc w:val="center"/>
            </w:pPr>
            <w:r>
              <w:rPr>
                <w:rFonts w:eastAsiaTheme="minorEastAsia"/>
                <w:kern w:val="0"/>
                <w:sz w:val="24"/>
                <w:szCs w:val="24"/>
              </w:rPr>
              <w:t>8</w:t>
            </w:r>
          </w:p>
        </w:tc>
        <w:tc>
          <w:tcPr>
            <w:tcW w:w="1276" w:type="dxa"/>
            <w:vAlign w:val="center"/>
          </w:tcPr>
          <w:p w:rsidR="00BC6297" w:rsidRDefault="007D03A3">
            <w:pPr>
              <w:jc w:val="center"/>
            </w:pPr>
            <w:r>
              <w:rPr>
                <w:rFonts w:eastAsiaTheme="minorEastAsia"/>
                <w:kern w:val="0"/>
                <w:sz w:val="24"/>
                <w:szCs w:val="24"/>
              </w:rPr>
              <w:t>002142</w:t>
            </w:r>
          </w:p>
        </w:tc>
        <w:tc>
          <w:tcPr>
            <w:tcW w:w="1701" w:type="dxa"/>
            <w:vAlign w:val="center"/>
          </w:tcPr>
          <w:p w:rsidR="00BC6297" w:rsidRDefault="007D03A3">
            <w:pPr>
              <w:jc w:val="center"/>
            </w:pPr>
            <w:r>
              <w:rPr>
                <w:rFonts w:eastAsiaTheme="minorEastAsia"/>
                <w:kern w:val="0"/>
                <w:sz w:val="24"/>
                <w:szCs w:val="24"/>
              </w:rPr>
              <w:t>宁波银行</w:t>
            </w:r>
          </w:p>
        </w:tc>
        <w:tc>
          <w:tcPr>
            <w:tcW w:w="1276" w:type="dxa"/>
            <w:vAlign w:val="center"/>
          </w:tcPr>
          <w:p w:rsidR="00BC6297" w:rsidRDefault="007D03A3">
            <w:pPr>
              <w:jc w:val="right"/>
            </w:pPr>
            <w:r>
              <w:rPr>
                <w:rFonts w:eastAsiaTheme="minorEastAsia"/>
                <w:kern w:val="0"/>
                <w:sz w:val="24"/>
                <w:szCs w:val="24"/>
              </w:rPr>
              <w:t>1,296,628.00</w:t>
            </w:r>
          </w:p>
        </w:tc>
        <w:tc>
          <w:tcPr>
            <w:tcW w:w="1842" w:type="dxa"/>
            <w:vAlign w:val="center"/>
          </w:tcPr>
          <w:p w:rsidR="00BC6297" w:rsidRDefault="007D03A3">
            <w:pPr>
              <w:jc w:val="right"/>
            </w:pPr>
            <w:r>
              <w:rPr>
                <w:rFonts w:eastAsiaTheme="minorEastAsia"/>
                <w:kern w:val="0"/>
                <w:sz w:val="24"/>
                <w:szCs w:val="24"/>
              </w:rPr>
              <w:t>34,840,394.36</w:t>
            </w:r>
          </w:p>
        </w:tc>
        <w:tc>
          <w:tcPr>
            <w:tcW w:w="1616" w:type="dxa"/>
            <w:vAlign w:val="center"/>
          </w:tcPr>
          <w:p w:rsidR="00BC6297" w:rsidRDefault="007D03A3">
            <w:pPr>
              <w:jc w:val="right"/>
            </w:pPr>
            <w:r>
              <w:rPr>
                <w:rFonts w:eastAsiaTheme="minorEastAsia"/>
                <w:kern w:val="0"/>
                <w:sz w:val="24"/>
                <w:szCs w:val="24"/>
              </w:rPr>
              <w:t>2.81</w:t>
            </w:r>
          </w:p>
        </w:tc>
      </w:tr>
      <w:tr w:rsidR="00BC6297">
        <w:tc>
          <w:tcPr>
            <w:tcW w:w="817" w:type="dxa"/>
            <w:vAlign w:val="center"/>
          </w:tcPr>
          <w:p w:rsidR="00BC6297" w:rsidRDefault="007D03A3">
            <w:pPr>
              <w:jc w:val="center"/>
            </w:pPr>
            <w:r>
              <w:rPr>
                <w:rFonts w:eastAsiaTheme="minorEastAsia"/>
                <w:kern w:val="0"/>
                <w:sz w:val="24"/>
                <w:szCs w:val="24"/>
              </w:rPr>
              <w:t>9</w:t>
            </w:r>
          </w:p>
        </w:tc>
        <w:tc>
          <w:tcPr>
            <w:tcW w:w="1276" w:type="dxa"/>
            <w:vAlign w:val="center"/>
          </w:tcPr>
          <w:p w:rsidR="00BC6297" w:rsidRDefault="007D03A3">
            <w:pPr>
              <w:jc w:val="center"/>
            </w:pPr>
            <w:r>
              <w:rPr>
                <w:rFonts w:eastAsiaTheme="minorEastAsia"/>
                <w:kern w:val="0"/>
                <w:sz w:val="24"/>
                <w:szCs w:val="24"/>
              </w:rPr>
              <w:t>000568</w:t>
            </w:r>
          </w:p>
        </w:tc>
        <w:tc>
          <w:tcPr>
            <w:tcW w:w="1701" w:type="dxa"/>
            <w:vAlign w:val="center"/>
          </w:tcPr>
          <w:p w:rsidR="00BC6297" w:rsidRDefault="007D03A3">
            <w:pPr>
              <w:jc w:val="center"/>
            </w:pPr>
            <w:r>
              <w:rPr>
                <w:rFonts w:eastAsiaTheme="minorEastAsia"/>
                <w:kern w:val="0"/>
                <w:sz w:val="24"/>
                <w:szCs w:val="24"/>
              </w:rPr>
              <w:t>泸州老窖</w:t>
            </w:r>
          </w:p>
        </w:tc>
        <w:tc>
          <w:tcPr>
            <w:tcW w:w="1276" w:type="dxa"/>
            <w:vAlign w:val="center"/>
          </w:tcPr>
          <w:p w:rsidR="00BC6297" w:rsidRDefault="007D03A3">
            <w:pPr>
              <w:jc w:val="right"/>
            </w:pPr>
            <w:r>
              <w:rPr>
                <w:rFonts w:eastAsiaTheme="minorEastAsia"/>
                <w:kern w:val="0"/>
                <w:sz w:val="24"/>
                <w:szCs w:val="24"/>
              </w:rPr>
              <w:t>159,932.00</w:t>
            </w:r>
          </w:p>
        </w:tc>
        <w:tc>
          <w:tcPr>
            <w:tcW w:w="1842" w:type="dxa"/>
            <w:vAlign w:val="center"/>
          </w:tcPr>
          <w:p w:rsidR="00BC6297" w:rsidRDefault="007D03A3">
            <w:pPr>
              <w:jc w:val="right"/>
            </w:pPr>
            <w:r>
              <w:rPr>
                <w:rFonts w:eastAsiaTheme="minorEastAsia"/>
                <w:kern w:val="0"/>
                <w:sz w:val="24"/>
                <w:szCs w:val="24"/>
              </w:rPr>
              <w:t>34,649,267.80</w:t>
            </w:r>
          </w:p>
        </w:tc>
        <w:tc>
          <w:tcPr>
            <w:tcW w:w="1616" w:type="dxa"/>
            <w:vAlign w:val="center"/>
          </w:tcPr>
          <w:p w:rsidR="00BC6297" w:rsidRDefault="007D03A3">
            <w:pPr>
              <w:jc w:val="right"/>
            </w:pPr>
            <w:r>
              <w:rPr>
                <w:rFonts w:eastAsiaTheme="minorEastAsia"/>
                <w:kern w:val="0"/>
                <w:sz w:val="24"/>
                <w:szCs w:val="24"/>
              </w:rPr>
              <w:t>2.79</w:t>
            </w:r>
          </w:p>
        </w:tc>
      </w:tr>
      <w:tr w:rsidR="00BC6297">
        <w:tc>
          <w:tcPr>
            <w:tcW w:w="817" w:type="dxa"/>
            <w:vAlign w:val="center"/>
          </w:tcPr>
          <w:p w:rsidR="00BC6297" w:rsidRDefault="007D03A3">
            <w:pPr>
              <w:jc w:val="center"/>
            </w:pPr>
            <w:r>
              <w:rPr>
                <w:rFonts w:eastAsiaTheme="minorEastAsia"/>
                <w:kern w:val="0"/>
                <w:sz w:val="24"/>
                <w:szCs w:val="24"/>
              </w:rPr>
              <w:t>10</w:t>
            </w:r>
          </w:p>
        </w:tc>
        <w:tc>
          <w:tcPr>
            <w:tcW w:w="1276" w:type="dxa"/>
            <w:vAlign w:val="center"/>
          </w:tcPr>
          <w:p w:rsidR="00BC6297" w:rsidRDefault="007D03A3">
            <w:pPr>
              <w:jc w:val="center"/>
            </w:pPr>
            <w:r>
              <w:rPr>
                <w:rFonts w:eastAsiaTheme="minorEastAsia"/>
                <w:kern w:val="0"/>
                <w:sz w:val="24"/>
                <w:szCs w:val="24"/>
              </w:rPr>
              <w:t>000333</w:t>
            </w:r>
          </w:p>
        </w:tc>
        <w:tc>
          <w:tcPr>
            <w:tcW w:w="1701" w:type="dxa"/>
            <w:vAlign w:val="center"/>
          </w:tcPr>
          <w:p w:rsidR="00BC6297" w:rsidRDefault="007D03A3">
            <w:pPr>
              <w:jc w:val="center"/>
            </w:pPr>
            <w:r>
              <w:rPr>
                <w:rFonts w:eastAsiaTheme="minorEastAsia"/>
                <w:kern w:val="0"/>
                <w:sz w:val="24"/>
                <w:szCs w:val="24"/>
              </w:rPr>
              <w:t>美的集团</w:t>
            </w:r>
          </w:p>
        </w:tc>
        <w:tc>
          <w:tcPr>
            <w:tcW w:w="1276" w:type="dxa"/>
            <w:vAlign w:val="center"/>
          </w:tcPr>
          <w:p w:rsidR="00BC6297" w:rsidRDefault="007D03A3">
            <w:pPr>
              <w:jc w:val="right"/>
            </w:pPr>
            <w:r>
              <w:rPr>
                <w:rFonts w:eastAsiaTheme="minorEastAsia"/>
                <w:kern w:val="0"/>
                <w:sz w:val="24"/>
                <w:szCs w:val="24"/>
              </w:rPr>
              <w:t>604,600.00</w:t>
            </w:r>
          </w:p>
        </w:tc>
        <w:tc>
          <w:tcPr>
            <w:tcW w:w="1842" w:type="dxa"/>
            <w:vAlign w:val="center"/>
          </w:tcPr>
          <w:p w:rsidR="00BC6297" w:rsidRDefault="007D03A3">
            <w:pPr>
              <w:jc w:val="right"/>
            </w:pPr>
            <w:r>
              <w:rPr>
                <w:rFonts w:eastAsiaTheme="minorEastAsia"/>
                <w:kern w:val="0"/>
                <w:sz w:val="24"/>
                <w:szCs w:val="24"/>
              </w:rPr>
              <w:t>33,543,208.00</w:t>
            </w:r>
          </w:p>
        </w:tc>
        <w:tc>
          <w:tcPr>
            <w:tcW w:w="1616" w:type="dxa"/>
            <w:vAlign w:val="center"/>
          </w:tcPr>
          <w:p w:rsidR="00BC6297" w:rsidRDefault="007D03A3">
            <w:pPr>
              <w:jc w:val="right"/>
            </w:pPr>
            <w:r>
              <w:rPr>
                <w:rFonts w:eastAsiaTheme="minorEastAsia"/>
                <w:kern w:val="0"/>
                <w:sz w:val="24"/>
                <w:szCs w:val="24"/>
              </w:rPr>
              <w:t>2.70</w:t>
            </w:r>
          </w:p>
        </w:tc>
      </w:tr>
      <w:bookmarkEnd w:id="1"/>
    </w:tbl>
    <w:p w:rsidR="00D06738" w:rsidRPr="00FA5A70"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本基金投资的前十名证券的发行主体本期未出现被监管部门立案调查，或在报告编制日前一年内受到公开谴责、处罚的情形。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569,954.41</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44,208,030.50</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lastRenderedPageBreak/>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149,264.99</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3,705.95</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44,930,955.85</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1,804,751,742.12</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1,441,296.97</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69,904,295.50</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1,736,288,743.59</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BC6297" w:rsidRDefault="007D03A3">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一</w:t>
      </w:r>
      <w:r>
        <w:rPr>
          <w:rFonts w:eastAsiaTheme="minorEastAsia"/>
          <w:color w:val="000000" w:themeColor="text1"/>
        </w:rPr>
        <w:t>)</w:t>
      </w:r>
      <w:r>
        <w:rPr>
          <w:rFonts w:eastAsiaTheme="minorEastAsia"/>
          <w:color w:val="000000" w:themeColor="text1"/>
        </w:rPr>
        <w:t>中国证监会准予本基金募集注册的文件</w:t>
      </w:r>
    </w:p>
    <w:p w:rsidR="00BC6297" w:rsidRDefault="007D03A3">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w:t>
      </w:r>
      <w:r>
        <w:rPr>
          <w:rFonts w:eastAsiaTheme="minorEastAsia"/>
          <w:color w:val="000000" w:themeColor="text1"/>
        </w:rPr>
        <w:t>摩根慧见两年持有期混合型证券投资基金基金合同</w:t>
      </w:r>
    </w:p>
    <w:p w:rsidR="00BC6297" w:rsidRDefault="007D03A3">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w:t>
      </w:r>
      <w:r>
        <w:rPr>
          <w:rFonts w:eastAsiaTheme="minorEastAsia"/>
          <w:color w:val="000000" w:themeColor="text1"/>
        </w:rPr>
        <w:t>摩根慧见两年持有期混合型证券投资基金托管协议</w:t>
      </w:r>
    </w:p>
    <w:p w:rsidR="00BC6297" w:rsidRDefault="007D03A3">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rsidR="00BC6297" w:rsidRDefault="007D03A3">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rsidR="00BC6297" w:rsidRDefault="007D03A3">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rsidR="00BC6297" w:rsidRDefault="007D03A3">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摩根基金管理（中国）有限公司开放式基金业务规则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基金管理人或基金托管人住所。</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摩根基金管理（中国）有限公司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二〇二三年十月二十五日</w:t>
      </w:r>
    </w:p>
    <w:p w:rsidR="00D06738" w:rsidRPr="00FF6B9A" w:rsidRDefault="00D06738">
      <w:pPr>
        <w:rPr>
          <w:rFonts w:eastAsiaTheme="minorEastAsia" w:hint="eastAsia"/>
          <w:color w:val="000000" w:themeColor="text1"/>
          <w:sz w:val="24"/>
          <w:szCs w:val="24"/>
        </w:rPr>
      </w:pPr>
      <w:bookmarkStart w:id="2" w:name="_GoBack"/>
      <w:bookmarkEnd w:id="2"/>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E03" w:rsidRDefault="00376E03">
      <w:r>
        <w:separator/>
      </w:r>
    </w:p>
  </w:endnote>
  <w:endnote w:type="continuationSeparator" w:id="0">
    <w:p w:rsidR="00376E03" w:rsidRDefault="0037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9D42A4" w:rsidRPr="009D42A4">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9D42A4">
      <w:rPr>
        <w:rStyle w:val="aff"/>
        <w:noProof/>
      </w:rPr>
      <w:t>13</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E03" w:rsidRDefault="00376E03">
      <w:r>
        <w:separator/>
      </w:r>
    </w:p>
  </w:footnote>
  <w:footnote w:type="continuationSeparator" w:id="0">
    <w:p w:rsidR="00376E03" w:rsidRDefault="0037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摩根慧见两年持有期混合型证券投资基金</w:t>
    </w:r>
    <w:r>
      <w:rPr>
        <w:rFonts w:hint="eastAsia"/>
      </w:rPr>
      <w:t>2023</w:t>
    </w:r>
    <w:r>
      <w:rPr>
        <w:rFonts w:hint="eastAsia"/>
      </w:rPr>
      <w:t>年第</w:t>
    </w:r>
    <w:r>
      <w:rPr>
        <w:rFonts w:hint="eastAsia"/>
      </w:rPr>
      <w:t>3</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323ED"/>
    <w:rsid w:val="003470E2"/>
    <w:rsid w:val="00352719"/>
    <w:rsid w:val="00355364"/>
    <w:rsid w:val="00364CCB"/>
    <w:rsid w:val="00376E03"/>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7D03A3"/>
    <w:rsid w:val="008014F9"/>
    <w:rsid w:val="0080358B"/>
    <w:rsid w:val="008059BD"/>
    <w:rsid w:val="0081091B"/>
    <w:rsid w:val="00812D46"/>
    <w:rsid w:val="00815A38"/>
    <w:rsid w:val="0082103F"/>
    <w:rsid w:val="008279FE"/>
    <w:rsid w:val="00831259"/>
    <w:rsid w:val="0083208A"/>
    <w:rsid w:val="0083218A"/>
    <w:rsid w:val="00832A00"/>
    <w:rsid w:val="008344FA"/>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D42A4"/>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6297"/>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159"/>
    <w:rsid w:val="00EB2516"/>
    <w:rsid w:val="00EB2C07"/>
    <w:rsid w:val="00EB374A"/>
    <w:rsid w:val="00ED62BE"/>
    <w:rsid w:val="00EE11C1"/>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422AD"/>
    <w:rsid w:val="00F54EAE"/>
    <w:rsid w:val="00F66A51"/>
    <w:rsid w:val="00F71057"/>
    <w:rsid w:val="00F71A4B"/>
    <w:rsid w:val="00F728CF"/>
    <w:rsid w:val="00F743D4"/>
    <w:rsid w:val="00F83B17"/>
    <w:rsid w:val="00F87EDA"/>
    <w:rsid w:val="00F970EE"/>
    <w:rsid w:val="00FA5A70"/>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09B057"/>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3D188E-FD26-4138-8BFF-C18A49C68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1134</Words>
  <Characters>6470</Characters>
  <Application>Microsoft Office Word</Application>
  <DocSecurity>0</DocSecurity>
  <Lines>53</Lines>
  <Paragraphs>15</Paragraphs>
  <ScaleCrop>false</ScaleCrop>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Kate.Hu@FA</cp:lastModifiedBy>
  <cp:revision>274</cp:revision>
  <dcterms:created xsi:type="dcterms:W3CDTF">2012-10-16T06:07:00Z</dcterms:created>
  <dcterms:modified xsi:type="dcterms:W3CDTF">2023-10-24T07:07:00Z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