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6CA8"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96A4B69"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DDBE80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860B85F"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18DE2F6"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B48D805"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摩根慧见两年持有期混合型证券投资基金</w:t>
      </w:r>
    </w:p>
    <w:p w14:paraId="34944428"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14:paraId="3707949D"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14:paraId="38DD1BF5" w14:textId="77777777" w:rsidR="00D06738" w:rsidRPr="00FF6B9A" w:rsidRDefault="00D06738">
      <w:pPr>
        <w:spacing w:line="360" w:lineRule="auto"/>
        <w:jc w:val="center"/>
        <w:rPr>
          <w:rFonts w:eastAsiaTheme="minorEastAsia"/>
          <w:b/>
          <w:bCs/>
          <w:color w:val="000000" w:themeColor="text1"/>
          <w:sz w:val="24"/>
          <w:szCs w:val="24"/>
        </w:rPr>
      </w:pPr>
    </w:p>
    <w:p w14:paraId="15866671" w14:textId="77777777" w:rsidR="00D06738" w:rsidRPr="00FF6B9A" w:rsidRDefault="00D06738">
      <w:pPr>
        <w:spacing w:line="360" w:lineRule="auto"/>
        <w:jc w:val="center"/>
        <w:rPr>
          <w:rFonts w:eastAsiaTheme="minorEastAsia"/>
          <w:b/>
          <w:bCs/>
          <w:color w:val="000000" w:themeColor="text1"/>
          <w:sz w:val="24"/>
          <w:szCs w:val="24"/>
        </w:rPr>
      </w:pPr>
    </w:p>
    <w:p w14:paraId="6014A7C2" w14:textId="77777777" w:rsidR="00D06738" w:rsidRPr="00FF6B9A" w:rsidRDefault="00D06738">
      <w:pPr>
        <w:spacing w:line="360" w:lineRule="auto"/>
        <w:jc w:val="center"/>
        <w:rPr>
          <w:rFonts w:eastAsiaTheme="minorEastAsia"/>
          <w:b/>
          <w:bCs/>
          <w:color w:val="000000" w:themeColor="text1"/>
          <w:sz w:val="24"/>
          <w:szCs w:val="24"/>
        </w:rPr>
      </w:pPr>
    </w:p>
    <w:p w14:paraId="1374ABD9" w14:textId="77777777" w:rsidR="00D06738" w:rsidRPr="00FF6B9A" w:rsidRDefault="00D06738">
      <w:pPr>
        <w:spacing w:line="360" w:lineRule="auto"/>
        <w:jc w:val="center"/>
        <w:rPr>
          <w:rFonts w:eastAsiaTheme="minorEastAsia"/>
          <w:b/>
          <w:bCs/>
          <w:color w:val="000000" w:themeColor="text1"/>
          <w:sz w:val="24"/>
          <w:szCs w:val="24"/>
        </w:rPr>
      </w:pPr>
    </w:p>
    <w:p w14:paraId="7DF16CA9" w14:textId="77777777" w:rsidR="00D06738" w:rsidRPr="00FF6B9A" w:rsidRDefault="00D06738">
      <w:pPr>
        <w:spacing w:line="360" w:lineRule="auto"/>
        <w:jc w:val="center"/>
        <w:rPr>
          <w:rFonts w:eastAsiaTheme="minorEastAsia"/>
          <w:b/>
          <w:bCs/>
          <w:color w:val="000000" w:themeColor="text1"/>
          <w:sz w:val="24"/>
          <w:szCs w:val="24"/>
        </w:rPr>
      </w:pPr>
    </w:p>
    <w:p w14:paraId="31E27E84" w14:textId="77777777" w:rsidR="00D06738" w:rsidRPr="00FF6B9A" w:rsidRDefault="00D06738">
      <w:pPr>
        <w:spacing w:line="360" w:lineRule="auto"/>
        <w:jc w:val="center"/>
        <w:rPr>
          <w:rFonts w:eastAsiaTheme="minorEastAsia"/>
          <w:b/>
          <w:bCs/>
          <w:color w:val="000000" w:themeColor="text1"/>
          <w:sz w:val="24"/>
          <w:szCs w:val="24"/>
        </w:rPr>
      </w:pPr>
    </w:p>
    <w:p w14:paraId="591C4FD0" w14:textId="77777777" w:rsidR="00D06738" w:rsidRPr="00FF6B9A" w:rsidRDefault="00D06738">
      <w:pPr>
        <w:spacing w:line="360" w:lineRule="auto"/>
        <w:jc w:val="center"/>
        <w:rPr>
          <w:rFonts w:eastAsiaTheme="minorEastAsia"/>
          <w:b/>
          <w:bCs/>
          <w:color w:val="000000" w:themeColor="text1"/>
          <w:sz w:val="24"/>
          <w:szCs w:val="24"/>
        </w:rPr>
      </w:pPr>
    </w:p>
    <w:p w14:paraId="2E2ED1CE" w14:textId="77777777" w:rsidR="00D06738" w:rsidRPr="00FF6B9A" w:rsidRDefault="00D06738">
      <w:pPr>
        <w:spacing w:line="360" w:lineRule="auto"/>
        <w:jc w:val="center"/>
        <w:rPr>
          <w:rFonts w:eastAsiaTheme="minorEastAsia"/>
          <w:b/>
          <w:bCs/>
          <w:color w:val="000000" w:themeColor="text1"/>
          <w:sz w:val="24"/>
          <w:szCs w:val="24"/>
        </w:rPr>
      </w:pPr>
    </w:p>
    <w:p w14:paraId="55338D3F" w14:textId="77777777" w:rsidR="00D06738" w:rsidRPr="00FF6B9A" w:rsidRDefault="00D06738">
      <w:pPr>
        <w:spacing w:line="360" w:lineRule="auto"/>
        <w:jc w:val="center"/>
        <w:rPr>
          <w:rFonts w:eastAsiaTheme="minorEastAsia"/>
          <w:b/>
          <w:bCs/>
          <w:color w:val="000000" w:themeColor="text1"/>
          <w:sz w:val="24"/>
          <w:szCs w:val="24"/>
        </w:rPr>
      </w:pPr>
    </w:p>
    <w:p w14:paraId="35BE99AE" w14:textId="77777777" w:rsidR="00D06738" w:rsidRPr="00FF6B9A" w:rsidRDefault="00D06738">
      <w:pPr>
        <w:spacing w:line="360" w:lineRule="auto"/>
        <w:jc w:val="center"/>
        <w:rPr>
          <w:rFonts w:eastAsiaTheme="minorEastAsia"/>
          <w:b/>
          <w:bCs/>
          <w:color w:val="000000" w:themeColor="text1"/>
          <w:sz w:val="24"/>
          <w:szCs w:val="24"/>
        </w:rPr>
      </w:pPr>
    </w:p>
    <w:p w14:paraId="6C1A8259" w14:textId="77777777" w:rsidR="00D06738" w:rsidRPr="00FF6B9A" w:rsidRDefault="00D06738">
      <w:pPr>
        <w:spacing w:line="360" w:lineRule="auto"/>
        <w:jc w:val="center"/>
        <w:rPr>
          <w:rFonts w:eastAsiaTheme="minorEastAsia"/>
          <w:b/>
          <w:bCs/>
          <w:color w:val="000000" w:themeColor="text1"/>
          <w:sz w:val="24"/>
          <w:szCs w:val="24"/>
        </w:rPr>
      </w:pPr>
    </w:p>
    <w:p w14:paraId="50077DE0" w14:textId="77777777" w:rsidR="00D06738" w:rsidRPr="00FF6B9A" w:rsidRDefault="00D06738">
      <w:pPr>
        <w:spacing w:line="360" w:lineRule="auto"/>
        <w:jc w:val="center"/>
        <w:rPr>
          <w:rFonts w:eastAsiaTheme="minorEastAsia"/>
          <w:b/>
          <w:bCs/>
          <w:color w:val="000000" w:themeColor="text1"/>
          <w:sz w:val="24"/>
          <w:szCs w:val="24"/>
        </w:rPr>
      </w:pPr>
    </w:p>
    <w:p w14:paraId="4A74E9CB" w14:textId="77777777" w:rsidR="00D06738" w:rsidRPr="00FF6B9A" w:rsidRDefault="00D06738">
      <w:pPr>
        <w:spacing w:line="360" w:lineRule="auto"/>
        <w:jc w:val="center"/>
        <w:rPr>
          <w:rFonts w:eastAsiaTheme="minorEastAsia"/>
          <w:b/>
          <w:bCs/>
          <w:color w:val="000000" w:themeColor="text1"/>
          <w:sz w:val="24"/>
          <w:szCs w:val="24"/>
        </w:rPr>
      </w:pPr>
    </w:p>
    <w:p w14:paraId="0239EE69" w14:textId="77777777" w:rsidR="00D06738" w:rsidRPr="00FF6B9A" w:rsidRDefault="00D06738">
      <w:pPr>
        <w:spacing w:line="360" w:lineRule="auto"/>
        <w:rPr>
          <w:rFonts w:eastAsiaTheme="minorEastAsia"/>
          <w:b/>
          <w:bCs/>
          <w:color w:val="000000" w:themeColor="text1"/>
          <w:sz w:val="24"/>
          <w:szCs w:val="24"/>
        </w:rPr>
      </w:pPr>
    </w:p>
    <w:p w14:paraId="037BE793"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436F9313"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14:paraId="2A6A11DE"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报告送出日期：二〇二四年十月二十五日</w:t>
      </w:r>
    </w:p>
    <w:p w14:paraId="423C3143"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1A3AB959"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59E55549"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4E05B613"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4C26C79A"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14:paraId="06C42A7A"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14:paraId="2E9E4165"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14:paraId="083F8694"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580A37F5" w14:textId="77777777">
        <w:tc>
          <w:tcPr>
            <w:tcW w:w="2835" w:type="dxa"/>
            <w:vAlign w:val="center"/>
          </w:tcPr>
          <w:p w14:paraId="081A88C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7CFEDA50"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摩根慧见两年持有期混合</w:t>
            </w:r>
          </w:p>
        </w:tc>
      </w:tr>
      <w:tr w:rsidR="00D06738" w:rsidRPr="00FF6B9A" w14:paraId="15340958" w14:textId="77777777">
        <w:tc>
          <w:tcPr>
            <w:tcW w:w="2835" w:type="dxa"/>
            <w:tcBorders>
              <w:top w:val="single" w:sz="4" w:space="0" w:color="auto"/>
              <w:left w:val="single" w:sz="4" w:space="0" w:color="auto"/>
              <w:bottom w:val="single" w:sz="4" w:space="0" w:color="auto"/>
              <w:right w:val="single" w:sz="4" w:space="0" w:color="auto"/>
            </w:tcBorders>
            <w:vAlign w:val="center"/>
          </w:tcPr>
          <w:p w14:paraId="1B118673"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0A5FB875"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14:paraId="575A3AB5" w14:textId="77777777">
        <w:tc>
          <w:tcPr>
            <w:tcW w:w="2835" w:type="dxa"/>
            <w:tcBorders>
              <w:top w:val="single" w:sz="4" w:space="0" w:color="auto"/>
              <w:left w:val="single" w:sz="4" w:space="0" w:color="auto"/>
              <w:bottom w:val="single" w:sz="4" w:space="0" w:color="auto"/>
              <w:right w:val="single" w:sz="4" w:space="0" w:color="auto"/>
            </w:tcBorders>
            <w:vAlign w:val="center"/>
          </w:tcPr>
          <w:p w14:paraId="08572839"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12AECF7A"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14:paraId="2E0955D3" w14:textId="77777777">
        <w:tc>
          <w:tcPr>
            <w:tcW w:w="2835" w:type="dxa"/>
            <w:vAlign w:val="center"/>
          </w:tcPr>
          <w:p w14:paraId="3B8B253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641FABA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4B86B2BA" w14:textId="77777777">
        <w:tc>
          <w:tcPr>
            <w:tcW w:w="2835" w:type="dxa"/>
            <w:vAlign w:val="center"/>
          </w:tcPr>
          <w:p w14:paraId="372E5AE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0862A5F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14:paraId="2E384DE0" w14:textId="77777777">
        <w:tc>
          <w:tcPr>
            <w:tcW w:w="2835" w:type="dxa"/>
            <w:vAlign w:val="center"/>
          </w:tcPr>
          <w:p w14:paraId="09835EE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0FDD0C9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1,458,875,794.66</w:t>
            </w:r>
            <w:r w:rsidRPr="00FF6B9A">
              <w:rPr>
                <w:rFonts w:eastAsiaTheme="minorEastAsia"/>
                <w:color w:val="000000" w:themeColor="text1"/>
                <w:kern w:val="0"/>
              </w:rPr>
              <w:t>份</w:t>
            </w:r>
          </w:p>
        </w:tc>
      </w:tr>
      <w:tr w:rsidR="00D06738" w:rsidRPr="00FF6B9A" w14:paraId="6B666AD3" w14:textId="77777777">
        <w:tc>
          <w:tcPr>
            <w:tcW w:w="2835" w:type="dxa"/>
            <w:vAlign w:val="center"/>
          </w:tcPr>
          <w:p w14:paraId="4110687C"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2D853C4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14:paraId="4E0AA1CA" w14:textId="77777777">
        <w:tc>
          <w:tcPr>
            <w:tcW w:w="2835" w:type="dxa"/>
            <w:vAlign w:val="center"/>
          </w:tcPr>
          <w:p w14:paraId="531D043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1B3834B6"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564AE576"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w:t>
            </w:r>
            <w:r>
              <w:rPr>
                <w:rFonts w:eastAsiaTheme="minorEastAsia"/>
                <w:color w:val="000000" w:themeColor="text1"/>
                <w:kern w:val="0"/>
              </w:rPr>
              <w:t>基金资产在股票、债券及现金等类别资产间的分配比例，动态优化投资组合。</w:t>
            </w:r>
          </w:p>
          <w:p w14:paraId="1251B451"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637F2FBC"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215734DD"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14:paraId="2993B58A"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w:t>
            </w:r>
            <w:r>
              <w:rPr>
                <w:rFonts w:eastAsiaTheme="minorEastAsia"/>
                <w:color w:val="000000" w:themeColor="text1"/>
                <w:kern w:val="0"/>
              </w:rPr>
              <w:t>产业趋势以及公司发展前景自下而上进行布局，从公司商业模式、产品创新及竞争力、主营业务收入来源和区域分布等多维度进行考量，挖掘优质企业。</w:t>
            </w:r>
          </w:p>
          <w:p w14:paraId="22A82BE7"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14:paraId="28A8FC4F" w14:textId="77777777" w:rsidR="006431CC" w:rsidRDefault="00160599">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75E42FCC"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14:paraId="13763CA3" w14:textId="77777777">
        <w:tc>
          <w:tcPr>
            <w:tcW w:w="2835" w:type="dxa"/>
            <w:vAlign w:val="center"/>
          </w:tcPr>
          <w:p w14:paraId="08EDA5D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14:paraId="1FFEF7D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14:paraId="7AEEE5CC" w14:textId="77777777">
        <w:tc>
          <w:tcPr>
            <w:tcW w:w="2835" w:type="dxa"/>
            <w:vAlign w:val="center"/>
          </w:tcPr>
          <w:p w14:paraId="3A00EAA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50377777"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14:paraId="6C90E243" w14:textId="77777777">
        <w:tc>
          <w:tcPr>
            <w:tcW w:w="2835" w:type="dxa"/>
            <w:vAlign w:val="center"/>
          </w:tcPr>
          <w:p w14:paraId="39F2AD9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2DFA0B5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5DB57270" w14:textId="77777777">
        <w:tc>
          <w:tcPr>
            <w:tcW w:w="2835" w:type="dxa"/>
            <w:vAlign w:val="center"/>
          </w:tcPr>
          <w:p w14:paraId="0D451B4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2F334A4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14:paraId="14F41B11"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73BF0F9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03C74CA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60599" w:rsidRPr="00FF6B9A" w14:paraId="2CD79FCE" w14:textId="77777777" w:rsidTr="00160599">
        <w:tc>
          <w:tcPr>
            <w:tcW w:w="3402" w:type="dxa"/>
            <w:vAlign w:val="center"/>
          </w:tcPr>
          <w:p w14:paraId="0FD4B9A7"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6EE2EF5E"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1305CFBA"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160599" w:rsidRPr="00FF6B9A" w14:paraId="236F8032" w14:textId="77777777" w:rsidTr="00160599">
        <w:tc>
          <w:tcPr>
            <w:tcW w:w="3402" w:type="dxa"/>
            <w:vAlign w:val="center"/>
          </w:tcPr>
          <w:p w14:paraId="671A5EE7"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79B79F2D"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-10,651,663.87</w:t>
            </w:r>
          </w:p>
        </w:tc>
      </w:tr>
      <w:tr w:rsidR="00160599" w:rsidRPr="00FF6B9A" w14:paraId="75E42A7E" w14:textId="77777777" w:rsidTr="00160599">
        <w:tc>
          <w:tcPr>
            <w:tcW w:w="3402" w:type="dxa"/>
            <w:vAlign w:val="center"/>
          </w:tcPr>
          <w:p w14:paraId="0795B41E"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152B8DFC"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74,620,451.28</w:t>
            </w:r>
          </w:p>
        </w:tc>
      </w:tr>
      <w:tr w:rsidR="00160599" w:rsidRPr="00FF6B9A" w14:paraId="6E0EA652" w14:textId="77777777" w:rsidTr="00160599">
        <w:tc>
          <w:tcPr>
            <w:tcW w:w="3402" w:type="dxa"/>
            <w:vAlign w:val="center"/>
          </w:tcPr>
          <w:p w14:paraId="4D3F14C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080C79C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0.0502</w:t>
            </w:r>
          </w:p>
        </w:tc>
      </w:tr>
      <w:tr w:rsidR="00160599" w:rsidRPr="00FF6B9A" w14:paraId="2DCA2786" w14:textId="77777777" w:rsidTr="00160599">
        <w:tc>
          <w:tcPr>
            <w:tcW w:w="3402" w:type="dxa"/>
            <w:vAlign w:val="center"/>
          </w:tcPr>
          <w:p w14:paraId="430F7BE5"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4410CD71"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1,089,119,983.50</w:t>
            </w:r>
          </w:p>
        </w:tc>
      </w:tr>
      <w:tr w:rsidR="00160599" w:rsidRPr="00FF6B9A" w14:paraId="6328B914" w14:textId="77777777" w:rsidTr="00160599">
        <w:trPr>
          <w:trHeight w:val="158"/>
        </w:trPr>
        <w:tc>
          <w:tcPr>
            <w:tcW w:w="3402" w:type="dxa"/>
            <w:vAlign w:val="center"/>
          </w:tcPr>
          <w:p w14:paraId="3F5B1BB1"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2542313D"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0.7465</w:t>
            </w:r>
          </w:p>
        </w:tc>
      </w:tr>
    </w:tbl>
    <w:p w14:paraId="2C510D0F" w14:textId="77777777" w:rsidR="006431CC" w:rsidRDefault="0016059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3C6EB54B"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7E2DC49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CDC374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6741E8B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093133DD" w14:textId="77777777">
        <w:tc>
          <w:tcPr>
            <w:tcW w:w="1395" w:type="dxa"/>
            <w:vAlign w:val="center"/>
          </w:tcPr>
          <w:p w14:paraId="6689EF0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54A4AA8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4C2DD61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14:paraId="157B88F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14:paraId="3F429704"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14:paraId="78A8572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6D2395A8"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6431CC" w14:paraId="12450BFE" w14:textId="77777777">
        <w:tc>
          <w:tcPr>
            <w:tcW w:w="1395" w:type="dxa"/>
            <w:vAlign w:val="center"/>
          </w:tcPr>
          <w:p w14:paraId="3F9F5311" w14:textId="77777777" w:rsidR="006431CC" w:rsidRDefault="00160599">
            <w:pPr>
              <w:jc w:val="left"/>
            </w:pPr>
            <w:r>
              <w:rPr>
                <w:rFonts w:eastAsiaTheme="minorEastAsia"/>
                <w:color w:val="000000" w:themeColor="text1"/>
                <w:kern w:val="0"/>
              </w:rPr>
              <w:t>过去三个月</w:t>
            </w:r>
          </w:p>
        </w:tc>
        <w:tc>
          <w:tcPr>
            <w:tcW w:w="1092" w:type="dxa"/>
            <w:vAlign w:val="center"/>
          </w:tcPr>
          <w:p w14:paraId="5E428C57" w14:textId="77777777" w:rsidR="006431CC" w:rsidRDefault="00160599">
            <w:pPr>
              <w:jc w:val="center"/>
            </w:pPr>
            <w:r>
              <w:rPr>
                <w:rFonts w:eastAsiaTheme="minorEastAsia"/>
                <w:color w:val="000000" w:themeColor="text1"/>
                <w:kern w:val="0"/>
              </w:rPr>
              <w:t>7.49%</w:t>
            </w:r>
          </w:p>
        </w:tc>
        <w:tc>
          <w:tcPr>
            <w:tcW w:w="1161" w:type="dxa"/>
            <w:vAlign w:val="center"/>
          </w:tcPr>
          <w:p w14:paraId="3A0EC54A" w14:textId="77777777" w:rsidR="006431CC" w:rsidRDefault="00160599">
            <w:pPr>
              <w:jc w:val="center"/>
            </w:pPr>
            <w:r>
              <w:rPr>
                <w:rFonts w:eastAsiaTheme="minorEastAsia"/>
                <w:color w:val="000000" w:themeColor="text1"/>
                <w:kern w:val="0"/>
              </w:rPr>
              <w:t>1.22%</w:t>
            </w:r>
          </w:p>
        </w:tc>
        <w:tc>
          <w:tcPr>
            <w:tcW w:w="1181" w:type="dxa"/>
            <w:vAlign w:val="center"/>
          </w:tcPr>
          <w:p w14:paraId="63B37FFF" w14:textId="77777777" w:rsidR="006431CC" w:rsidRDefault="00160599">
            <w:pPr>
              <w:jc w:val="center"/>
            </w:pPr>
            <w:r>
              <w:rPr>
                <w:rFonts w:eastAsiaTheme="minorEastAsia"/>
                <w:color w:val="000000" w:themeColor="text1"/>
                <w:kern w:val="0"/>
              </w:rPr>
              <w:t>12.85%</w:t>
            </w:r>
          </w:p>
        </w:tc>
        <w:tc>
          <w:tcPr>
            <w:tcW w:w="1188" w:type="dxa"/>
            <w:vAlign w:val="center"/>
          </w:tcPr>
          <w:p w14:paraId="78424ADA" w14:textId="77777777" w:rsidR="006431CC" w:rsidRDefault="00160599">
            <w:pPr>
              <w:jc w:val="center"/>
            </w:pPr>
            <w:r>
              <w:rPr>
                <w:rFonts w:eastAsiaTheme="minorEastAsia"/>
                <w:color w:val="000000" w:themeColor="text1"/>
                <w:kern w:val="0"/>
              </w:rPr>
              <w:t>1.26%</w:t>
            </w:r>
          </w:p>
        </w:tc>
        <w:tc>
          <w:tcPr>
            <w:tcW w:w="1199" w:type="dxa"/>
            <w:vAlign w:val="center"/>
          </w:tcPr>
          <w:p w14:paraId="223E78A5" w14:textId="77777777" w:rsidR="006431CC" w:rsidRDefault="00160599">
            <w:pPr>
              <w:jc w:val="center"/>
            </w:pPr>
            <w:r>
              <w:rPr>
                <w:rFonts w:eastAsiaTheme="minorEastAsia"/>
                <w:color w:val="000000" w:themeColor="text1"/>
                <w:kern w:val="0"/>
              </w:rPr>
              <w:t>-5.36%</w:t>
            </w:r>
          </w:p>
        </w:tc>
        <w:tc>
          <w:tcPr>
            <w:tcW w:w="1204" w:type="dxa"/>
            <w:vAlign w:val="center"/>
          </w:tcPr>
          <w:p w14:paraId="51A717B3" w14:textId="77777777" w:rsidR="006431CC" w:rsidRDefault="00160599">
            <w:pPr>
              <w:jc w:val="center"/>
            </w:pPr>
            <w:r>
              <w:rPr>
                <w:rFonts w:eastAsiaTheme="minorEastAsia"/>
                <w:color w:val="000000" w:themeColor="text1"/>
                <w:kern w:val="0"/>
              </w:rPr>
              <w:t>-0.04%</w:t>
            </w:r>
          </w:p>
        </w:tc>
      </w:tr>
      <w:tr w:rsidR="006431CC" w14:paraId="7281CFCF" w14:textId="77777777">
        <w:tc>
          <w:tcPr>
            <w:tcW w:w="1395" w:type="dxa"/>
            <w:vAlign w:val="center"/>
          </w:tcPr>
          <w:p w14:paraId="7DE9BA34" w14:textId="77777777" w:rsidR="006431CC" w:rsidRDefault="00160599">
            <w:pPr>
              <w:jc w:val="left"/>
            </w:pPr>
            <w:r>
              <w:rPr>
                <w:rFonts w:eastAsiaTheme="minorEastAsia"/>
                <w:color w:val="000000" w:themeColor="text1"/>
                <w:kern w:val="0"/>
              </w:rPr>
              <w:t>过去六个月</w:t>
            </w:r>
          </w:p>
        </w:tc>
        <w:tc>
          <w:tcPr>
            <w:tcW w:w="1092" w:type="dxa"/>
            <w:vAlign w:val="center"/>
          </w:tcPr>
          <w:p w14:paraId="0A99602B" w14:textId="77777777" w:rsidR="006431CC" w:rsidRDefault="00160599">
            <w:pPr>
              <w:jc w:val="center"/>
            </w:pPr>
            <w:r>
              <w:rPr>
                <w:rFonts w:eastAsiaTheme="minorEastAsia"/>
                <w:color w:val="000000" w:themeColor="text1"/>
                <w:kern w:val="0"/>
              </w:rPr>
              <w:t>10.72%</w:t>
            </w:r>
          </w:p>
        </w:tc>
        <w:tc>
          <w:tcPr>
            <w:tcW w:w="1161" w:type="dxa"/>
            <w:vAlign w:val="center"/>
          </w:tcPr>
          <w:p w14:paraId="390B0E17" w14:textId="77777777" w:rsidR="006431CC" w:rsidRDefault="00160599">
            <w:pPr>
              <w:jc w:val="center"/>
            </w:pPr>
            <w:r>
              <w:rPr>
                <w:rFonts w:eastAsiaTheme="minorEastAsia"/>
                <w:color w:val="000000" w:themeColor="text1"/>
                <w:kern w:val="0"/>
              </w:rPr>
              <w:t>1.03%</w:t>
            </w:r>
          </w:p>
        </w:tc>
        <w:tc>
          <w:tcPr>
            <w:tcW w:w="1181" w:type="dxa"/>
            <w:vAlign w:val="center"/>
          </w:tcPr>
          <w:p w14:paraId="7828523B" w14:textId="77777777" w:rsidR="006431CC" w:rsidRDefault="00160599">
            <w:pPr>
              <w:jc w:val="center"/>
            </w:pPr>
            <w:r>
              <w:rPr>
                <w:rFonts w:eastAsiaTheme="minorEastAsia"/>
                <w:color w:val="000000" w:themeColor="text1"/>
                <w:kern w:val="0"/>
              </w:rPr>
              <w:t>11.48%</w:t>
            </w:r>
          </w:p>
        </w:tc>
        <w:tc>
          <w:tcPr>
            <w:tcW w:w="1188" w:type="dxa"/>
            <w:vAlign w:val="center"/>
          </w:tcPr>
          <w:p w14:paraId="3DE7A562" w14:textId="77777777" w:rsidR="006431CC" w:rsidRDefault="00160599">
            <w:pPr>
              <w:jc w:val="center"/>
            </w:pPr>
            <w:r>
              <w:rPr>
                <w:rFonts w:eastAsiaTheme="minorEastAsia"/>
                <w:color w:val="000000" w:themeColor="text1"/>
                <w:kern w:val="0"/>
              </w:rPr>
              <w:t>1.01%</w:t>
            </w:r>
          </w:p>
        </w:tc>
        <w:tc>
          <w:tcPr>
            <w:tcW w:w="1199" w:type="dxa"/>
            <w:vAlign w:val="center"/>
          </w:tcPr>
          <w:p w14:paraId="7AC0757E" w14:textId="77777777" w:rsidR="006431CC" w:rsidRDefault="00160599">
            <w:pPr>
              <w:jc w:val="center"/>
            </w:pPr>
            <w:r>
              <w:rPr>
                <w:rFonts w:eastAsiaTheme="minorEastAsia"/>
                <w:color w:val="000000" w:themeColor="text1"/>
                <w:kern w:val="0"/>
              </w:rPr>
              <w:t>-0.76%</w:t>
            </w:r>
          </w:p>
        </w:tc>
        <w:tc>
          <w:tcPr>
            <w:tcW w:w="1204" w:type="dxa"/>
            <w:vAlign w:val="center"/>
          </w:tcPr>
          <w:p w14:paraId="44685B42" w14:textId="77777777" w:rsidR="006431CC" w:rsidRDefault="00160599">
            <w:pPr>
              <w:jc w:val="center"/>
            </w:pPr>
            <w:r>
              <w:rPr>
                <w:rFonts w:eastAsiaTheme="minorEastAsia"/>
                <w:color w:val="000000" w:themeColor="text1"/>
                <w:kern w:val="0"/>
              </w:rPr>
              <w:t>0.02%</w:t>
            </w:r>
          </w:p>
        </w:tc>
      </w:tr>
      <w:tr w:rsidR="006431CC" w14:paraId="073996FF" w14:textId="77777777">
        <w:tc>
          <w:tcPr>
            <w:tcW w:w="1395" w:type="dxa"/>
            <w:vAlign w:val="center"/>
          </w:tcPr>
          <w:p w14:paraId="790E3A6C" w14:textId="77777777" w:rsidR="006431CC" w:rsidRDefault="00160599">
            <w:pPr>
              <w:jc w:val="left"/>
            </w:pPr>
            <w:r>
              <w:rPr>
                <w:rFonts w:eastAsiaTheme="minorEastAsia"/>
                <w:color w:val="000000" w:themeColor="text1"/>
                <w:kern w:val="0"/>
              </w:rPr>
              <w:t>过去一年</w:t>
            </w:r>
          </w:p>
        </w:tc>
        <w:tc>
          <w:tcPr>
            <w:tcW w:w="1092" w:type="dxa"/>
            <w:vAlign w:val="center"/>
          </w:tcPr>
          <w:p w14:paraId="31E435C0" w14:textId="77777777" w:rsidR="006431CC" w:rsidRDefault="00160599">
            <w:pPr>
              <w:jc w:val="center"/>
            </w:pPr>
            <w:r>
              <w:rPr>
                <w:rFonts w:eastAsiaTheme="minorEastAsia"/>
                <w:color w:val="000000" w:themeColor="text1"/>
                <w:kern w:val="0"/>
              </w:rPr>
              <w:t>4.48%</w:t>
            </w:r>
          </w:p>
        </w:tc>
        <w:tc>
          <w:tcPr>
            <w:tcW w:w="1161" w:type="dxa"/>
            <w:vAlign w:val="center"/>
          </w:tcPr>
          <w:p w14:paraId="1AEECB9D" w14:textId="77777777" w:rsidR="006431CC" w:rsidRDefault="00160599">
            <w:pPr>
              <w:jc w:val="center"/>
            </w:pPr>
            <w:r>
              <w:rPr>
                <w:rFonts w:eastAsiaTheme="minorEastAsia"/>
                <w:color w:val="000000" w:themeColor="text1"/>
                <w:kern w:val="0"/>
              </w:rPr>
              <w:t>0.91%</w:t>
            </w:r>
          </w:p>
        </w:tc>
        <w:tc>
          <w:tcPr>
            <w:tcW w:w="1181" w:type="dxa"/>
            <w:vAlign w:val="center"/>
          </w:tcPr>
          <w:p w14:paraId="5605F6BD" w14:textId="77777777" w:rsidR="006431CC" w:rsidRDefault="00160599">
            <w:pPr>
              <w:jc w:val="center"/>
            </w:pPr>
            <w:r>
              <w:rPr>
                <w:rFonts w:eastAsiaTheme="minorEastAsia"/>
                <w:color w:val="000000" w:themeColor="text1"/>
                <w:kern w:val="0"/>
              </w:rPr>
              <w:t>7.19%</w:t>
            </w:r>
          </w:p>
        </w:tc>
        <w:tc>
          <w:tcPr>
            <w:tcW w:w="1188" w:type="dxa"/>
            <w:vAlign w:val="center"/>
          </w:tcPr>
          <w:p w14:paraId="3DD78D0C" w14:textId="77777777" w:rsidR="006431CC" w:rsidRDefault="00160599">
            <w:pPr>
              <w:jc w:val="center"/>
            </w:pPr>
            <w:r>
              <w:rPr>
                <w:rFonts w:eastAsiaTheme="minorEastAsia"/>
                <w:color w:val="000000" w:themeColor="text1"/>
                <w:kern w:val="0"/>
              </w:rPr>
              <w:t>0.91%</w:t>
            </w:r>
          </w:p>
        </w:tc>
        <w:tc>
          <w:tcPr>
            <w:tcW w:w="1199" w:type="dxa"/>
            <w:vAlign w:val="center"/>
          </w:tcPr>
          <w:p w14:paraId="114ADDC7" w14:textId="77777777" w:rsidR="006431CC" w:rsidRDefault="00160599">
            <w:pPr>
              <w:jc w:val="center"/>
            </w:pPr>
            <w:r>
              <w:rPr>
                <w:rFonts w:eastAsiaTheme="minorEastAsia"/>
                <w:color w:val="000000" w:themeColor="text1"/>
                <w:kern w:val="0"/>
              </w:rPr>
              <w:t>-2.71%</w:t>
            </w:r>
          </w:p>
        </w:tc>
        <w:tc>
          <w:tcPr>
            <w:tcW w:w="1204" w:type="dxa"/>
            <w:vAlign w:val="center"/>
          </w:tcPr>
          <w:p w14:paraId="002ADBA9" w14:textId="77777777" w:rsidR="006431CC" w:rsidRDefault="00160599">
            <w:pPr>
              <w:jc w:val="center"/>
            </w:pPr>
            <w:r>
              <w:rPr>
                <w:rFonts w:eastAsiaTheme="minorEastAsia"/>
                <w:color w:val="000000" w:themeColor="text1"/>
                <w:kern w:val="0"/>
              </w:rPr>
              <w:t>0.00%</w:t>
            </w:r>
          </w:p>
        </w:tc>
      </w:tr>
      <w:tr w:rsidR="006431CC" w14:paraId="1DB5D130" w14:textId="77777777">
        <w:tc>
          <w:tcPr>
            <w:tcW w:w="1395" w:type="dxa"/>
            <w:vAlign w:val="center"/>
          </w:tcPr>
          <w:p w14:paraId="47627BBF" w14:textId="77777777" w:rsidR="006431CC" w:rsidRDefault="00160599">
            <w:pPr>
              <w:jc w:val="left"/>
            </w:pPr>
            <w:r>
              <w:rPr>
                <w:rFonts w:eastAsiaTheme="minorEastAsia"/>
                <w:color w:val="000000" w:themeColor="text1"/>
                <w:kern w:val="0"/>
              </w:rPr>
              <w:t>过去三年</w:t>
            </w:r>
          </w:p>
        </w:tc>
        <w:tc>
          <w:tcPr>
            <w:tcW w:w="1092" w:type="dxa"/>
            <w:vAlign w:val="center"/>
          </w:tcPr>
          <w:p w14:paraId="28321EB4" w14:textId="77777777" w:rsidR="006431CC" w:rsidRDefault="00160599">
            <w:pPr>
              <w:jc w:val="center"/>
            </w:pPr>
            <w:r>
              <w:rPr>
                <w:rFonts w:eastAsiaTheme="minorEastAsia"/>
                <w:color w:val="000000" w:themeColor="text1"/>
                <w:kern w:val="0"/>
              </w:rPr>
              <w:t>-34.41%</w:t>
            </w:r>
          </w:p>
        </w:tc>
        <w:tc>
          <w:tcPr>
            <w:tcW w:w="1161" w:type="dxa"/>
            <w:vAlign w:val="center"/>
          </w:tcPr>
          <w:p w14:paraId="25D09F28" w14:textId="77777777" w:rsidR="006431CC" w:rsidRDefault="00160599">
            <w:pPr>
              <w:jc w:val="center"/>
            </w:pPr>
            <w:r>
              <w:rPr>
                <w:rFonts w:eastAsiaTheme="minorEastAsia"/>
                <w:color w:val="000000" w:themeColor="text1"/>
                <w:kern w:val="0"/>
              </w:rPr>
              <w:t>1.10%</w:t>
            </w:r>
          </w:p>
        </w:tc>
        <w:tc>
          <w:tcPr>
            <w:tcW w:w="1181" w:type="dxa"/>
            <w:vAlign w:val="center"/>
          </w:tcPr>
          <w:p w14:paraId="4F768B1C" w14:textId="77777777" w:rsidR="006431CC" w:rsidRDefault="00160599">
            <w:pPr>
              <w:jc w:val="center"/>
            </w:pPr>
            <w:r>
              <w:rPr>
                <w:rFonts w:eastAsiaTheme="minorEastAsia"/>
                <w:color w:val="000000" w:themeColor="text1"/>
                <w:kern w:val="0"/>
              </w:rPr>
              <w:t>-10.92%</w:t>
            </w:r>
          </w:p>
        </w:tc>
        <w:tc>
          <w:tcPr>
            <w:tcW w:w="1188" w:type="dxa"/>
            <w:vAlign w:val="center"/>
          </w:tcPr>
          <w:p w14:paraId="11C39940" w14:textId="77777777" w:rsidR="006431CC" w:rsidRDefault="00160599">
            <w:pPr>
              <w:jc w:val="center"/>
            </w:pPr>
            <w:r>
              <w:rPr>
                <w:rFonts w:eastAsiaTheme="minorEastAsia"/>
                <w:color w:val="000000" w:themeColor="text1"/>
                <w:kern w:val="0"/>
              </w:rPr>
              <w:t>0.87%</w:t>
            </w:r>
          </w:p>
        </w:tc>
        <w:tc>
          <w:tcPr>
            <w:tcW w:w="1199" w:type="dxa"/>
            <w:vAlign w:val="center"/>
          </w:tcPr>
          <w:p w14:paraId="17DAEB31" w14:textId="77777777" w:rsidR="006431CC" w:rsidRDefault="00160599">
            <w:pPr>
              <w:jc w:val="center"/>
            </w:pPr>
            <w:r>
              <w:rPr>
                <w:rFonts w:eastAsiaTheme="minorEastAsia"/>
                <w:color w:val="000000" w:themeColor="text1"/>
                <w:kern w:val="0"/>
              </w:rPr>
              <w:t>-23.49%</w:t>
            </w:r>
          </w:p>
        </w:tc>
        <w:tc>
          <w:tcPr>
            <w:tcW w:w="1204" w:type="dxa"/>
            <w:vAlign w:val="center"/>
          </w:tcPr>
          <w:p w14:paraId="447D8075" w14:textId="77777777" w:rsidR="006431CC" w:rsidRDefault="00160599">
            <w:pPr>
              <w:jc w:val="center"/>
            </w:pPr>
            <w:r>
              <w:rPr>
                <w:rFonts w:eastAsiaTheme="minorEastAsia"/>
                <w:color w:val="000000" w:themeColor="text1"/>
                <w:kern w:val="0"/>
              </w:rPr>
              <w:t>0.23%</w:t>
            </w:r>
          </w:p>
        </w:tc>
      </w:tr>
      <w:tr w:rsidR="006431CC" w14:paraId="21E6CE24" w14:textId="77777777">
        <w:tc>
          <w:tcPr>
            <w:tcW w:w="1395" w:type="dxa"/>
            <w:vAlign w:val="center"/>
          </w:tcPr>
          <w:p w14:paraId="6326D941" w14:textId="77777777" w:rsidR="006431CC" w:rsidRDefault="00160599">
            <w:pPr>
              <w:jc w:val="left"/>
            </w:pPr>
            <w:r>
              <w:rPr>
                <w:rFonts w:eastAsiaTheme="minorEastAsia"/>
                <w:color w:val="000000" w:themeColor="text1"/>
                <w:kern w:val="0"/>
              </w:rPr>
              <w:t>过去五年</w:t>
            </w:r>
          </w:p>
        </w:tc>
        <w:tc>
          <w:tcPr>
            <w:tcW w:w="1092" w:type="dxa"/>
            <w:vAlign w:val="center"/>
          </w:tcPr>
          <w:p w14:paraId="64698301" w14:textId="77777777" w:rsidR="006431CC" w:rsidRDefault="00160599">
            <w:pPr>
              <w:jc w:val="center"/>
            </w:pPr>
            <w:r>
              <w:rPr>
                <w:rFonts w:eastAsiaTheme="minorEastAsia"/>
                <w:color w:val="000000" w:themeColor="text1"/>
                <w:kern w:val="0"/>
              </w:rPr>
              <w:t>-</w:t>
            </w:r>
          </w:p>
        </w:tc>
        <w:tc>
          <w:tcPr>
            <w:tcW w:w="1161" w:type="dxa"/>
            <w:vAlign w:val="center"/>
          </w:tcPr>
          <w:p w14:paraId="3ED3A8E3" w14:textId="77777777" w:rsidR="006431CC" w:rsidRDefault="00160599">
            <w:pPr>
              <w:jc w:val="center"/>
            </w:pPr>
            <w:r>
              <w:rPr>
                <w:rFonts w:eastAsiaTheme="minorEastAsia"/>
                <w:color w:val="000000" w:themeColor="text1"/>
                <w:kern w:val="0"/>
              </w:rPr>
              <w:t>-</w:t>
            </w:r>
          </w:p>
        </w:tc>
        <w:tc>
          <w:tcPr>
            <w:tcW w:w="1181" w:type="dxa"/>
            <w:vAlign w:val="center"/>
          </w:tcPr>
          <w:p w14:paraId="5902D90A" w14:textId="77777777" w:rsidR="006431CC" w:rsidRDefault="00160599">
            <w:pPr>
              <w:jc w:val="center"/>
            </w:pPr>
            <w:r>
              <w:rPr>
                <w:rFonts w:eastAsiaTheme="minorEastAsia"/>
                <w:color w:val="000000" w:themeColor="text1"/>
                <w:kern w:val="0"/>
              </w:rPr>
              <w:t>-</w:t>
            </w:r>
          </w:p>
        </w:tc>
        <w:tc>
          <w:tcPr>
            <w:tcW w:w="1188" w:type="dxa"/>
            <w:vAlign w:val="center"/>
          </w:tcPr>
          <w:p w14:paraId="5D4D46E6" w14:textId="77777777" w:rsidR="006431CC" w:rsidRDefault="00160599">
            <w:pPr>
              <w:jc w:val="center"/>
            </w:pPr>
            <w:r>
              <w:rPr>
                <w:rFonts w:eastAsiaTheme="minorEastAsia"/>
                <w:color w:val="000000" w:themeColor="text1"/>
                <w:kern w:val="0"/>
              </w:rPr>
              <w:t>-</w:t>
            </w:r>
          </w:p>
        </w:tc>
        <w:tc>
          <w:tcPr>
            <w:tcW w:w="1199" w:type="dxa"/>
            <w:vAlign w:val="center"/>
          </w:tcPr>
          <w:p w14:paraId="78A5BF77" w14:textId="77777777" w:rsidR="006431CC" w:rsidRDefault="00160599">
            <w:pPr>
              <w:jc w:val="center"/>
            </w:pPr>
            <w:r>
              <w:rPr>
                <w:rFonts w:eastAsiaTheme="minorEastAsia"/>
                <w:color w:val="000000" w:themeColor="text1"/>
                <w:kern w:val="0"/>
              </w:rPr>
              <w:t>-</w:t>
            </w:r>
          </w:p>
        </w:tc>
        <w:tc>
          <w:tcPr>
            <w:tcW w:w="1204" w:type="dxa"/>
            <w:vAlign w:val="center"/>
          </w:tcPr>
          <w:p w14:paraId="09AF373D" w14:textId="77777777" w:rsidR="006431CC" w:rsidRDefault="00160599">
            <w:pPr>
              <w:jc w:val="center"/>
            </w:pPr>
            <w:r>
              <w:rPr>
                <w:rFonts w:eastAsiaTheme="minorEastAsia"/>
                <w:color w:val="000000" w:themeColor="text1"/>
                <w:kern w:val="0"/>
              </w:rPr>
              <w:t>-</w:t>
            </w:r>
          </w:p>
        </w:tc>
      </w:tr>
      <w:tr w:rsidR="006431CC" w14:paraId="43D3E911" w14:textId="77777777">
        <w:tc>
          <w:tcPr>
            <w:tcW w:w="1395" w:type="dxa"/>
            <w:vAlign w:val="center"/>
          </w:tcPr>
          <w:p w14:paraId="2E7F10A6" w14:textId="77777777" w:rsidR="006431CC" w:rsidRDefault="00160599">
            <w:pPr>
              <w:jc w:val="left"/>
            </w:pPr>
            <w:r>
              <w:rPr>
                <w:rFonts w:eastAsiaTheme="minorEastAsia"/>
                <w:color w:val="000000" w:themeColor="text1"/>
                <w:kern w:val="0"/>
              </w:rPr>
              <w:t>自基金合同生效起至今</w:t>
            </w:r>
          </w:p>
        </w:tc>
        <w:tc>
          <w:tcPr>
            <w:tcW w:w="1092" w:type="dxa"/>
            <w:vAlign w:val="center"/>
          </w:tcPr>
          <w:p w14:paraId="5BAE746A" w14:textId="77777777" w:rsidR="006431CC" w:rsidRDefault="00160599">
            <w:pPr>
              <w:jc w:val="center"/>
            </w:pPr>
            <w:r>
              <w:rPr>
                <w:rFonts w:eastAsiaTheme="minorEastAsia"/>
                <w:color w:val="000000" w:themeColor="text1"/>
                <w:kern w:val="0"/>
              </w:rPr>
              <w:t>-25.35%</w:t>
            </w:r>
          </w:p>
        </w:tc>
        <w:tc>
          <w:tcPr>
            <w:tcW w:w="1161" w:type="dxa"/>
            <w:vAlign w:val="center"/>
          </w:tcPr>
          <w:p w14:paraId="4EB4E49E" w14:textId="77777777" w:rsidR="006431CC" w:rsidRDefault="00160599">
            <w:pPr>
              <w:jc w:val="center"/>
            </w:pPr>
            <w:r>
              <w:rPr>
                <w:rFonts w:eastAsiaTheme="minorEastAsia"/>
                <w:color w:val="000000" w:themeColor="text1"/>
                <w:kern w:val="0"/>
              </w:rPr>
              <w:t>1.23%</w:t>
            </w:r>
          </w:p>
        </w:tc>
        <w:tc>
          <w:tcPr>
            <w:tcW w:w="1181" w:type="dxa"/>
            <w:vAlign w:val="center"/>
          </w:tcPr>
          <w:p w14:paraId="0CB360A3" w14:textId="77777777" w:rsidR="006431CC" w:rsidRDefault="00160599">
            <w:pPr>
              <w:jc w:val="center"/>
            </w:pPr>
            <w:r>
              <w:rPr>
                <w:rFonts w:eastAsiaTheme="minorEastAsia"/>
                <w:color w:val="000000" w:themeColor="text1"/>
                <w:kern w:val="0"/>
              </w:rPr>
              <w:t>-6.66%</w:t>
            </w:r>
          </w:p>
        </w:tc>
        <w:tc>
          <w:tcPr>
            <w:tcW w:w="1188" w:type="dxa"/>
            <w:vAlign w:val="center"/>
          </w:tcPr>
          <w:p w14:paraId="588EFB85" w14:textId="77777777" w:rsidR="006431CC" w:rsidRDefault="00160599">
            <w:pPr>
              <w:jc w:val="center"/>
            </w:pPr>
            <w:r>
              <w:rPr>
                <w:rFonts w:eastAsiaTheme="minorEastAsia"/>
                <w:color w:val="000000" w:themeColor="text1"/>
                <w:kern w:val="0"/>
              </w:rPr>
              <w:t>0.88%</w:t>
            </w:r>
          </w:p>
        </w:tc>
        <w:tc>
          <w:tcPr>
            <w:tcW w:w="1199" w:type="dxa"/>
            <w:vAlign w:val="center"/>
          </w:tcPr>
          <w:p w14:paraId="005400E6" w14:textId="77777777" w:rsidR="006431CC" w:rsidRDefault="00160599">
            <w:pPr>
              <w:jc w:val="center"/>
            </w:pPr>
            <w:r>
              <w:rPr>
                <w:rFonts w:eastAsiaTheme="minorEastAsia"/>
                <w:color w:val="000000" w:themeColor="text1"/>
                <w:kern w:val="0"/>
              </w:rPr>
              <w:t>-18.69%</w:t>
            </w:r>
          </w:p>
        </w:tc>
        <w:tc>
          <w:tcPr>
            <w:tcW w:w="1204" w:type="dxa"/>
            <w:vAlign w:val="center"/>
          </w:tcPr>
          <w:p w14:paraId="31B33A64" w14:textId="77777777" w:rsidR="006431CC" w:rsidRDefault="00160599">
            <w:pPr>
              <w:jc w:val="center"/>
            </w:pPr>
            <w:r>
              <w:rPr>
                <w:rFonts w:eastAsiaTheme="minorEastAsia"/>
                <w:color w:val="000000" w:themeColor="text1"/>
                <w:kern w:val="0"/>
              </w:rPr>
              <w:t>0.35%</w:t>
            </w:r>
          </w:p>
        </w:tc>
      </w:tr>
    </w:tbl>
    <w:p w14:paraId="33A11821"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627737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728689E1"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摩根慧见两年持有期混合型证券投资基金</w:t>
      </w:r>
    </w:p>
    <w:p w14:paraId="2E64662A"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5CB0229C"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6C2CB434"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7485CC12" wp14:editId="4BF2B1F8">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0A0A208F" w14:textId="77777777" w:rsidR="006431CC" w:rsidRDefault="0016059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14:paraId="418FD68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14:paraId="4626DFCD" w14:textId="77777777" w:rsidR="00D06738" w:rsidRPr="00FF6B9A" w:rsidRDefault="00D06738">
      <w:pPr>
        <w:tabs>
          <w:tab w:val="left" w:pos="1800"/>
        </w:tabs>
        <w:spacing w:line="360" w:lineRule="auto"/>
        <w:rPr>
          <w:rFonts w:eastAsiaTheme="minorEastAsia"/>
          <w:color w:val="000000" w:themeColor="text1"/>
          <w:sz w:val="24"/>
          <w:szCs w:val="24"/>
        </w:rPr>
      </w:pPr>
    </w:p>
    <w:p w14:paraId="5C64899F" w14:textId="77777777" w:rsidR="00D06738" w:rsidRPr="00FF6B9A" w:rsidRDefault="00D06738">
      <w:pPr>
        <w:tabs>
          <w:tab w:val="left" w:pos="1800"/>
        </w:tabs>
        <w:spacing w:line="288" w:lineRule="auto"/>
        <w:rPr>
          <w:rFonts w:eastAsiaTheme="minorEastAsia"/>
          <w:color w:val="000000" w:themeColor="text1"/>
          <w:sz w:val="24"/>
          <w:szCs w:val="24"/>
        </w:rPr>
      </w:pPr>
    </w:p>
    <w:p w14:paraId="180083E9"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14:paraId="66D151B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277F0326" w14:textId="77777777">
        <w:trPr>
          <w:cantSplit/>
          <w:trHeight w:val="292"/>
        </w:trPr>
        <w:tc>
          <w:tcPr>
            <w:tcW w:w="851" w:type="dxa"/>
            <w:vMerge w:val="restart"/>
            <w:vAlign w:val="center"/>
          </w:tcPr>
          <w:p w14:paraId="0739C689"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4E822772"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72302AA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14:paraId="3CE184F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32B6BD0A"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0A2BCCA5" w14:textId="77777777">
        <w:trPr>
          <w:cantSplit/>
        </w:trPr>
        <w:tc>
          <w:tcPr>
            <w:tcW w:w="851" w:type="dxa"/>
            <w:vMerge/>
            <w:vAlign w:val="center"/>
          </w:tcPr>
          <w:p w14:paraId="4EA88C77"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33218BE5"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2900A1C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184B94C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2698752F"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41D45774" w14:textId="77777777" w:rsidR="00D06738" w:rsidRPr="00FF6B9A" w:rsidRDefault="00D06738">
            <w:pPr>
              <w:widowControl/>
              <w:spacing w:line="360" w:lineRule="auto"/>
              <w:jc w:val="left"/>
              <w:rPr>
                <w:rFonts w:eastAsiaTheme="minorEastAsia"/>
                <w:color w:val="000000" w:themeColor="text1"/>
                <w:kern w:val="0"/>
              </w:rPr>
            </w:pPr>
          </w:p>
        </w:tc>
      </w:tr>
      <w:tr w:rsidR="006431CC" w14:paraId="5F33777F" w14:textId="77777777">
        <w:tc>
          <w:tcPr>
            <w:tcW w:w="851" w:type="dxa"/>
            <w:vAlign w:val="center"/>
          </w:tcPr>
          <w:p w14:paraId="4D567EB4" w14:textId="77777777" w:rsidR="006431CC" w:rsidRDefault="00160599">
            <w:pPr>
              <w:jc w:val="center"/>
            </w:pPr>
            <w:r>
              <w:rPr>
                <w:rFonts w:eastAsiaTheme="minorEastAsia"/>
                <w:color w:val="000000" w:themeColor="text1"/>
              </w:rPr>
              <w:t>李德辉</w:t>
            </w:r>
          </w:p>
        </w:tc>
        <w:tc>
          <w:tcPr>
            <w:tcW w:w="850" w:type="dxa"/>
            <w:vAlign w:val="center"/>
          </w:tcPr>
          <w:p w14:paraId="0A47920A" w14:textId="77777777" w:rsidR="006431CC" w:rsidRDefault="00160599">
            <w:pPr>
              <w:jc w:val="center"/>
            </w:pPr>
            <w:r>
              <w:rPr>
                <w:rFonts w:eastAsiaTheme="minorEastAsia"/>
                <w:color w:val="000000" w:themeColor="text1"/>
              </w:rPr>
              <w:t>本基金基金经理</w:t>
            </w:r>
          </w:p>
        </w:tc>
        <w:tc>
          <w:tcPr>
            <w:tcW w:w="1560" w:type="dxa"/>
            <w:vAlign w:val="center"/>
          </w:tcPr>
          <w:p w14:paraId="76BA4A85" w14:textId="77777777" w:rsidR="006431CC" w:rsidRDefault="00160599">
            <w:pPr>
              <w:jc w:val="center"/>
            </w:pPr>
            <w:r>
              <w:rPr>
                <w:rFonts w:eastAsiaTheme="minorEastAsia"/>
                <w:color w:val="000000" w:themeColor="text1"/>
              </w:rPr>
              <w:t>2020-09-17</w:t>
            </w:r>
          </w:p>
        </w:tc>
        <w:tc>
          <w:tcPr>
            <w:tcW w:w="1559" w:type="dxa"/>
            <w:vAlign w:val="center"/>
          </w:tcPr>
          <w:p w14:paraId="63C9B5B1" w14:textId="77777777" w:rsidR="006431CC" w:rsidRDefault="00160599">
            <w:pPr>
              <w:jc w:val="center"/>
            </w:pPr>
            <w:r>
              <w:rPr>
                <w:rFonts w:eastAsiaTheme="minorEastAsia"/>
                <w:color w:val="000000" w:themeColor="text1"/>
              </w:rPr>
              <w:t>-</w:t>
            </w:r>
          </w:p>
        </w:tc>
        <w:tc>
          <w:tcPr>
            <w:tcW w:w="1417" w:type="dxa"/>
            <w:vAlign w:val="center"/>
          </w:tcPr>
          <w:p w14:paraId="4C4C3E5D" w14:textId="77777777" w:rsidR="006431CC" w:rsidRDefault="00160599">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14:paraId="24014151" w14:textId="77777777" w:rsidR="006431CC" w:rsidRDefault="00160599">
            <w:r>
              <w:rPr>
                <w:rFonts w:eastAsiaTheme="minorEastAsia"/>
                <w:color w:val="000000" w:themeColor="text1"/>
              </w:rPr>
              <w:t>李德辉先生曾任农银汇理基金管理有限公司研究员。</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月起加入摩根基金管理（中国）有限公司（原上投摩根基金管理有限公司），历任研究员、行业专家兼基金经理助理、基金经理、高级基金经理，现任资深基金经理。</w:t>
            </w:r>
          </w:p>
        </w:tc>
      </w:tr>
    </w:tbl>
    <w:p w14:paraId="547C3062" w14:textId="77777777" w:rsidR="006431CC" w:rsidRDefault="0016059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3B58F2FF" w14:textId="77777777" w:rsidR="006431CC" w:rsidRDefault="00160599">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14:paraId="5E6F00D8"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14:paraId="638040FF" w14:textId="77777777"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0"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1"/>
        <w:gridCol w:w="2396"/>
        <w:gridCol w:w="1818"/>
        <w:gridCol w:w="1350"/>
      </w:tblGrid>
      <w:tr w:rsidR="00454D20" w:rsidRPr="00FF6B9A" w14:paraId="0B8AC9E2" w14:textId="77777777" w:rsidTr="00454D20">
        <w:tc>
          <w:tcPr>
            <w:tcW w:w="959" w:type="dxa"/>
            <w:tcBorders>
              <w:top w:val="single" w:sz="4" w:space="0" w:color="auto"/>
              <w:left w:val="single" w:sz="4" w:space="0" w:color="auto"/>
              <w:bottom w:val="single" w:sz="4" w:space="0" w:color="auto"/>
              <w:right w:val="single" w:sz="4" w:space="0" w:color="auto"/>
            </w:tcBorders>
            <w:vAlign w:val="center"/>
            <w:hideMark/>
          </w:tcPr>
          <w:p w14:paraId="4A4A715E" w14:textId="77777777"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EC1138" w14:textId="77777777"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5D64AB" w14:textId="77777777"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EBA700" w14:textId="77777777"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7726B4A" w14:textId="77777777"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14:paraId="6BF21543" w14:textId="77777777" w:rsidTr="00454D20">
        <w:tc>
          <w:tcPr>
            <w:tcW w:w="959" w:type="dxa"/>
            <w:vMerge w:val="restart"/>
            <w:tcBorders>
              <w:top w:val="single" w:sz="4" w:space="0" w:color="auto"/>
              <w:left w:val="single" w:sz="4" w:space="0" w:color="auto"/>
              <w:bottom w:val="single" w:sz="4" w:space="0" w:color="auto"/>
              <w:right w:val="single" w:sz="4" w:space="0" w:color="auto"/>
            </w:tcBorders>
            <w:hideMark/>
          </w:tcPr>
          <w:p w14:paraId="666F87F7" w14:textId="77777777" w:rsidR="00454D20" w:rsidRPr="00FF6B9A" w:rsidRDefault="00454D20">
            <w:pPr>
              <w:spacing w:line="288" w:lineRule="auto"/>
              <w:jc w:val="left"/>
              <w:rPr>
                <w:rFonts w:eastAsiaTheme="minorEastAsia"/>
                <w:color w:val="000000"/>
              </w:rPr>
            </w:pPr>
            <w:r w:rsidRPr="00FF6B9A">
              <w:rPr>
                <w:rFonts w:eastAsiaTheme="minorEastAsia"/>
                <w:color w:val="000000"/>
              </w:rPr>
              <w:t>李德辉</w:t>
            </w:r>
          </w:p>
        </w:tc>
        <w:tc>
          <w:tcPr>
            <w:tcW w:w="2410" w:type="dxa"/>
            <w:tcBorders>
              <w:top w:val="single" w:sz="4" w:space="0" w:color="auto"/>
              <w:left w:val="single" w:sz="4" w:space="0" w:color="auto"/>
              <w:bottom w:val="single" w:sz="4" w:space="0" w:color="auto"/>
              <w:right w:val="single" w:sz="4" w:space="0" w:color="auto"/>
            </w:tcBorders>
            <w:hideMark/>
          </w:tcPr>
          <w:p w14:paraId="5FBFF6A8" w14:textId="77777777"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62666265" w14:textId="77777777" w:rsidR="00454D20" w:rsidRPr="00FF6B9A" w:rsidRDefault="00454D20">
            <w:pPr>
              <w:spacing w:line="288" w:lineRule="auto"/>
              <w:jc w:val="left"/>
              <w:rPr>
                <w:rFonts w:eastAsiaTheme="minorEastAsia"/>
                <w:color w:val="000000"/>
              </w:rPr>
            </w:pPr>
            <w:r w:rsidRPr="00FF6B9A">
              <w:rPr>
                <w:rFonts w:eastAsiaTheme="minorEastAsia"/>
                <w:color w:val="000000"/>
              </w:rPr>
              <w:t>6</w:t>
            </w:r>
          </w:p>
        </w:tc>
        <w:tc>
          <w:tcPr>
            <w:tcW w:w="1843" w:type="dxa"/>
            <w:tcBorders>
              <w:top w:val="single" w:sz="4" w:space="0" w:color="auto"/>
              <w:left w:val="single" w:sz="4" w:space="0" w:color="auto"/>
              <w:bottom w:val="single" w:sz="4" w:space="0" w:color="auto"/>
              <w:right w:val="single" w:sz="4" w:space="0" w:color="auto"/>
            </w:tcBorders>
            <w:hideMark/>
          </w:tcPr>
          <w:p w14:paraId="0CD9B4F4" w14:textId="77777777" w:rsidR="00454D20" w:rsidRPr="00FF6B9A" w:rsidRDefault="00454D20">
            <w:pPr>
              <w:spacing w:line="288" w:lineRule="auto"/>
              <w:jc w:val="left"/>
              <w:rPr>
                <w:rFonts w:eastAsiaTheme="minorEastAsia"/>
                <w:color w:val="000000"/>
              </w:rPr>
            </w:pPr>
            <w:r w:rsidRPr="00FF6B9A">
              <w:rPr>
                <w:rFonts w:eastAsiaTheme="minorEastAsia"/>
                <w:color w:val="000000"/>
              </w:rPr>
              <w:t>7,262,990,643.06</w:t>
            </w:r>
          </w:p>
        </w:tc>
        <w:tc>
          <w:tcPr>
            <w:tcW w:w="1381" w:type="dxa"/>
            <w:tcBorders>
              <w:top w:val="single" w:sz="4" w:space="0" w:color="auto"/>
              <w:left w:val="single" w:sz="4" w:space="0" w:color="auto"/>
              <w:bottom w:val="single" w:sz="4" w:space="0" w:color="auto"/>
              <w:right w:val="single" w:sz="4" w:space="0" w:color="auto"/>
            </w:tcBorders>
            <w:hideMark/>
          </w:tcPr>
          <w:p w14:paraId="16FFBC93" w14:textId="77777777" w:rsidR="00454D20" w:rsidRPr="00FF6B9A" w:rsidRDefault="00454D20">
            <w:pPr>
              <w:spacing w:line="288" w:lineRule="auto"/>
              <w:jc w:val="left"/>
              <w:rPr>
                <w:rFonts w:eastAsiaTheme="minorEastAsia"/>
                <w:color w:val="000000"/>
              </w:rPr>
            </w:pPr>
            <w:r w:rsidRPr="00FF6B9A">
              <w:rPr>
                <w:rFonts w:eastAsiaTheme="minorEastAsia"/>
                <w:color w:val="000000"/>
              </w:rPr>
              <w:t>2016-11-18</w:t>
            </w:r>
          </w:p>
        </w:tc>
      </w:tr>
      <w:tr w:rsidR="00454D20" w:rsidRPr="00FF6B9A" w14:paraId="197B1CD4"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41269E94"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019E7BB2" w14:textId="77777777"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7FC0CAB" w14:textId="77777777"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14:paraId="5B7ECE04" w14:textId="77777777" w:rsidR="00454D20" w:rsidRPr="00FF6B9A" w:rsidRDefault="00454D20">
            <w:pPr>
              <w:spacing w:line="288" w:lineRule="auto"/>
              <w:jc w:val="left"/>
              <w:rPr>
                <w:rFonts w:eastAsiaTheme="minorEastAsia"/>
                <w:color w:val="000000"/>
              </w:rPr>
            </w:pPr>
            <w:r w:rsidRPr="00FF6B9A">
              <w:rPr>
                <w:rFonts w:eastAsiaTheme="minorEastAsia"/>
                <w:color w:val="000000"/>
              </w:rPr>
              <w:t>16,672,314.42</w:t>
            </w:r>
          </w:p>
        </w:tc>
        <w:tc>
          <w:tcPr>
            <w:tcW w:w="1381" w:type="dxa"/>
            <w:tcBorders>
              <w:top w:val="single" w:sz="4" w:space="0" w:color="auto"/>
              <w:left w:val="single" w:sz="4" w:space="0" w:color="auto"/>
              <w:bottom w:val="single" w:sz="4" w:space="0" w:color="auto"/>
              <w:right w:val="single" w:sz="4" w:space="0" w:color="auto"/>
            </w:tcBorders>
            <w:hideMark/>
          </w:tcPr>
          <w:p w14:paraId="2AB26937" w14:textId="77777777" w:rsidR="00454D20" w:rsidRPr="00FF6B9A" w:rsidRDefault="00454D20">
            <w:pPr>
              <w:spacing w:line="288" w:lineRule="auto"/>
              <w:jc w:val="left"/>
              <w:rPr>
                <w:rFonts w:eastAsiaTheme="minorEastAsia"/>
                <w:color w:val="000000"/>
              </w:rPr>
            </w:pPr>
            <w:r w:rsidRPr="00FF6B9A">
              <w:rPr>
                <w:rFonts w:eastAsiaTheme="minorEastAsia"/>
                <w:color w:val="000000"/>
              </w:rPr>
              <w:t>2022-11-22</w:t>
            </w:r>
          </w:p>
        </w:tc>
      </w:tr>
      <w:tr w:rsidR="00454D20" w:rsidRPr="00FF6B9A" w14:paraId="6FC416CC"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230DAD2F"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5EB9B871" w14:textId="77777777"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15E5B520"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14:paraId="28623995"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14:paraId="5B47E25E" w14:textId="77777777"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14:paraId="6806A39A" w14:textId="77777777"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14:paraId="50AB8A77" w14:textId="77777777"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14:paraId="5FEBE8E5" w14:textId="77777777"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14:paraId="78528815" w14:textId="77777777" w:rsidR="00454D20" w:rsidRPr="00FF6B9A" w:rsidRDefault="00454D20">
            <w:pPr>
              <w:spacing w:line="288" w:lineRule="auto"/>
              <w:jc w:val="left"/>
              <w:rPr>
                <w:rFonts w:eastAsiaTheme="minorEastAsia"/>
                <w:color w:val="000000"/>
              </w:rPr>
            </w:pPr>
            <w:r w:rsidRPr="00FF6B9A">
              <w:rPr>
                <w:rFonts w:eastAsiaTheme="minorEastAsia"/>
                <w:color w:val="000000"/>
              </w:rPr>
              <w:t>7</w:t>
            </w:r>
          </w:p>
        </w:tc>
        <w:tc>
          <w:tcPr>
            <w:tcW w:w="1843" w:type="dxa"/>
            <w:tcBorders>
              <w:top w:val="single" w:sz="4" w:space="0" w:color="auto"/>
              <w:left w:val="single" w:sz="4" w:space="0" w:color="auto"/>
              <w:bottom w:val="single" w:sz="4" w:space="0" w:color="auto"/>
              <w:right w:val="single" w:sz="4" w:space="0" w:color="auto"/>
            </w:tcBorders>
            <w:hideMark/>
          </w:tcPr>
          <w:p w14:paraId="113B873E" w14:textId="77777777" w:rsidR="00454D20" w:rsidRPr="00FF6B9A" w:rsidRDefault="00454D20">
            <w:pPr>
              <w:spacing w:line="288" w:lineRule="auto"/>
              <w:jc w:val="left"/>
              <w:rPr>
                <w:rFonts w:eastAsiaTheme="minorEastAsia"/>
                <w:color w:val="000000"/>
              </w:rPr>
            </w:pPr>
            <w:r w:rsidRPr="00FF6B9A">
              <w:rPr>
                <w:rFonts w:eastAsiaTheme="minorEastAsia"/>
                <w:color w:val="000000"/>
              </w:rPr>
              <w:t>7,279,662,957.48</w:t>
            </w:r>
          </w:p>
        </w:tc>
        <w:tc>
          <w:tcPr>
            <w:tcW w:w="1381" w:type="dxa"/>
            <w:tcBorders>
              <w:top w:val="single" w:sz="4" w:space="0" w:color="auto"/>
              <w:left w:val="single" w:sz="4" w:space="0" w:color="auto"/>
              <w:bottom w:val="single" w:sz="4" w:space="0" w:color="auto"/>
              <w:right w:val="single" w:sz="4" w:space="0" w:color="auto"/>
            </w:tcBorders>
          </w:tcPr>
          <w:p w14:paraId="33C00182" w14:textId="77777777" w:rsidR="00454D20" w:rsidRPr="00FF6B9A" w:rsidRDefault="00454D20">
            <w:pPr>
              <w:spacing w:line="288" w:lineRule="auto"/>
              <w:jc w:val="left"/>
              <w:rPr>
                <w:rFonts w:eastAsiaTheme="minorEastAsia"/>
                <w:color w:val="000000"/>
              </w:rPr>
            </w:pPr>
          </w:p>
        </w:tc>
      </w:tr>
    </w:tbl>
    <w:p w14:paraId="61BF40C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0126145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CE686C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2CE275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59C8E54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0B119A3F"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eastAsiaTheme="minorEastAsia"/>
          <w:color w:val="000000" w:themeColor="text1"/>
        </w:rPr>
        <w:lastRenderedPageBreak/>
        <w:t>理活动相关的环节均得到公平对待。</w:t>
      </w:r>
    </w:p>
    <w:p w14:paraId="3D5727D2"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14:paraId="539F8153"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2931256B"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5D7552A9"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78F10099"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50B0DA4D" w14:textId="77777777" w:rsidR="00D06738" w:rsidRPr="00FF6B9A" w:rsidRDefault="00D06738">
      <w:pPr>
        <w:spacing w:line="360" w:lineRule="auto"/>
        <w:ind w:firstLineChars="200" w:firstLine="480"/>
        <w:rPr>
          <w:rFonts w:eastAsiaTheme="minorEastAsia"/>
          <w:color w:val="000000" w:themeColor="text1"/>
          <w:sz w:val="24"/>
          <w:szCs w:val="24"/>
        </w:rPr>
      </w:pPr>
    </w:p>
    <w:p w14:paraId="2BB3AB6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26C2F8FE"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14:paraId="20D6DDB3"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9</w:t>
      </w:r>
      <w:r>
        <w:rPr>
          <w:rFonts w:eastAsiaTheme="minorEastAsia"/>
          <w:color w:val="000000" w:themeColor="text1"/>
        </w:rPr>
        <w:t>月底宏观政策大转向，导致股市大反弹，沪深</w:t>
      </w:r>
      <w:r>
        <w:rPr>
          <w:rFonts w:eastAsiaTheme="minorEastAsia"/>
          <w:color w:val="000000" w:themeColor="text1"/>
        </w:rPr>
        <w:t>300</w:t>
      </w:r>
      <w:r>
        <w:rPr>
          <w:rFonts w:eastAsiaTheme="minorEastAsia"/>
          <w:color w:val="000000" w:themeColor="text1"/>
        </w:rPr>
        <w:t>指数上涨</w:t>
      </w:r>
      <w:r>
        <w:rPr>
          <w:rFonts w:eastAsiaTheme="minorEastAsia"/>
          <w:color w:val="000000" w:themeColor="text1"/>
        </w:rPr>
        <w:t>16.07%</w:t>
      </w:r>
      <w:r>
        <w:rPr>
          <w:rFonts w:eastAsiaTheme="minorEastAsia"/>
          <w:color w:val="000000" w:themeColor="text1"/>
        </w:rPr>
        <w:t>，创业板指上涨</w:t>
      </w:r>
      <w:r>
        <w:rPr>
          <w:rFonts w:eastAsiaTheme="minorEastAsia"/>
          <w:color w:val="000000" w:themeColor="text1"/>
        </w:rPr>
        <w:t>29.21%</w:t>
      </w:r>
      <w:r>
        <w:rPr>
          <w:rFonts w:eastAsiaTheme="minorEastAsia"/>
          <w:color w:val="000000" w:themeColor="text1"/>
        </w:rPr>
        <w:t>，结构方面：前期下跌较多的非银、地产、消费等反弹力度大，相对高位的红利、科技、出海表现较一般，本基金由于低配了内需相关资产，集中配置于科技、新能源、出海及红利类资产，导致产品涨幅低于指数涨幅。</w:t>
      </w:r>
    </w:p>
    <w:p w14:paraId="6E03E30F"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展望四季度，随着政策落地，经济有望企稳，股市底部基本确认，上涨空间依赖于财政刺激的力度。从目前估值水平看，截止到</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30</w:t>
      </w:r>
      <w:r>
        <w:rPr>
          <w:rFonts w:eastAsiaTheme="minorEastAsia"/>
          <w:color w:val="000000" w:themeColor="text1"/>
        </w:rPr>
        <w:t>日，沪深</w:t>
      </w:r>
      <w:r>
        <w:rPr>
          <w:rFonts w:eastAsiaTheme="minorEastAsia"/>
          <w:color w:val="000000" w:themeColor="text1"/>
        </w:rPr>
        <w:t>300</w:t>
      </w:r>
      <w:r>
        <w:rPr>
          <w:rFonts w:eastAsiaTheme="minorEastAsia"/>
          <w:color w:val="000000" w:themeColor="text1"/>
        </w:rPr>
        <w:t>的动态</w:t>
      </w:r>
      <w:r>
        <w:rPr>
          <w:rFonts w:eastAsiaTheme="minorEastAsia"/>
          <w:color w:val="000000" w:themeColor="text1"/>
        </w:rPr>
        <w:t xml:space="preserve">PE </w:t>
      </w:r>
      <w:r>
        <w:rPr>
          <w:rFonts w:eastAsiaTheme="minorEastAsia"/>
          <w:color w:val="000000" w:themeColor="text1"/>
        </w:rPr>
        <w:t>为</w:t>
      </w:r>
      <w:r>
        <w:rPr>
          <w:rFonts w:eastAsiaTheme="minorEastAsia"/>
          <w:color w:val="000000" w:themeColor="text1"/>
        </w:rPr>
        <w:t>13x</w:t>
      </w:r>
      <w:r>
        <w:rPr>
          <w:rFonts w:eastAsiaTheme="minorEastAsia"/>
          <w:color w:val="000000" w:themeColor="text1"/>
        </w:rPr>
        <w:t>，回到历史估值中位数以上。所以后续我们更应该关注结构性机会，寻找有成长</w:t>
      </w:r>
      <w:r>
        <w:rPr>
          <w:rFonts w:eastAsiaTheme="minorEastAsia"/>
          <w:color w:val="000000" w:themeColor="text1"/>
        </w:rPr>
        <w:t>的行业，例如：科技、新能源、出海制造业、资源品等方向。对于地产、金融、消费等这些行业，基本面反转的难度较大，考虑到这些方向股票反弹幅度较大，所以相对谨慎。</w:t>
      </w:r>
    </w:p>
    <w:p w14:paraId="262A97C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我们维持之前看好的方向，科技：人工智能（</w:t>
      </w:r>
      <w:r w:rsidRPr="00FF6B9A">
        <w:rPr>
          <w:rFonts w:eastAsiaTheme="minorEastAsia"/>
          <w:color w:val="000000" w:themeColor="text1"/>
        </w:rPr>
        <w:t>AI</w:t>
      </w:r>
      <w:r w:rsidRPr="00FF6B9A">
        <w:rPr>
          <w:rFonts w:eastAsiaTheme="minorEastAsia"/>
          <w:color w:val="000000" w:themeColor="text1"/>
        </w:rPr>
        <w:t>）技术发展迅速，</w:t>
      </w:r>
      <w:r w:rsidRPr="00FF6B9A">
        <w:rPr>
          <w:rFonts w:eastAsiaTheme="minorEastAsia"/>
          <w:color w:val="000000" w:themeColor="text1"/>
        </w:rPr>
        <w:t xml:space="preserve"> AI</w:t>
      </w:r>
      <w:r w:rsidRPr="00FF6B9A">
        <w:rPr>
          <w:rFonts w:eastAsiaTheme="minorEastAsia"/>
          <w:color w:val="000000" w:themeColor="text1"/>
        </w:rPr>
        <w:t>算力投资持续加大，</w:t>
      </w:r>
      <w:r w:rsidRPr="00FF6B9A">
        <w:rPr>
          <w:rFonts w:eastAsiaTheme="minorEastAsia"/>
          <w:color w:val="000000" w:themeColor="text1"/>
        </w:rPr>
        <w:t>AI</w:t>
      </w:r>
      <w:r w:rsidRPr="00FF6B9A">
        <w:rPr>
          <w:rFonts w:eastAsiaTheme="minorEastAsia"/>
          <w:color w:val="000000" w:themeColor="text1"/>
        </w:rPr>
        <w:t>手机有望加快落地，看好算力投资和手机供应链的机会。新能源：国内新能源车渗透率继续提升，全球储能增长迅速，其中电池环节竞争壁垒高，龙头公司盈利能力强，估值性价比高。出海制造业：家电、汽车、工程机械等行业中国企业竞争优势明显，出口增速快；同时国内以旧换新政策落地，国内需求回暖明显，出口和内需呈现共振。资源品：铜、煤炭</w:t>
      </w:r>
      <w:r w:rsidRPr="00FF6B9A">
        <w:rPr>
          <w:rFonts w:eastAsiaTheme="minorEastAsia"/>
          <w:color w:val="000000" w:themeColor="text1"/>
        </w:rPr>
        <w:lastRenderedPageBreak/>
        <w:t>等资源品供给缺乏弹性，如果经济企稳复苏，则价格有一定向上弹性。</w:t>
      </w:r>
    </w:p>
    <w:p w14:paraId="4B0DABB2"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6680B5E9"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本报告期摩根慧见两年份额净值增长率为</w:t>
      </w:r>
      <w:r w:rsidRPr="00FF6B9A">
        <w:rPr>
          <w:rFonts w:eastAsiaTheme="minorEastAsia"/>
          <w:color w:val="000000" w:themeColor="text1"/>
        </w:rPr>
        <w:t>:7.49%</w:t>
      </w:r>
      <w:r w:rsidRPr="00FF6B9A">
        <w:rPr>
          <w:rFonts w:eastAsiaTheme="minorEastAsia"/>
          <w:color w:val="000000" w:themeColor="text1"/>
        </w:rPr>
        <w:t>，同期业绩比较基准收益率为</w:t>
      </w:r>
      <w:r w:rsidRPr="00FF6B9A">
        <w:rPr>
          <w:rFonts w:eastAsiaTheme="minorEastAsia"/>
          <w:color w:val="000000" w:themeColor="text1"/>
        </w:rPr>
        <w:t>:12.85%</w:t>
      </w:r>
      <w:r w:rsidRPr="00FF6B9A">
        <w:rPr>
          <w:rFonts w:eastAsiaTheme="minorEastAsia"/>
          <w:color w:val="000000" w:themeColor="text1"/>
        </w:rPr>
        <w:t>。</w:t>
      </w:r>
    </w:p>
    <w:p w14:paraId="72CF9B36" w14:textId="77777777" w:rsidR="00D06738" w:rsidRPr="00FF6B9A" w:rsidRDefault="00D06738">
      <w:pPr>
        <w:spacing w:line="360" w:lineRule="auto"/>
        <w:ind w:firstLineChars="200" w:firstLine="480"/>
        <w:rPr>
          <w:rFonts w:eastAsiaTheme="minorEastAsia"/>
          <w:color w:val="000000" w:themeColor="text1"/>
          <w:sz w:val="24"/>
          <w:szCs w:val="24"/>
        </w:rPr>
      </w:pPr>
    </w:p>
    <w:p w14:paraId="21825237"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1F98DB87"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14:paraId="462A91D3"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14:paraId="6A2925F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0905C42C" w14:textId="77777777">
        <w:trPr>
          <w:jc w:val="center"/>
        </w:trPr>
        <w:tc>
          <w:tcPr>
            <w:tcW w:w="720" w:type="dxa"/>
            <w:vAlign w:val="center"/>
          </w:tcPr>
          <w:p w14:paraId="47A163A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15797E2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70E9484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4086A8C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7E849E75" w14:textId="77777777">
        <w:trPr>
          <w:jc w:val="center"/>
        </w:trPr>
        <w:tc>
          <w:tcPr>
            <w:tcW w:w="720" w:type="dxa"/>
            <w:vAlign w:val="center"/>
          </w:tcPr>
          <w:p w14:paraId="3D43725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5F869A2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49D55BA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977,241,631.84</w:t>
            </w:r>
          </w:p>
        </w:tc>
        <w:tc>
          <w:tcPr>
            <w:tcW w:w="1843" w:type="dxa"/>
            <w:vAlign w:val="center"/>
          </w:tcPr>
          <w:p w14:paraId="192A156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84.30</w:t>
            </w:r>
          </w:p>
        </w:tc>
      </w:tr>
      <w:tr w:rsidR="00D06738" w:rsidRPr="00FF6B9A" w14:paraId="045F2A4E" w14:textId="77777777">
        <w:trPr>
          <w:jc w:val="center"/>
        </w:trPr>
        <w:tc>
          <w:tcPr>
            <w:tcW w:w="720" w:type="dxa"/>
            <w:vAlign w:val="center"/>
          </w:tcPr>
          <w:p w14:paraId="40BFE09F"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1C18FFD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061AB66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977,241,631.84</w:t>
            </w:r>
          </w:p>
        </w:tc>
        <w:tc>
          <w:tcPr>
            <w:tcW w:w="1843" w:type="dxa"/>
            <w:vAlign w:val="center"/>
          </w:tcPr>
          <w:p w14:paraId="49D4D0E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84.30</w:t>
            </w:r>
          </w:p>
        </w:tc>
      </w:tr>
      <w:tr w:rsidR="00D06738" w:rsidRPr="00FF6B9A" w14:paraId="1B0B177A" w14:textId="77777777">
        <w:trPr>
          <w:jc w:val="center"/>
        </w:trPr>
        <w:tc>
          <w:tcPr>
            <w:tcW w:w="720" w:type="dxa"/>
            <w:vAlign w:val="center"/>
          </w:tcPr>
          <w:p w14:paraId="51E6938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15B68DC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176A5FD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6EC873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CA1E750" w14:textId="77777777">
        <w:trPr>
          <w:jc w:val="center"/>
        </w:trPr>
        <w:tc>
          <w:tcPr>
            <w:tcW w:w="720" w:type="dxa"/>
            <w:vAlign w:val="center"/>
          </w:tcPr>
          <w:p w14:paraId="13907166"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275B13DF"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6C16263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28C5859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118A5F7" w14:textId="77777777">
        <w:trPr>
          <w:jc w:val="center"/>
        </w:trPr>
        <w:tc>
          <w:tcPr>
            <w:tcW w:w="720" w:type="dxa"/>
            <w:vAlign w:val="center"/>
          </w:tcPr>
          <w:p w14:paraId="2A33C786"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1F7A22E5"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2B995C0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56CFC5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7171220" w14:textId="77777777">
        <w:trPr>
          <w:jc w:val="center"/>
        </w:trPr>
        <w:tc>
          <w:tcPr>
            <w:tcW w:w="720" w:type="dxa"/>
          </w:tcPr>
          <w:p w14:paraId="19A3B5D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3883F364"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391D079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29B8F18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C314D15" w14:textId="77777777">
        <w:trPr>
          <w:jc w:val="center"/>
        </w:trPr>
        <w:tc>
          <w:tcPr>
            <w:tcW w:w="720" w:type="dxa"/>
            <w:vAlign w:val="center"/>
          </w:tcPr>
          <w:p w14:paraId="0B1F2B0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45C32188"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14:paraId="69EA44C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5B5CA4F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F3C09BB" w14:textId="77777777">
        <w:trPr>
          <w:jc w:val="center"/>
        </w:trPr>
        <w:tc>
          <w:tcPr>
            <w:tcW w:w="720" w:type="dxa"/>
            <w:vAlign w:val="center"/>
          </w:tcPr>
          <w:p w14:paraId="5A66DEB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377A11C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6107F0B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08AA103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C5883E1" w14:textId="77777777">
        <w:trPr>
          <w:jc w:val="center"/>
        </w:trPr>
        <w:tc>
          <w:tcPr>
            <w:tcW w:w="720" w:type="dxa"/>
            <w:vAlign w:val="center"/>
          </w:tcPr>
          <w:p w14:paraId="3D4E3449"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7C3896FA"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2204F97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3E2515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7BB7BAB" w14:textId="77777777">
        <w:trPr>
          <w:jc w:val="center"/>
        </w:trPr>
        <w:tc>
          <w:tcPr>
            <w:tcW w:w="720" w:type="dxa"/>
            <w:vAlign w:val="center"/>
          </w:tcPr>
          <w:p w14:paraId="3AC8047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266005C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4CCA4DC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181,617,891.64</w:t>
            </w:r>
          </w:p>
        </w:tc>
        <w:tc>
          <w:tcPr>
            <w:tcW w:w="1843" w:type="dxa"/>
            <w:vAlign w:val="center"/>
          </w:tcPr>
          <w:p w14:paraId="0816A4C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15.67</w:t>
            </w:r>
          </w:p>
        </w:tc>
      </w:tr>
      <w:tr w:rsidR="00D06738" w:rsidRPr="00FF6B9A" w14:paraId="577707CB" w14:textId="77777777">
        <w:trPr>
          <w:jc w:val="center"/>
        </w:trPr>
        <w:tc>
          <w:tcPr>
            <w:tcW w:w="720" w:type="dxa"/>
            <w:vAlign w:val="center"/>
          </w:tcPr>
          <w:p w14:paraId="1E843D1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52297440"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1B5D989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337,888.39</w:t>
            </w:r>
          </w:p>
        </w:tc>
        <w:tc>
          <w:tcPr>
            <w:tcW w:w="1843" w:type="dxa"/>
            <w:vAlign w:val="center"/>
          </w:tcPr>
          <w:p w14:paraId="70B47EF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14:paraId="7C0040AD" w14:textId="77777777">
        <w:trPr>
          <w:jc w:val="center"/>
        </w:trPr>
        <w:tc>
          <w:tcPr>
            <w:tcW w:w="720" w:type="dxa"/>
            <w:vAlign w:val="center"/>
          </w:tcPr>
          <w:p w14:paraId="0C72D69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2C9ED1D2"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63E427E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1,159,197,411.87</w:t>
            </w:r>
          </w:p>
        </w:tc>
        <w:tc>
          <w:tcPr>
            <w:tcW w:w="1843" w:type="dxa"/>
            <w:vAlign w:val="center"/>
          </w:tcPr>
          <w:p w14:paraId="42DB8EC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30BE206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76,817,572.92</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7.05%</w:t>
      </w:r>
      <w:r w:rsidRPr="00FF6B9A">
        <w:rPr>
          <w:rFonts w:eastAsiaTheme="minorEastAsia"/>
          <w:color w:val="000000" w:themeColor="text1"/>
        </w:rPr>
        <w:t>。</w:t>
      </w:r>
    </w:p>
    <w:p w14:paraId="08ED5367"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13A55D4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49F9265E" w14:textId="77777777" w:rsidR="00D06738" w:rsidRPr="00FF6B9A" w:rsidRDefault="00454D20">
      <w:pPr>
        <w:rPr>
          <w:b/>
        </w:rPr>
      </w:pPr>
      <w:r w:rsidRPr="00FF6B9A">
        <w:rPr>
          <w:rFonts w:eastAsiaTheme="minorEastAsia"/>
          <w:b/>
          <w:color w:val="000000" w:themeColor="text1"/>
          <w:kern w:val="0"/>
        </w:rPr>
        <w:lastRenderedPageBreak/>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373F2181"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641C45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16B99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6DAAA4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C41AA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24AFE2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F52B7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91CA7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108389"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92C58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DFC8C6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92D1E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8C4C5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5A486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67,187,336.00</w:t>
            </w:r>
          </w:p>
          <w:p w14:paraId="04986F3D"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F0262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6.17</w:t>
            </w:r>
          </w:p>
          <w:p w14:paraId="25F408A6" w14:textId="77777777" w:rsidR="00D06738" w:rsidRPr="00FF6B9A" w:rsidRDefault="00D06738">
            <w:pPr>
              <w:jc w:val="right"/>
              <w:rPr>
                <w:rFonts w:eastAsiaTheme="minorEastAsia"/>
                <w:color w:val="000000" w:themeColor="text1"/>
                <w:kern w:val="0"/>
              </w:rPr>
            </w:pPr>
          </w:p>
        </w:tc>
      </w:tr>
      <w:tr w:rsidR="00D06738" w:rsidRPr="00FF6B9A" w14:paraId="2BE5DC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A39C9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BC38A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D5739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739,211,684.38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C078C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67.87</w:t>
            </w:r>
          </w:p>
        </w:tc>
      </w:tr>
      <w:tr w:rsidR="00D06738" w:rsidRPr="00FF6B9A" w14:paraId="23D449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46510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9EACE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5B87A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18,033,135.35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6F45C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1.66</w:t>
            </w:r>
          </w:p>
        </w:tc>
      </w:tr>
      <w:tr w:rsidR="00D06738" w:rsidRPr="00FF6B9A" w14:paraId="27D1779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2690C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8D80F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9880C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91C8C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A093A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E636F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D6C03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9A250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8B45F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29407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106C2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111B3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4EA03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64581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120CE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E24D3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B9E53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9C4B5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0273C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5ACC73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0933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3DAF2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7642B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19,031,850.15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EA398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1.75</w:t>
            </w:r>
          </w:p>
        </w:tc>
      </w:tr>
      <w:tr w:rsidR="00D06738" w:rsidRPr="00FF6B9A" w14:paraId="24760C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63F33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760AC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87412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56,960,053.04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DAD04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5.23</w:t>
            </w:r>
          </w:p>
        </w:tc>
      </w:tr>
      <w:tr w:rsidR="00D06738" w:rsidRPr="00FF6B9A" w14:paraId="66681A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BA9A5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BF8FC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FB005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499F1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7F241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C4099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B1388D"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D370B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8AB5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33C2B6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B4D51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60051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AFF12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C2A4E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3AA3B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5AA65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AC958D"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F2076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12072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08EFBF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BDCFF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DF75E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BB8DA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359B2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CB5A1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642A4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7154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BB807B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C661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BC1FC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0286B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F7100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72F4F9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0DF6C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4143F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F60A5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F6D00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F98115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DDD3D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C86066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DCFED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2929C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0A35004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57773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16B0A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B13DF7"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A319C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A1FBFA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900,424,058.92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09436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82.67</w:t>
            </w:r>
          </w:p>
        </w:tc>
      </w:tr>
    </w:tbl>
    <w:p w14:paraId="7275188E" w14:textId="77777777"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14:paraId="151AF94E" w14:textId="77777777">
        <w:trPr>
          <w:jc w:val="center"/>
        </w:trPr>
        <w:tc>
          <w:tcPr>
            <w:tcW w:w="2397" w:type="dxa"/>
            <w:vAlign w:val="center"/>
          </w:tcPr>
          <w:p w14:paraId="113C019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14:paraId="4615B70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14:paraId="4A1B51B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6431CC" w14:paraId="0B58754A" w14:textId="77777777">
        <w:trPr>
          <w:jc w:val="center"/>
        </w:trPr>
        <w:tc>
          <w:tcPr>
            <w:tcW w:w="2397" w:type="dxa"/>
            <w:vAlign w:val="center"/>
          </w:tcPr>
          <w:p w14:paraId="46DAE9AC" w14:textId="77777777" w:rsidR="006431CC" w:rsidRDefault="00160599">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14:paraId="57433823" w14:textId="77777777" w:rsidR="006431CC" w:rsidRDefault="00160599">
            <w:pPr>
              <w:jc w:val="center"/>
            </w:pPr>
            <w:r>
              <w:rPr>
                <w:rFonts w:eastAsiaTheme="minorEastAsia"/>
                <w:color w:val="000000" w:themeColor="text1"/>
                <w:kern w:val="0"/>
              </w:rPr>
              <w:t>-</w:t>
            </w:r>
          </w:p>
        </w:tc>
        <w:tc>
          <w:tcPr>
            <w:tcW w:w="3118" w:type="dxa"/>
            <w:vAlign w:val="center"/>
          </w:tcPr>
          <w:p w14:paraId="48CD6996" w14:textId="77777777" w:rsidR="006431CC" w:rsidRDefault="00160599">
            <w:pPr>
              <w:jc w:val="center"/>
            </w:pPr>
            <w:r>
              <w:rPr>
                <w:rFonts w:eastAsiaTheme="minorEastAsia"/>
                <w:color w:val="000000" w:themeColor="text1"/>
                <w:kern w:val="0"/>
              </w:rPr>
              <w:t>-</w:t>
            </w:r>
          </w:p>
        </w:tc>
      </w:tr>
      <w:tr w:rsidR="006431CC" w14:paraId="63932251" w14:textId="77777777">
        <w:trPr>
          <w:jc w:val="center"/>
        </w:trPr>
        <w:tc>
          <w:tcPr>
            <w:tcW w:w="2397" w:type="dxa"/>
            <w:vAlign w:val="center"/>
          </w:tcPr>
          <w:p w14:paraId="5B984A88" w14:textId="77777777" w:rsidR="006431CC" w:rsidRDefault="00160599">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14:paraId="7C703B83" w14:textId="77777777" w:rsidR="006431CC" w:rsidRDefault="00160599">
            <w:pPr>
              <w:jc w:val="center"/>
            </w:pPr>
            <w:r>
              <w:rPr>
                <w:rFonts w:eastAsiaTheme="minorEastAsia"/>
                <w:color w:val="000000" w:themeColor="text1"/>
                <w:kern w:val="0"/>
              </w:rPr>
              <w:t>14,337.02</w:t>
            </w:r>
          </w:p>
        </w:tc>
        <w:tc>
          <w:tcPr>
            <w:tcW w:w="3118" w:type="dxa"/>
            <w:vAlign w:val="center"/>
          </w:tcPr>
          <w:p w14:paraId="78A8174F" w14:textId="77777777" w:rsidR="006431CC" w:rsidRDefault="00160599">
            <w:pPr>
              <w:jc w:val="center"/>
            </w:pPr>
            <w:r>
              <w:rPr>
                <w:rFonts w:eastAsiaTheme="minorEastAsia"/>
                <w:color w:val="000000" w:themeColor="text1"/>
                <w:kern w:val="0"/>
              </w:rPr>
              <w:t>0.00</w:t>
            </w:r>
          </w:p>
        </w:tc>
      </w:tr>
      <w:tr w:rsidR="006431CC" w14:paraId="1D9150BE" w14:textId="77777777">
        <w:trPr>
          <w:jc w:val="center"/>
        </w:trPr>
        <w:tc>
          <w:tcPr>
            <w:tcW w:w="2397" w:type="dxa"/>
            <w:vAlign w:val="center"/>
          </w:tcPr>
          <w:p w14:paraId="1E985791" w14:textId="77777777" w:rsidR="006431CC" w:rsidRDefault="00160599">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14:paraId="55641CDB" w14:textId="77777777" w:rsidR="006431CC" w:rsidRDefault="00160599">
            <w:pPr>
              <w:jc w:val="center"/>
            </w:pPr>
            <w:r>
              <w:rPr>
                <w:rFonts w:eastAsiaTheme="minorEastAsia"/>
                <w:color w:val="000000" w:themeColor="text1"/>
                <w:kern w:val="0"/>
              </w:rPr>
              <w:t>-</w:t>
            </w:r>
          </w:p>
        </w:tc>
        <w:tc>
          <w:tcPr>
            <w:tcW w:w="3118" w:type="dxa"/>
            <w:vAlign w:val="center"/>
          </w:tcPr>
          <w:p w14:paraId="7CB3ECD3" w14:textId="77777777" w:rsidR="006431CC" w:rsidRDefault="00160599">
            <w:pPr>
              <w:jc w:val="center"/>
            </w:pPr>
            <w:r>
              <w:rPr>
                <w:rFonts w:eastAsiaTheme="minorEastAsia"/>
                <w:color w:val="000000" w:themeColor="text1"/>
                <w:kern w:val="0"/>
              </w:rPr>
              <w:t>-</w:t>
            </w:r>
          </w:p>
        </w:tc>
      </w:tr>
      <w:tr w:rsidR="006431CC" w14:paraId="11A1C56C" w14:textId="77777777">
        <w:trPr>
          <w:jc w:val="center"/>
        </w:trPr>
        <w:tc>
          <w:tcPr>
            <w:tcW w:w="2397" w:type="dxa"/>
            <w:vAlign w:val="center"/>
          </w:tcPr>
          <w:p w14:paraId="6AD346B0" w14:textId="77777777" w:rsidR="006431CC" w:rsidRDefault="00160599">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14:paraId="464BBA95" w14:textId="77777777" w:rsidR="006431CC" w:rsidRDefault="00160599">
            <w:pPr>
              <w:jc w:val="center"/>
            </w:pPr>
            <w:r>
              <w:rPr>
                <w:rFonts w:eastAsiaTheme="minorEastAsia"/>
                <w:color w:val="000000" w:themeColor="text1"/>
                <w:kern w:val="0"/>
              </w:rPr>
              <w:t>-</w:t>
            </w:r>
          </w:p>
        </w:tc>
        <w:tc>
          <w:tcPr>
            <w:tcW w:w="3118" w:type="dxa"/>
            <w:vAlign w:val="center"/>
          </w:tcPr>
          <w:p w14:paraId="6241CEA7" w14:textId="77777777" w:rsidR="006431CC" w:rsidRDefault="00160599">
            <w:pPr>
              <w:jc w:val="center"/>
            </w:pPr>
            <w:r>
              <w:rPr>
                <w:rFonts w:eastAsiaTheme="minorEastAsia"/>
                <w:color w:val="000000" w:themeColor="text1"/>
                <w:kern w:val="0"/>
              </w:rPr>
              <w:t>-</w:t>
            </w:r>
          </w:p>
        </w:tc>
      </w:tr>
      <w:tr w:rsidR="006431CC" w14:paraId="7E100755" w14:textId="77777777">
        <w:trPr>
          <w:jc w:val="center"/>
        </w:trPr>
        <w:tc>
          <w:tcPr>
            <w:tcW w:w="2397" w:type="dxa"/>
            <w:vAlign w:val="center"/>
          </w:tcPr>
          <w:p w14:paraId="061F712B" w14:textId="77777777" w:rsidR="006431CC" w:rsidRDefault="00160599">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14:paraId="7F45232F" w14:textId="77777777" w:rsidR="006431CC" w:rsidRDefault="00160599">
            <w:pPr>
              <w:jc w:val="center"/>
            </w:pPr>
            <w:r>
              <w:rPr>
                <w:rFonts w:eastAsiaTheme="minorEastAsia"/>
                <w:color w:val="000000" w:themeColor="text1"/>
                <w:kern w:val="0"/>
              </w:rPr>
              <w:t>-</w:t>
            </w:r>
          </w:p>
        </w:tc>
        <w:tc>
          <w:tcPr>
            <w:tcW w:w="3118" w:type="dxa"/>
            <w:vAlign w:val="center"/>
          </w:tcPr>
          <w:p w14:paraId="1A63B47E" w14:textId="77777777" w:rsidR="006431CC" w:rsidRDefault="00160599">
            <w:pPr>
              <w:jc w:val="center"/>
            </w:pPr>
            <w:r>
              <w:rPr>
                <w:rFonts w:eastAsiaTheme="minorEastAsia"/>
                <w:color w:val="000000" w:themeColor="text1"/>
                <w:kern w:val="0"/>
              </w:rPr>
              <w:t>-</w:t>
            </w:r>
          </w:p>
        </w:tc>
      </w:tr>
      <w:tr w:rsidR="006431CC" w14:paraId="7B528919" w14:textId="77777777">
        <w:trPr>
          <w:jc w:val="center"/>
        </w:trPr>
        <w:tc>
          <w:tcPr>
            <w:tcW w:w="2397" w:type="dxa"/>
            <w:vAlign w:val="center"/>
          </w:tcPr>
          <w:p w14:paraId="47F6459C" w14:textId="77777777" w:rsidR="006431CC" w:rsidRDefault="00160599">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14:paraId="4DD943B8" w14:textId="77777777" w:rsidR="006431CC" w:rsidRDefault="00160599">
            <w:pPr>
              <w:jc w:val="center"/>
            </w:pPr>
            <w:r>
              <w:rPr>
                <w:rFonts w:eastAsiaTheme="minorEastAsia"/>
                <w:color w:val="000000" w:themeColor="text1"/>
                <w:kern w:val="0"/>
              </w:rPr>
              <w:t>-</w:t>
            </w:r>
          </w:p>
        </w:tc>
        <w:tc>
          <w:tcPr>
            <w:tcW w:w="3118" w:type="dxa"/>
            <w:vAlign w:val="center"/>
          </w:tcPr>
          <w:p w14:paraId="2307BFB7" w14:textId="77777777" w:rsidR="006431CC" w:rsidRDefault="00160599">
            <w:pPr>
              <w:jc w:val="center"/>
            </w:pPr>
            <w:r>
              <w:rPr>
                <w:rFonts w:eastAsiaTheme="minorEastAsia"/>
                <w:color w:val="000000" w:themeColor="text1"/>
                <w:kern w:val="0"/>
              </w:rPr>
              <w:t>-</w:t>
            </w:r>
          </w:p>
        </w:tc>
      </w:tr>
      <w:tr w:rsidR="006431CC" w14:paraId="7206C7F9" w14:textId="77777777">
        <w:trPr>
          <w:jc w:val="center"/>
        </w:trPr>
        <w:tc>
          <w:tcPr>
            <w:tcW w:w="2397" w:type="dxa"/>
            <w:vAlign w:val="center"/>
          </w:tcPr>
          <w:p w14:paraId="28627813" w14:textId="77777777" w:rsidR="006431CC" w:rsidRDefault="00160599">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14:paraId="64A52B45" w14:textId="77777777" w:rsidR="006431CC" w:rsidRDefault="00160599">
            <w:pPr>
              <w:jc w:val="center"/>
            </w:pPr>
            <w:r>
              <w:rPr>
                <w:rFonts w:eastAsiaTheme="minorEastAsia"/>
                <w:color w:val="000000" w:themeColor="text1"/>
                <w:kern w:val="0"/>
              </w:rPr>
              <w:t>-</w:t>
            </w:r>
          </w:p>
        </w:tc>
        <w:tc>
          <w:tcPr>
            <w:tcW w:w="3118" w:type="dxa"/>
            <w:vAlign w:val="center"/>
          </w:tcPr>
          <w:p w14:paraId="2F79E303" w14:textId="77777777" w:rsidR="006431CC" w:rsidRDefault="00160599">
            <w:pPr>
              <w:jc w:val="center"/>
            </w:pPr>
            <w:r>
              <w:rPr>
                <w:rFonts w:eastAsiaTheme="minorEastAsia"/>
                <w:color w:val="000000" w:themeColor="text1"/>
                <w:kern w:val="0"/>
              </w:rPr>
              <w:t>-</w:t>
            </w:r>
          </w:p>
        </w:tc>
      </w:tr>
      <w:tr w:rsidR="006431CC" w14:paraId="1B5C7415" w14:textId="77777777">
        <w:trPr>
          <w:jc w:val="center"/>
        </w:trPr>
        <w:tc>
          <w:tcPr>
            <w:tcW w:w="2397" w:type="dxa"/>
            <w:vAlign w:val="center"/>
          </w:tcPr>
          <w:p w14:paraId="09328C27" w14:textId="77777777" w:rsidR="006431CC" w:rsidRDefault="00160599">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14:paraId="73376ED6" w14:textId="77777777" w:rsidR="006431CC" w:rsidRDefault="00160599">
            <w:pPr>
              <w:jc w:val="center"/>
            </w:pPr>
            <w:r>
              <w:rPr>
                <w:rFonts w:eastAsiaTheme="minorEastAsia"/>
                <w:color w:val="000000" w:themeColor="text1"/>
                <w:kern w:val="0"/>
              </w:rPr>
              <w:t>-</w:t>
            </w:r>
          </w:p>
        </w:tc>
        <w:tc>
          <w:tcPr>
            <w:tcW w:w="3118" w:type="dxa"/>
            <w:vAlign w:val="center"/>
          </w:tcPr>
          <w:p w14:paraId="30A3EA33" w14:textId="77777777" w:rsidR="006431CC" w:rsidRDefault="00160599">
            <w:pPr>
              <w:jc w:val="center"/>
            </w:pPr>
            <w:r>
              <w:rPr>
                <w:rFonts w:eastAsiaTheme="minorEastAsia"/>
                <w:color w:val="000000" w:themeColor="text1"/>
                <w:kern w:val="0"/>
              </w:rPr>
              <w:t>-</w:t>
            </w:r>
          </w:p>
        </w:tc>
      </w:tr>
      <w:tr w:rsidR="006431CC" w14:paraId="7A34F4EC" w14:textId="77777777">
        <w:trPr>
          <w:jc w:val="center"/>
        </w:trPr>
        <w:tc>
          <w:tcPr>
            <w:tcW w:w="2397" w:type="dxa"/>
            <w:vAlign w:val="center"/>
          </w:tcPr>
          <w:p w14:paraId="44DDFD08" w14:textId="77777777" w:rsidR="006431CC" w:rsidRDefault="00160599">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14:paraId="1340E69D" w14:textId="77777777" w:rsidR="006431CC" w:rsidRDefault="00160599">
            <w:pPr>
              <w:jc w:val="center"/>
            </w:pPr>
            <w:r>
              <w:rPr>
                <w:rFonts w:eastAsiaTheme="minorEastAsia"/>
                <w:color w:val="000000" w:themeColor="text1"/>
                <w:kern w:val="0"/>
              </w:rPr>
              <w:t>74,858,940.59</w:t>
            </w:r>
          </w:p>
        </w:tc>
        <w:tc>
          <w:tcPr>
            <w:tcW w:w="3118" w:type="dxa"/>
            <w:vAlign w:val="center"/>
          </w:tcPr>
          <w:p w14:paraId="3BDBCC2F" w14:textId="77777777" w:rsidR="006431CC" w:rsidRDefault="00160599">
            <w:pPr>
              <w:jc w:val="center"/>
            </w:pPr>
            <w:r>
              <w:rPr>
                <w:rFonts w:eastAsiaTheme="minorEastAsia"/>
                <w:color w:val="000000" w:themeColor="text1"/>
                <w:kern w:val="0"/>
              </w:rPr>
              <w:t>6.87</w:t>
            </w:r>
          </w:p>
        </w:tc>
      </w:tr>
      <w:tr w:rsidR="006431CC" w14:paraId="733E6C7A" w14:textId="77777777">
        <w:trPr>
          <w:jc w:val="center"/>
        </w:trPr>
        <w:tc>
          <w:tcPr>
            <w:tcW w:w="2397" w:type="dxa"/>
            <w:vAlign w:val="center"/>
          </w:tcPr>
          <w:p w14:paraId="5CA4F75F" w14:textId="77777777" w:rsidR="006431CC" w:rsidRDefault="00160599">
            <w:pPr>
              <w:jc w:val="center"/>
            </w:pPr>
            <w:r>
              <w:rPr>
                <w:rFonts w:eastAsiaTheme="minorEastAsia"/>
                <w:color w:val="000000" w:themeColor="text1"/>
                <w:kern w:val="0"/>
              </w:rPr>
              <w:lastRenderedPageBreak/>
              <w:t>J</w:t>
            </w:r>
            <w:r>
              <w:rPr>
                <w:rFonts w:eastAsiaTheme="minorEastAsia"/>
                <w:color w:val="000000" w:themeColor="text1"/>
                <w:kern w:val="0"/>
              </w:rPr>
              <w:t>公用事业</w:t>
            </w:r>
          </w:p>
        </w:tc>
        <w:tc>
          <w:tcPr>
            <w:tcW w:w="3119" w:type="dxa"/>
            <w:vAlign w:val="center"/>
          </w:tcPr>
          <w:p w14:paraId="3FB2D83F" w14:textId="77777777" w:rsidR="006431CC" w:rsidRDefault="00160599">
            <w:pPr>
              <w:jc w:val="center"/>
            </w:pPr>
            <w:r>
              <w:rPr>
                <w:rFonts w:eastAsiaTheme="minorEastAsia"/>
                <w:color w:val="000000" w:themeColor="text1"/>
                <w:kern w:val="0"/>
              </w:rPr>
              <w:t>1,944,295.31</w:t>
            </w:r>
          </w:p>
        </w:tc>
        <w:tc>
          <w:tcPr>
            <w:tcW w:w="3118" w:type="dxa"/>
            <w:vAlign w:val="center"/>
          </w:tcPr>
          <w:p w14:paraId="4B1EAF78" w14:textId="77777777" w:rsidR="006431CC" w:rsidRDefault="00160599">
            <w:pPr>
              <w:jc w:val="center"/>
            </w:pPr>
            <w:r>
              <w:rPr>
                <w:rFonts w:eastAsiaTheme="minorEastAsia"/>
                <w:color w:val="000000" w:themeColor="text1"/>
                <w:kern w:val="0"/>
              </w:rPr>
              <w:t>0.18</w:t>
            </w:r>
          </w:p>
        </w:tc>
      </w:tr>
      <w:tr w:rsidR="006431CC" w14:paraId="6599A83E" w14:textId="77777777">
        <w:trPr>
          <w:jc w:val="center"/>
        </w:trPr>
        <w:tc>
          <w:tcPr>
            <w:tcW w:w="2397" w:type="dxa"/>
            <w:vAlign w:val="center"/>
          </w:tcPr>
          <w:p w14:paraId="3CD47503" w14:textId="77777777" w:rsidR="006431CC" w:rsidRDefault="00160599">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14:paraId="3D99D51F" w14:textId="77777777" w:rsidR="006431CC" w:rsidRDefault="00160599">
            <w:pPr>
              <w:jc w:val="center"/>
            </w:pPr>
            <w:r>
              <w:rPr>
                <w:rFonts w:eastAsiaTheme="minorEastAsia"/>
                <w:color w:val="000000" w:themeColor="text1"/>
                <w:kern w:val="0"/>
              </w:rPr>
              <w:t>-</w:t>
            </w:r>
          </w:p>
        </w:tc>
        <w:tc>
          <w:tcPr>
            <w:tcW w:w="3118" w:type="dxa"/>
            <w:vAlign w:val="center"/>
          </w:tcPr>
          <w:p w14:paraId="5191E8B7" w14:textId="77777777" w:rsidR="006431CC" w:rsidRDefault="00160599">
            <w:pPr>
              <w:jc w:val="center"/>
            </w:pPr>
            <w:r>
              <w:rPr>
                <w:rFonts w:eastAsiaTheme="minorEastAsia"/>
                <w:color w:val="000000" w:themeColor="text1"/>
                <w:kern w:val="0"/>
              </w:rPr>
              <w:t>-</w:t>
            </w:r>
          </w:p>
        </w:tc>
      </w:tr>
      <w:tr w:rsidR="00D06738" w:rsidRPr="00FF6B9A" w14:paraId="73979350" w14:textId="77777777">
        <w:trPr>
          <w:jc w:val="center"/>
        </w:trPr>
        <w:tc>
          <w:tcPr>
            <w:tcW w:w="2397" w:type="dxa"/>
            <w:vAlign w:val="center"/>
          </w:tcPr>
          <w:p w14:paraId="52D844B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14:paraId="4DD0F36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76,817,572.92</w:t>
            </w:r>
          </w:p>
        </w:tc>
        <w:tc>
          <w:tcPr>
            <w:tcW w:w="3118" w:type="dxa"/>
            <w:vAlign w:val="center"/>
          </w:tcPr>
          <w:p w14:paraId="6417795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7.05</w:t>
            </w:r>
          </w:p>
        </w:tc>
      </w:tr>
    </w:tbl>
    <w:p w14:paraId="18FB5C8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E1A43B1" w14:textId="77777777"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1BCE43D4" w14:textId="77777777" w:rsidTr="00D913A1">
        <w:tc>
          <w:tcPr>
            <w:tcW w:w="817" w:type="dxa"/>
            <w:vAlign w:val="center"/>
          </w:tcPr>
          <w:p w14:paraId="50A3DF87"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39C30C32"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0AB79EF4"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4159A060"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266A6362"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5A737EA4"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6431CC" w14:paraId="52A15858" w14:textId="77777777">
        <w:tc>
          <w:tcPr>
            <w:tcW w:w="817" w:type="dxa"/>
            <w:vAlign w:val="center"/>
          </w:tcPr>
          <w:p w14:paraId="530CE538" w14:textId="77777777" w:rsidR="006431CC" w:rsidRDefault="00160599">
            <w:pPr>
              <w:jc w:val="center"/>
            </w:pPr>
            <w:r>
              <w:rPr>
                <w:rFonts w:eastAsiaTheme="minorEastAsia"/>
                <w:kern w:val="0"/>
                <w:sz w:val="24"/>
                <w:szCs w:val="24"/>
              </w:rPr>
              <w:t>1</w:t>
            </w:r>
          </w:p>
        </w:tc>
        <w:tc>
          <w:tcPr>
            <w:tcW w:w="1276" w:type="dxa"/>
            <w:vAlign w:val="center"/>
          </w:tcPr>
          <w:p w14:paraId="30C280F1" w14:textId="77777777" w:rsidR="006431CC" w:rsidRDefault="00160599">
            <w:pPr>
              <w:jc w:val="center"/>
            </w:pPr>
            <w:r>
              <w:rPr>
                <w:rFonts w:eastAsiaTheme="minorEastAsia"/>
                <w:kern w:val="0"/>
                <w:sz w:val="24"/>
                <w:szCs w:val="24"/>
              </w:rPr>
              <w:t>300750</w:t>
            </w:r>
          </w:p>
        </w:tc>
        <w:tc>
          <w:tcPr>
            <w:tcW w:w="1701" w:type="dxa"/>
            <w:vAlign w:val="center"/>
          </w:tcPr>
          <w:p w14:paraId="30D97119" w14:textId="77777777" w:rsidR="006431CC" w:rsidRDefault="00160599">
            <w:pPr>
              <w:jc w:val="center"/>
            </w:pPr>
            <w:r>
              <w:rPr>
                <w:rFonts w:eastAsiaTheme="minorEastAsia"/>
                <w:kern w:val="0"/>
                <w:sz w:val="24"/>
                <w:szCs w:val="24"/>
              </w:rPr>
              <w:t>宁德时代</w:t>
            </w:r>
          </w:p>
        </w:tc>
        <w:tc>
          <w:tcPr>
            <w:tcW w:w="1276" w:type="dxa"/>
            <w:vAlign w:val="center"/>
          </w:tcPr>
          <w:p w14:paraId="20D493DE" w14:textId="77777777" w:rsidR="006431CC" w:rsidRDefault="00160599">
            <w:pPr>
              <w:jc w:val="right"/>
            </w:pPr>
            <w:r>
              <w:rPr>
                <w:rFonts w:eastAsiaTheme="minorEastAsia"/>
                <w:kern w:val="0"/>
                <w:sz w:val="24"/>
                <w:szCs w:val="24"/>
              </w:rPr>
              <w:t>421,433.00</w:t>
            </w:r>
          </w:p>
        </w:tc>
        <w:tc>
          <w:tcPr>
            <w:tcW w:w="1842" w:type="dxa"/>
            <w:vAlign w:val="center"/>
          </w:tcPr>
          <w:p w14:paraId="16395F94" w14:textId="77777777" w:rsidR="006431CC" w:rsidRDefault="00160599">
            <w:pPr>
              <w:jc w:val="right"/>
            </w:pPr>
            <w:r>
              <w:rPr>
                <w:rFonts w:eastAsiaTheme="minorEastAsia"/>
                <w:kern w:val="0"/>
                <w:sz w:val="24"/>
                <w:szCs w:val="24"/>
              </w:rPr>
              <w:t>106,154,758.37</w:t>
            </w:r>
          </w:p>
        </w:tc>
        <w:tc>
          <w:tcPr>
            <w:tcW w:w="1616" w:type="dxa"/>
            <w:vAlign w:val="center"/>
          </w:tcPr>
          <w:p w14:paraId="32145F86" w14:textId="77777777" w:rsidR="006431CC" w:rsidRDefault="00160599">
            <w:pPr>
              <w:jc w:val="right"/>
            </w:pPr>
            <w:r>
              <w:rPr>
                <w:rFonts w:eastAsiaTheme="minorEastAsia"/>
                <w:kern w:val="0"/>
                <w:sz w:val="24"/>
                <w:szCs w:val="24"/>
              </w:rPr>
              <w:t>9.75</w:t>
            </w:r>
          </w:p>
        </w:tc>
      </w:tr>
      <w:tr w:rsidR="006431CC" w14:paraId="7E239226" w14:textId="77777777">
        <w:tc>
          <w:tcPr>
            <w:tcW w:w="817" w:type="dxa"/>
            <w:vAlign w:val="center"/>
          </w:tcPr>
          <w:p w14:paraId="12C6F872" w14:textId="77777777" w:rsidR="006431CC" w:rsidRDefault="00160599">
            <w:pPr>
              <w:jc w:val="center"/>
            </w:pPr>
            <w:r>
              <w:rPr>
                <w:rFonts w:eastAsiaTheme="minorEastAsia"/>
                <w:kern w:val="0"/>
                <w:sz w:val="24"/>
                <w:szCs w:val="24"/>
              </w:rPr>
              <w:t>2</w:t>
            </w:r>
          </w:p>
        </w:tc>
        <w:tc>
          <w:tcPr>
            <w:tcW w:w="1276" w:type="dxa"/>
            <w:vAlign w:val="center"/>
          </w:tcPr>
          <w:p w14:paraId="7635E409" w14:textId="77777777" w:rsidR="006431CC" w:rsidRDefault="00160599">
            <w:pPr>
              <w:jc w:val="center"/>
            </w:pPr>
            <w:r>
              <w:rPr>
                <w:rFonts w:eastAsiaTheme="minorEastAsia"/>
                <w:kern w:val="0"/>
                <w:sz w:val="24"/>
                <w:szCs w:val="24"/>
              </w:rPr>
              <w:t>300308</w:t>
            </w:r>
          </w:p>
        </w:tc>
        <w:tc>
          <w:tcPr>
            <w:tcW w:w="1701" w:type="dxa"/>
            <w:vAlign w:val="center"/>
          </w:tcPr>
          <w:p w14:paraId="0C7A1712" w14:textId="77777777" w:rsidR="006431CC" w:rsidRDefault="00160599">
            <w:pPr>
              <w:jc w:val="center"/>
            </w:pPr>
            <w:r>
              <w:rPr>
                <w:rFonts w:eastAsiaTheme="minorEastAsia"/>
                <w:kern w:val="0"/>
                <w:sz w:val="24"/>
                <w:szCs w:val="24"/>
              </w:rPr>
              <w:t>中际旭创</w:t>
            </w:r>
          </w:p>
        </w:tc>
        <w:tc>
          <w:tcPr>
            <w:tcW w:w="1276" w:type="dxa"/>
            <w:vAlign w:val="center"/>
          </w:tcPr>
          <w:p w14:paraId="42D3D34C" w14:textId="77777777" w:rsidR="006431CC" w:rsidRDefault="00160599">
            <w:pPr>
              <w:jc w:val="right"/>
            </w:pPr>
            <w:r>
              <w:rPr>
                <w:rFonts w:eastAsiaTheme="minorEastAsia"/>
                <w:kern w:val="0"/>
                <w:sz w:val="24"/>
                <w:szCs w:val="24"/>
              </w:rPr>
              <w:t>460,166.00</w:t>
            </w:r>
          </w:p>
        </w:tc>
        <w:tc>
          <w:tcPr>
            <w:tcW w:w="1842" w:type="dxa"/>
            <w:vAlign w:val="center"/>
          </w:tcPr>
          <w:p w14:paraId="535DE892" w14:textId="77777777" w:rsidR="006431CC" w:rsidRDefault="00160599">
            <w:pPr>
              <w:jc w:val="right"/>
            </w:pPr>
            <w:r>
              <w:rPr>
                <w:rFonts w:eastAsiaTheme="minorEastAsia"/>
                <w:kern w:val="0"/>
                <w:sz w:val="24"/>
                <w:szCs w:val="24"/>
              </w:rPr>
              <w:t>71,261,306.76</w:t>
            </w:r>
          </w:p>
        </w:tc>
        <w:tc>
          <w:tcPr>
            <w:tcW w:w="1616" w:type="dxa"/>
            <w:vAlign w:val="center"/>
          </w:tcPr>
          <w:p w14:paraId="54AFFA56" w14:textId="77777777" w:rsidR="006431CC" w:rsidRDefault="00160599">
            <w:pPr>
              <w:jc w:val="right"/>
            </w:pPr>
            <w:r>
              <w:rPr>
                <w:rFonts w:eastAsiaTheme="minorEastAsia"/>
                <w:kern w:val="0"/>
                <w:sz w:val="24"/>
                <w:szCs w:val="24"/>
              </w:rPr>
              <w:t>6.54</w:t>
            </w:r>
          </w:p>
        </w:tc>
      </w:tr>
      <w:tr w:rsidR="006431CC" w14:paraId="6803FA5C" w14:textId="77777777">
        <w:tc>
          <w:tcPr>
            <w:tcW w:w="817" w:type="dxa"/>
            <w:vAlign w:val="center"/>
          </w:tcPr>
          <w:p w14:paraId="35AAC500" w14:textId="77777777" w:rsidR="006431CC" w:rsidRDefault="00160599">
            <w:pPr>
              <w:jc w:val="center"/>
            </w:pPr>
            <w:r>
              <w:rPr>
                <w:rFonts w:eastAsiaTheme="minorEastAsia"/>
                <w:kern w:val="0"/>
                <w:sz w:val="24"/>
                <w:szCs w:val="24"/>
              </w:rPr>
              <w:t>3</w:t>
            </w:r>
          </w:p>
        </w:tc>
        <w:tc>
          <w:tcPr>
            <w:tcW w:w="1276" w:type="dxa"/>
            <w:vAlign w:val="center"/>
          </w:tcPr>
          <w:p w14:paraId="73545AF4" w14:textId="77777777" w:rsidR="006431CC" w:rsidRDefault="00160599">
            <w:pPr>
              <w:jc w:val="center"/>
            </w:pPr>
            <w:r>
              <w:rPr>
                <w:rFonts w:eastAsiaTheme="minorEastAsia"/>
                <w:kern w:val="0"/>
                <w:sz w:val="24"/>
                <w:szCs w:val="24"/>
              </w:rPr>
              <w:t>002475</w:t>
            </w:r>
          </w:p>
        </w:tc>
        <w:tc>
          <w:tcPr>
            <w:tcW w:w="1701" w:type="dxa"/>
            <w:vAlign w:val="center"/>
          </w:tcPr>
          <w:p w14:paraId="06322733" w14:textId="77777777" w:rsidR="006431CC" w:rsidRDefault="00160599">
            <w:pPr>
              <w:jc w:val="center"/>
            </w:pPr>
            <w:r>
              <w:rPr>
                <w:rFonts w:eastAsiaTheme="minorEastAsia"/>
                <w:kern w:val="0"/>
                <w:sz w:val="24"/>
                <w:szCs w:val="24"/>
              </w:rPr>
              <w:t>立讯精密</w:t>
            </w:r>
          </w:p>
        </w:tc>
        <w:tc>
          <w:tcPr>
            <w:tcW w:w="1276" w:type="dxa"/>
            <w:vAlign w:val="center"/>
          </w:tcPr>
          <w:p w14:paraId="4D167A03" w14:textId="77777777" w:rsidR="006431CC" w:rsidRDefault="00160599">
            <w:pPr>
              <w:jc w:val="right"/>
            </w:pPr>
            <w:r>
              <w:rPr>
                <w:rFonts w:eastAsiaTheme="minorEastAsia"/>
                <w:kern w:val="0"/>
                <w:sz w:val="24"/>
                <w:szCs w:val="24"/>
              </w:rPr>
              <w:t>1,601,562.00</w:t>
            </w:r>
          </w:p>
        </w:tc>
        <w:tc>
          <w:tcPr>
            <w:tcW w:w="1842" w:type="dxa"/>
            <w:vAlign w:val="center"/>
          </w:tcPr>
          <w:p w14:paraId="72539E8D" w14:textId="77777777" w:rsidR="006431CC" w:rsidRDefault="00160599">
            <w:pPr>
              <w:jc w:val="right"/>
            </w:pPr>
            <w:r>
              <w:rPr>
                <w:rFonts w:eastAsiaTheme="minorEastAsia"/>
                <w:kern w:val="0"/>
                <w:sz w:val="24"/>
                <w:szCs w:val="24"/>
              </w:rPr>
              <w:t>69,603,884.52</w:t>
            </w:r>
          </w:p>
        </w:tc>
        <w:tc>
          <w:tcPr>
            <w:tcW w:w="1616" w:type="dxa"/>
            <w:vAlign w:val="center"/>
          </w:tcPr>
          <w:p w14:paraId="0CF682C8" w14:textId="77777777" w:rsidR="006431CC" w:rsidRDefault="00160599">
            <w:pPr>
              <w:jc w:val="right"/>
            </w:pPr>
            <w:r>
              <w:rPr>
                <w:rFonts w:eastAsiaTheme="minorEastAsia"/>
                <w:kern w:val="0"/>
                <w:sz w:val="24"/>
                <w:szCs w:val="24"/>
              </w:rPr>
              <w:t>6.39</w:t>
            </w:r>
          </w:p>
        </w:tc>
      </w:tr>
      <w:tr w:rsidR="006431CC" w14:paraId="4A6FC4CD" w14:textId="77777777">
        <w:tc>
          <w:tcPr>
            <w:tcW w:w="817" w:type="dxa"/>
            <w:vAlign w:val="center"/>
          </w:tcPr>
          <w:p w14:paraId="7BA8951A" w14:textId="77777777" w:rsidR="006431CC" w:rsidRDefault="00160599">
            <w:pPr>
              <w:jc w:val="center"/>
            </w:pPr>
            <w:r>
              <w:rPr>
                <w:rFonts w:eastAsiaTheme="minorEastAsia"/>
                <w:kern w:val="0"/>
                <w:sz w:val="24"/>
                <w:szCs w:val="24"/>
              </w:rPr>
              <w:t>4</w:t>
            </w:r>
          </w:p>
        </w:tc>
        <w:tc>
          <w:tcPr>
            <w:tcW w:w="1276" w:type="dxa"/>
            <w:vAlign w:val="center"/>
          </w:tcPr>
          <w:p w14:paraId="0D6D060D" w14:textId="77777777" w:rsidR="006431CC" w:rsidRDefault="00160599">
            <w:pPr>
              <w:jc w:val="center"/>
            </w:pPr>
            <w:r>
              <w:rPr>
                <w:rFonts w:eastAsiaTheme="minorEastAsia"/>
                <w:kern w:val="0"/>
                <w:sz w:val="24"/>
                <w:szCs w:val="24"/>
              </w:rPr>
              <w:t>002594</w:t>
            </w:r>
          </w:p>
        </w:tc>
        <w:tc>
          <w:tcPr>
            <w:tcW w:w="1701" w:type="dxa"/>
            <w:vAlign w:val="center"/>
          </w:tcPr>
          <w:p w14:paraId="2A8DE116" w14:textId="77777777" w:rsidR="006431CC" w:rsidRDefault="00160599">
            <w:pPr>
              <w:jc w:val="center"/>
            </w:pPr>
            <w:r>
              <w:rPr>
                <w:rFonts w:eastAsiaTheme="minorEastAsia"/>
                <w:kern w:val="0"/>
                <w:sz w:val="24"/>
                <w:szCs w:val="24"/>
              </w:rPr>
              <w:t>比亚迪</w:t>
            </w:r>
          </w:p>
        </w:tc>
        <w:tc>
          <w:tcPr>
            <w:tcW w:w="1276" w:type="dxa"/>
            <w:vAlign w:val="center"/>
          </w:tcPr>
          <w:p w14:paraId="2000E3F5" w14:textId="77777777" w:rsidR="006431CC" w:rsidRDefault="00160599">
            <w:pPr>
              <w:jc w:val="right"/>
            </w:pPr>
            <w:r>
              <w:rPr>
                <w:rFonts w:eastAsiaTheme="minorEastAsia"/>
                <w:kern w:val="0"/>
                <w:sz w:val="24"/>
                <w:szCs w:val="24"/>
              </w:rPr>
              <w:t>213,500.00</w:t>
            </w:r>
          </w:p>
        </w:tc>
        <w:tc>
          <w:tcPr>
            <w:tcW w:w="1842" w:type="dxa"/>
            <w:vAlign w:val="center"/>
          </w:tcPr>
          <w:p w14:paraId="5D35F51C" w14:textId="77777777" w:rsidR="006431CC" w:rsidRDefault="00160599">
            <w:pPr>
              <w:jc w:val="right"/>
            </w:pPr>
            <w:r>
              <w:rPr>
                <w:rFonts w:eastAsiaTheme="minorEastAsia"/>
                <w:kern w:val="0"/>
                <w:sz w:val="24"/>
                <w:szCs w:val="24"/>
              </w:rPr>
              <w:t>65,610,685.00</w:t>
            </w:r>
          </w:p>
        </w:tc>
        <w:tc>
          <w:tcPr>
            <w:tcW w:w="1616" w:type="dxa"/>
            <w:vAlign w:val="center"/>
          </w:tcPr>
          <w:p w14:paraId="7A091B78" w14:textId="77777777" w:rsidR="006431CC" w:rsidRDefault="00160599">
            <w:pPr>
              <w:jc w:val="right"/>
            </w:pPr>
            <w:r>
              <w:rPr>
                <w:rFonts w:eastAsiaTheme="minorEastAsia"/>
                <w:kern w:val="0"/>
                <w:sz w:val="24"/>
                <w:szCs w:val="24"/>
              </w:rPr>
              <w:t>6.02</w:t>
            </w:r>
          </w:p>
        </w:tc>
      </w:tr>
      <w:tr w:rsidR="006431CC" w14:paraId="0CDF7A73" w14:textId="77777777">
        <w:tc>
          <w:tcPr>
            <w:tcW w:w="817" w:type="dxa"/>
            <w:vAlign w:val="center"/>
          </w:tcPr>
          <w:p w14:paraId="3CDDD034" w14:textId="77777777" w:rsidR="006431CC" w:rsidRDefault="00160599">
            <w:pPr>
              <w:jc w:val="center"/>
            </w:pPr>
            <w:r>
              <w:rPr>
                <w:rFonts w:eastAsiaTheme="minorEastAsia"/>
                <w:kern w:val="0"/>
                <w:sz w:val="24"/>
                <w:szCs w:val="24"/>
              </w:rPr>
              <w:t>5</w:t>
            </w:r>
          </w:p>
        </w:tc>
        <w:tc>
          <w:tcPr>
            <w:tcW w:w="1276" w:type="dxa"/>
            <w:vAlign w:val="center"/>
          </w:tcPr>
          <w:p w14:paraId="24892BAA" w14:textId="77777777" w:rsidR="006431CC" w:rsidRDefault="00160599">
            <w:pPr>
              <w:jc w:val="center"/>
            </w:pPr>
            <w:r>
              <w:rPr>
                <w:rFonts w:eastAsiaTheme="minorEastAsia"/>
                <w:kern w:val="0"/>
                <w:sz w:val="24"/>
                <w:szCs w:val="24"/>
              </w:rPr>
              <w:t>000333</w:t>
            </w:r>
          </w:p>
        </w:tc>
        <w:tc>
          <w:tcPr>
            <w:tcW w:w="1701" w:type="dxa"/>
            <w:vAlign w:val="center"/>
          </w:tcPr>
          <w:p w14:paraId="3D5CEB41" w14:textId="77777777" w:rsidR="006431CC" w:rsidRDefault="00160599">
            <w:pPr>
              <w:jc w:val="center"/>
            </w:pPr>
            <w:r>
              <w:rPr>
                <w:rFonts w:eastAsiaTheme="minorEastAsia"/>
                <w:kern w:val="0"/>
                <w:sz w:val="24"/>
                <w:szCs w:val="24"/>
              </w:rPr>
              <w:t>美的集团</w:t>
            </w:r>
          </w:p>
        </w:tc>
        <w:tc>
          <w:tcPr>
            <w:tcW w:w="1276" w:type="dxa"/>
            <w:vAlign w:val="center"/>
          </w:tcPr>
          <w:p w14:paraId="30B9F5EE" w14:textId="77777777" w:rsidR="006431CC" w:rsidRDefault="00160599">
            <w:pPr>
              <w:jc w:val="right"/>
            </w:pPr>
            <w:r>
              <w:rPr>
                <w:rFonts w:eastAsiaTheme="minorEastAsia"/>
                <w:kern w:val="0"/>
                <w:sz w:val="24"/>
                <w:szCs w:val="24"/>
              </w:rPr>
              <w:t>859,524.00</w:t>
            </w:r>
          </w:p>
        </w:tc>
        <w:tc>
          <w:tcPr>
            <w:tcW w:w="1842" w:type="dxa"/>
            <w:vAlign w:val="center"/>
          </w:tcPr>
          <w:p w14:paraId="691C72B7" w14:textId="77777777" w:rsidR="006431CC" w:rsidRDefault="00160599">
            <w:pPr>
              <w:jc w:val="right"/>
            </w:pPr>
            <w:r>
              <w:rPr>
                <w:rFonts w:eastAsiaTheme="minorEastAsia"/>
                <w:kern w:val="0"/>
                <w:sz w:val="24"/>
                <w:szCs w:val="24"/>
              </w:rPr>
              <w:t>65,375,395.44</w:t>
            </w:r>
          </w:p>
        </w:tc>
        <w:tc>
          <w:tcPr>
            <w:tcW w:w="1616" w:type="dxa"/>
            <w:vAlign w:val="center"/>
          </w:tcPr>
          <w:p w14:paraId="0369CCB9" w14:textId="77777777" w:rsidR="006431CC" w:rsidRDefault="00160599">
            <w:pPr>
              <w:jc w:val="right"/>
            </w:pPr>
            <w:r>
              <w:rPr>
                <w:rFonts w:eastAsiaTheme="minorEastAsia"/>
                <w:kern w:val="0"/>
                <w:sz w:val="24"/>
                <w:szCs w:val="24"/>
              </w:rPr>
              <w:t>6.00</w:t>
            </w:r>
          </w:p>
        </w:tc>
      </w:tr>
      <w:tr w:rsidR="006431CC" w14:paraId="12F5C4B0" w14:textId="77777777">
        <w:tc>
          <w:tcPr>
            <w:tcW w:w="817" w:type="dxa"/>
            <w:vAlign w:val="center"/>
          </w:tcPr>
          <w:p w14:paraId="74694BD1" w14:textId="77777777" w:rsidR="006431CC" w:rsidRDefault="00160599">
            <w:pPr>
              <w:jc w:val="center"/>
            </w:pPr>
            <w:r>
              <w:rPr>
                <w:rFonts w:eastAsiaTheme="minorEastAsia"/>
                <w:kern w:val="0"/>
                <w:sz w:val="24"/>
                <w:szCs w:val="24"/>
              </w:rPr>
              <w:t>6</w:t>
            </w:r>
          </w:p>
        </w:tc>
        <w:tc>
          <w:tcPr>
            <w:tcW w:w="1276" w:type="dxa"/>
            <w:vAlign w:val="center"/>
          </w:tcPr>
          <w:p w14:paraId="068E7A0E" w14:textId="77777777" w:rsidR="006431CC" w:rsidRDefault="00160599">
            <w:pPr>
              <w:jc w:val="center"/>
            </w:pPr>
            <w:r>
              <w:rPr>
                <w:rFonts w:eastAsiaTheme="minorEastAsia"/>
                <w:kern w:val="0"/>
                <w:sz w:val="24"/>
                <w:szCs w:val="24"/>
              </w:rPr>
              <w:t>00700</w:t>
            </w:r>
          </w:p>
        </w:tc>
        <w:tc>
          <w:tcPr>
            <w:tcW w:w="1701" w:type="dxa"/>
            <w:vAlign w:val="center"/>
          </w:tcPr>
          <w:p w14:paraId="22ED1892" w14:textId="77777777" w:rsidR="006431CC" w:rsidRDefault="00160599">
            <w:pPr>
              <w:jc w:val="center"/>
            </w:pPr>
            <w:r>
              <w:rPr>
                <w:rFonts w:eastAsiaTheme="minorEastAsia"/>
                <w:kern w:val="0"/>
                <w:sz w:val="24"/>
                <w:szCs w:val="24"/>
              </w:rPr>
              <w:t>腾讯控股</w:t>
            </w:r>
          </w:p>
        </w:tc>
        <w:tc>
          <w:tcPr>
            <w:tcW w:w="1276" w:type="dxa"/>
            <w:vAlign w:val="center"/>
          </w:tcPr>
          <w:p w14:paraId="7CD45654" w14:textId="77777777" w:rsidR="006431CC" w:rsidRDefault="00160599">
            <w:pPr>
              <w:jc w:val="right"/>
            </w:pPr>
            <w:r>
              <w:rPr>
                <w:rFonts w:eastAsiaTheme="minorEastAsia"/>
                <w:kern w:val="0"/>
                <w:sz w:val="24"/>
                <w:szCs w:val="24"/>
              </w:rPr>
              <w:t>154,000.00</w:t>
            </w:r>
          </w:p>
        </w:tc>
        <w:tc>
          <w:tcPr>
            <w:tcW w:w="1842" w:type="dxa"/>
            <w:vAlign w:val="center"/>
          </w:tcPr>
          <w:p w14:paraId="7900C4AE" w14:textId="77777777" w:rsidR="006431CC" w:rsidRDefault="00160599">
            <w:pPr>
              <w:jc w:val="right"/>
            </w:pPr>
            <w:r>
              <w:rPr>
                <w:rFonts w:eastAsiaTheme="minorEastAsia"/>
                <w:kern w:val="0"/>
                <w:sz w:val="24"/>
                <w:szCs w:val="24"/>
              </w:rPr>
              <w:t>61,744,118.44</w:t>
            </w:r>
          </w:p>
        </w:tc>
        <w:tc>
          <w:tcPr>
            <w:tcW w:w="1616" w:type="dxa"/>
            <w:vAlign w:val="center"/>
          </w:tcPr>
          <w:p w14:paraId="2D864445" w14:textId="77777777" w:rsidR="006431CC" w:rsidRDefault="00160599">
            <w:pPr>
              <w:jc w:val="right"/>
            </w:pPr>
            <w:r>
              <w:rPr>
                <w:rFonts w:eastAsiaTheme="minorEastAsia"/>
                <w:kern w:val="0"/>
                <w:sz w:val="24"/>
                <w:szCs w:val="24"/>
              </w:rPr>
              <w:t>5.67</w:t>
            </w:r>
          </w:p>
        </w:tc>
      </w:tr>
      <w:tr w:rsidR="006431CC" w14:paraId="580BEEDF" w14:textId="77777777">
        <w:tc>
          <w:tcPr>
            <w:tcW w:w="817" w:type="dxa"/>
            <w:vAlign w:val="center"/>
          </w:tcPr>
          <w:p w14:paraId="7987618F" w14:textId="77777777" w:rsidR="006431CC" w:rsidRDefault="00160599">
            <w:pPr>
              <w:jc w:val="center"/>
            </w:pPr>
            <w:r>
              <w:rPr>
                <w:rFonts w:eastAsiaTheme="minorEastAsia"/>
                <w:kern w:val="0"/>
                <w:sz w:val="24"/>
                <w:szCs w:val="24"/>
              </w:rPr>
              <w:t>7</w:t>
            </w:r>
          </w:p>
        </w:tc>
        <w:tc>
          <w:tcPr>
            <w:tcW w:w="1276" w:type="dxa"/>
            <w:vAlign w:val="center"/>
          </w:tcPr>
          <w:p w14:paraId="59B6B20B" w14:textId="77777777" w:rsidR="006431CC" w:rsidRDefault="00160599">
            <w:pPr>
              <w:jc w:val="center"/>
            </w:pPr>
            <w:r>
              <w:rPr>
                <w:rFonts w:eastAsiaTheme="minorEastAsia"/>
                <w:kern w:val="0"/>
                <w:sz w:val="24"/>
                <w:szCs w:val="24"/>
              </w:rPr>
              <w:t>000651</w:t>
            </w:r>
          </w:p>
        </w:tc>
        <w:tc>
          <w:tcPr>
            <w:tcW w:w="1701" w:type="dxa"/>
            <w:vAlign w:val="center"/>
          </w:tcPr>
          <w:p w14:paraId="50D93D04" w14:textId="77777777" w:rsidR="006431CC" w:rsidRDefault="00160599">
            <w:pPr>
              <w:jc w:val="center"/>
            </w:pPr>
            <w:r>
              <w:rPr>
                <w:rFonts w:eastAsiaTheme="minorEastAsia"/>
                <w:kern w:val="0"/>
                <w:sz w:val="24"/>
                <w:szCs w:val="24"/>
              </w:rPr>
              <w:t>格力电器</w:t>
            </w:r>
          </w:p>
        </w:tc>
        <w:tc>
          <w:tcPr>
            <w:tcW w:w="1276" w:type="dxa"/>
            <w:vAlign w:val="center"/>
          </w:tcPr>
          <w:p w14:paraId="3906A74F" w14:textId="77777777" w:rsidR="006431CC" w:rsidRDefault="00160599">
            <w:pPr>
              <w:jc w:val="right"/>
            </w:pPr>
            <w:r>
              <w:rPr>
                <w:rFonts w:eastAsiaTheme="minorEastAsia"/>
                <w:kern w:val="0"/>
                <w:sz w:val="24"/>
                <w:szCs w:val="24"/>
              </w:rPr>
              <w:t>788,900.00</w:t>
            </w:r>
          </w:p>
        </w:tc>
        <w:tc>
          <w:tcPr>
            <w:tcW w:w="1842" w:type="dxa"/>
            <w:vAlign w:val="center"/>
          </w:tcPr>
          <w:p w14:paraId="4F4D47E8" w14:textId="77777777" w:rsidR="006431CC" w:rsidRDefault="00160599">
            <w:pPr>
              <w:jc w:val="right"/>
            </w:pPr>
            <w:r>
              <w:rPr>
                <w:rFonts w:eastAsiaTheme="minorEastAsia"/>
                <w:kern w:val="0"/>
                <w:sz w:val="24"/>
                <w:szCs w:val="24"/>
              </w:rPr>
              <w:t>37,819,866.00</w:t>
            </w:r>
          </w:p>
        </w:tc>
        <w:tc>
          <w:tcPr>
            <w:tcW w:w="1616" w:type="dxa"/>
            <w:vAlign w:val="center"/>
          </w:tcPr>
          <w:p w14:paraId="62CC70B0" w14:textId="77777777" w:rsidR="006431CC" w:rsidRDefault="00160599">
            <w:pPr>
              <w:jc w:val="right"/>
            </w:pPr>
            <w:r>
              <w:rPr>
                <w:rFonts w:eastAsiaTheme="minorEastAsia"/>
                <w:kern w:val="0"/>
                <w:sz w:val="24"/>
                <w:szCs w:val="24"/>
              </w:rPr>
              <w:t>3.47</w:t>
            </w:r>
          </w:p>
        </w:tc>
      </w:tr>
      <w:tr w:rsidR="006431CC" w14:paraId="72B8B280" w14:textId="77777777">
        <w:tc>
          <w:tcPr>
            <w:tcW w:w="817" w:type="dxa"/>
            <w:vAlign w:val="center"/>
          </w:tcPr>
          <w:p w14:paraId="5CD7C02B" w14:textId="77777777" w:rsidR="006431CC" w:rsidRDefault="00160599">
            <w:pPr>
              <w:jc w:val="center"/>
            </w:pPr>
            <w:r>
              <w:rPr>
                <w:rFonts w:eastAsiaTheme="minorEastAsia"/>
                <w:kern w:val="0"/>
                <w:sz w:val="24"/>
                <w:szCs w:val="24"/>
              </w:rPr>
              <w:t>8</w:t>
            </w:r>
          </w:p>
        </w:tc>
        <w:tc>
          <w:tcPr>
            <w:tcW w:w="1276" w:type="dxa"/>
            <w:vAlign w:val="center"/>
          </w:tcPr>
          <w:p w14:paraId="5BF425AF" w14:textId="77777777" w:rsidR="006431CC" w:rsidRDefault="00160599">
            <w:pPr>
              <w:jc w:val="center"/>
            </w:pPr>
            <w:r>
              <w:rPr>
                <w:rFonts w:eastAsiaTheme="minorEastAsia"/>
                <w:kern w:val="0"/>
                <w:sz w:val="24"/>
                <w:szCs w:val="24"/>
              </w:rPr>
              <w:t>601899</w:t>
            </w:r>
          </w:p>
        </w:tc>
        <w:tc>
          <w:tcPr>
            <w:tcW w:w="1701" w:type="dxa"/>
            <w:vAlign w:val="center"/>
          </w:tcPr>
          <w:p w14:paraId="40569246" w14:textId="77777777" w:rsidR="006431CC" w:rsidRDefault="00160599">
            <w:pPr>
              <w:jc w:val="center"/>
            </w:pPr>
            <w:r>
              <w:rPr>
                <w:rFonts w:eastAsiaTheme="minorEastAsia"/>
                <w:kern w:val="0"/>
                <w:sz w:val="24"/>
                <w:szCs w:val="24"/>
              </w:rPr>
              <w:t>紫金矿业</w:t>
            </w:r>
          </w:p>
        </w:tc>
        <w:tc>
          <w:tcPr>
            <w:tcW w:w="1276" w:type="dxa"/>
            <w:vAlign w:val="center"/>
          </w:tcPr>
          <w:p w14:paraId="54367041" w14:textId="77777777" w:rsidR="006431CC" w:rsidRDefault="00160599">
            <w:pPr>
              <w:jc w:val="right"/>
            </w:pPr>
            <w:r>
              <w:rPr>
                <w:rFonts w:eastAsiaTheme="minorEastAsia"/>
                <w:kern w:val="0"/>
                <w:sz w:val="24"/>
                <w:szCs w:val="24"/>
              </w:rPr>
              <w:t>1,906,500.00</w:t>
            </w:r>
          </w:p>
        </w:tc>
        <w:tc>
          <w:tcPr>
            <w:tcW w:w="1842" w:type="dxa"/>
            <w:vAlign w:val="center"/>
          </w:tcPr>
          <w:p w14:paraId="477D4BDF" w14:textId="77777777" w:rsidR="006431CC" w:rsidRDefault="00160599">
            <w:pPr>
              <w:jc w:val="right"/>
            </w:pPr>
            <w:r>
              <w:rPr>
                <w:rFonts w:eastAsiaTheme="minorEastAsia"/>
                <w:kern w:val="0"/>
                <w:sz w:val="24"/>
                <w:szCs w:val="24"/>
              </w:rPr>
              <w:t>34,583,910.00</w:t>
            </w:r>
          </w:p>
        </w:tc>
        <w:tc>
          <w:tcPr>
            <w:tcW w:w="1616" w:type="dxa"/>
            <w:vAlign w:val="center"/>
          </w:tcPr>
          <w:p w14:paraId="2CD4972F" w14:textId="77777777" w:rsidR="006431CC" w:rsidRDefault="00160599">
            <w:pPr>
              <w:jc w:val="right"/>
            </w:pPr>
            <w:r>
              <w:rPr>
                <w:rFonts w:eastAsiaTheme="minorEastAsia"/>
                <w:kern w:val="0"/>
                <w:sz w:val="24"/>
                <w:szCs w:val="24"/>
              </w:rPr>
              <w:t>3.18</w:t>
            </w:r>
          </w:p>
        </w:tc>
      </w:tr>
      <w:tr w:rsidR="006431CC" w14:paraId="085A1BC2" w14:textId="77777777">
        <w:tc>
          <w:tcPr>
            <w:tcW w:w="817" w:type="dxa"/>
            <w:vAlign w:val="center"/>
          </w:tcPr>
          <w:p w14:paraId="32A4BCD5" w14:textId="77777777" w:rsidR="006431CC" w:rsidRDefault="00160599">
            <w:pPr>
              <w:jc w:val="center"/>
            </w:pPr>
            <w:r>
              <w:rPr>
                <w:rFonts w:eastAsiaTheme="minorEastAsia"/>
                <w:kern w:val="0"/>
                <w:sz w:val="24"/>
                <w:szCs w:val="24"/>
              </w:rPr>
              <w:t>9</w:t>
            </w:r>
          </w:p>
        </w:tc>
        <w:tc>
          <w:tcPr>
            <w:tcW w:w="1276" w:type="dxa"/>
            <w:vAlign w:val="center"/>
          </w:tcPr>
          <w:p w14:paraId="74ECF33E" w14:textId="77777777" w:rsidR="006431CC" w:rsidRDefault="00160599">
            <w:pPr>
              <w:jc w:val="center"/>
            </w:pPr>
            <w:r>
              <w:rPr>
                <w:rFonts w:eastAsiaTheme="minorEastAsia"/>
                <w:kern w:val="0"/>
                <w:sz w:val="24"/>
                <w:szCs w:val="24"/>
              </w:rPr>
              <w:t>601088</w:t>
            </w:r>
          </w:p>
        </w:tc>
        <w:tc>
          <w:tcPr>
            <w:tcW w:w="1701" w:type="dxa"/>
            <w:vAlign w:val="center"/>
          </w:tcPr>
          <w:p w14:paraId="413C96BF" w14:textId="77777777" w:rsidR="006431CC" w:rsidRDefault="00160599">
            <w:pPr>
              <w:jc w:val="center"/>
            </w:pPr>
            <w:r>
              <w:rPr>
                <w:rFonts w:eastAsiaTheme="minorEastAsia"/>
                <w:kern w:val="0"/>
                <w:sz w:val="24"/>
                <w:szCs w:val="24"/>
              </w:rPr>
              <w:t>中国神华</w:t>
            </w:r>
          </w:p>
        </w:tc>
        <w:tc>
          <w:tcPr>
            <w:tcW w:w="1276" w:type="dxa"/>
            <w:vAlign w:val="center"/>
          </w:tcPr>
          <w:p w14:paraId="4C6FF5BA" w14:textId="77777777" w:rsidR="006431CC" w:rsidRDefault="00160599">
            <w:pPr>
              <w:jc w:val="right"/>
            </w:pPr>
            <w:r>
              <w:rPr>
                <w:rFonts w:eastAsiaTheme="minorEastAsia"/>
                <w:kern w:val="0"/>
                <w:sz w:val="24"/>
                <w:szCs w:val="24"/>
              </w:rPr>
              <w:t>747,785.00</w:t>
            </w:r>
          </w:p>
        </w:tc>
        <w:tc>
          <w:tcPr>
            <w:tcW w:w="1842" w:type="dxa"/>
            <w:vAlign w:val="center"/>
          </w:tcPr>
          <w:p w14:paraId="7E32C053" w14:textId="77777777" w:rsidR="006431CC" w:rsidRDefault="00160599">
            <w:pPr>
              <w:jc w:val="right"/>
            </w:pPr>
            <w:r>
              <w:rPr>
                <w:rFonts w:eastAsiaTheme="minorEastAsia"/>
                <w:kern w:val="0"/>
                <w:sz w:val="24"/>
                <w:szCs w:val="24"/>
              </w:rPr>
              <w:t>32,603,426.00</w:t>
            </w:r>
          </w:p>
        </w:tc>
        <w:tc>
          <w:tcPr>
            <w:tcW w:w="1616" w:type="dxa"/>
            <w:vAlign w:val="center"/>
          </w:tcPr>
          <w:p w14:paraId="7C093599" w14:textId="77777777" w:rsidR="006431CC" w:rsidRDefault="00160599">
            <w:pPr>
              <w:jc w:val="right"/>
            </w:pPr>
            <w:r>
              <w:rPr>
                <w:rFonts w:eastAsiaTheme="minorEastAsia"/>
                <w:kern w:val="0"/>
                <w:sz w:val="24"/>
                <w:szCs w:val="24"/>
              </w:rPr>
              <w:t>2.99</w:t>
            </w:r>
          </w:p>
        </w:tc>
      </w:tr>
      <w:tr w:rsidR="006431CC" w14:paraId="74CD3894" w14:textId="77777777">
        <w:tc>
          <w:tcPr>
            <w:tcW w:w="817" w:type="dxa"/>
            <w:vAlign w:val="center"/>
          </w:tcPr>
          <w:p w14:paraId="03E7879E" w14:textId="77777777" w:rsidR="006431CC" w:rsidRDefault="00160599">
            <w:pPr>
              <w:jc w:val="center"/>
            </w:pPr>
            <w:r>
              <w:rPr>
                <w:rFonts w:eastAsiaTheme="minorEastAsia"/>
                <w:kern w:val="0"/>
                <w:sz w:val="24"/>
                <w:szCs w:val="24"/>
              </w:rPr>
              <w:t>10</w:t>
            </w:r>
          </w:p>
        </w:tc>
        <w:tc>
          <w:tcPr>
            <w:tcW w:w="1276" w:type="dxa"/>
            <w:vAlign w:val="center"/>
          </w:tcPr>
          <w:p w14:paraId="644A7D55" w14:textId="77777777" w:rsidR="006431CC" w:rsidRDefault="00160599">
            <w:pPr>
              <w:jc w:val="center"/>
            </w:pPr>
            <w:r>
              <w:rPr>
                <w:rFonts w:eastAsiaTheme="minorEastAsia"/>
                <w:kern w:val="0"/>
                <w:sz w:val="24"/>
                <w:szCs w:val="24"/>
              </w:rPr>
              <w:t>000425</w:t>
            </w:r>
          </w:p>
        </w:tc>
        <w:tc>
          <w:tcPr>
            <w:tcW w:w="1701" w:type="dxa"/>
            <w:vAlign w:val="center"/>
          </w:tcPr>
          <w:p w14:paraId="18B703EB" w14:textId="77777777" w:rsidR="006431CC" w:rsidRDefault="00160599">
            <w:pPr>
              <w:jc w:val="center"/>
            </w:pPr>
            <w:r>
              <w:rPr>
                <w:rFonts w:eastAsiaTheme="minorEastAsia"/>
                <w:kern w:val="0"/>
                <w:sz w:val="24"/>
                <w:szCs w:val="24"/>
              </w:rPr>
              <w:t>徐工机械</w:t>
            </w:r>
          </w:p>
        </w:tc>
        <w:tc>
          <w:tcPr>
            <w:tcW w:w="1276" w:type="dxa"/>
            <w:vAlign w:val="center"/>
          </w:tcPr>
          <w:p w14:paraId="401E0046" w14:textId="77777777" w:rsidR="006431CC" w:rsidRDefault="00160599">
            <w:pPr>
              <w:jc w:val="right"/>
            </w:pPr>
            <w:r>
              <w:rPr>
                <w:rFonts w:eastAsiaTheme="minorEastAsia"/>
                <w:kern w:val="0"/>
                <w:sz w:val="24"/>
                <w:szCs w:val="24"/>
              </w:rPr>
              <w:t>4,047,817.00</w:t>
            </w:r>
          </w:p>
        </w:tc>
        <w:tc>
          <w:tcPr>
            <w:tcW w:w="1842" w:type="dxa"/>
            <w:vAlign w:val="center"/>
          </w:tcPr>
          <w:p w14:paraId="59FD5638" w14:textId="77777777" w:rsidR="006431CC" w:rsidRDefault="00160599">
            <w:pPr>
              <w:jc w:val="right"/>
            </w:pPr>
            <w:r>
              <w:rPr>
                <w:rFonts w:eastAsiaTheme="minorEastAsia"/>
                <w:kern w:val="0"/>
                <w:sz w:val="24"/>
                <w:szCs w:val="24"/>
              </w:rPr>
              <w:t>31,451,538.09</w:t>
            </w:r>
          </w:p>
        </w:tc>
        <w:tc>
          <w:tcPr>
            <w:tcW w:w="1616" w:type="dxa"/>
            <w:vAlign w:val="center"/>
          </w:tcPr>
          <w:p w14:paraId="66E1858C" w14:textId="77777777" w:rsidR="006431CC" w:rsidRDefault="00160599">
            <w:pPr>
              <w:jc w:val="right"/>
            </w:pPr>
            <w:r>
              <w:rPr>
                <w:rFonts w:eastAsiaTheme="minorEastAsia"/>
                <w:kern w:val="0"/>
                <w:sz w:val="24"/>
                <w:szCs w:val="24"/>
              </w:rPr>
              <w:t>2.89</w:t>
            </w:r>
          </w:p>
        </w:tc>
      </w:tr>
      <w:bookmarkEnd w:id="1"/>
    </w:tbl>
    <w:p w14:paraId="0000751D"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2C998A0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14:paraId="195082F0"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40BBFD64"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6F4B4C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14:paraId="74C7184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14FAE5D6"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7850036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309F7D41"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本基金本报告期末未持有资产支持证券。</w:t>
      </w:r>
    </w:p>
    <w:p w14:paraId="719503BF"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7CBDAE1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13CDBF4B"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5730669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6DD114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19ED1A9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3821596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26EF89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26439997"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0A67FC84" w14:textId="77777777" w:rsidR="00D06738" w:rsidRPr="00FF6B9A" w:rsidRDefault="00D06738">
      <w:pPr>
        <w:adjustRightInd w:val="0"/>
        <w:snapToGrid w:val="0"/>
        <w:spacing w:line="360" w:lineRule="exact"/>
        <w:rPr>
          <w:rFonts w:eastAsiaTheme="minorEastAsia"/>
          <w:color w:val="000000" w:themeColor="text1"/>
          <w:sz w:val="24"/>
          <w:szCs w:val="24"/>
        </w:rPr>
      </w:pPr>
    </w:p>
    <w:p w14:paraId="524F127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3E83659F"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51DE662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5C025E8E"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14:paraId="61F24CBE"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2777091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448EAF6C" w14:textId="77777777">
        <w:tc>
          <w:tcPr>
            <w:tcW w:w="1235" w:type="dxa"/>
            <w:vAlign w:val="center"/>
          </w:tcPr>
          <w:p w14:paraId="1CA478B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6CB7072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449934E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437A5164" w14:textId="77777777">
        <w:tc>
          <w:tcPr>
            <w:tcW w:w="1235" w:type="dxa"/>
            <w:vAlign w:val="center"/>
          </w:tcPr>
          <w:p w14:paraId="30EC9C9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004075A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43EF040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280,626.34</w:t>
            </w:r>
          </w:p>
        </w:tc>
      </w:tr>
      <w:tr w:rsidR="00D06738" w:rsidRPr="00FF6B9A" w14:paraId="7CACB95B" w14:textId="77777777">
        <w:tc>
          <w:tcPr>
            <w:tcW w:w="1235" w:type="dxa"/>
            <w:vAlign w:val="center"/>
          </w:tcPr>
          <w:p w14:paraId="4691512E"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14:paraId="4FE4221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7DFD623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61AFFA6" w14:textId="77777777">
        <w:tc>
          <w:tcPr>
            <w:tcW w:w="1235" w:type="dxa"/>
            <w:vAlign w:val="center"/>
          </w:tcPr>
          <w:p w14:paraId="094FC3E2"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14:paraId="541A7743"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165E2E18"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221.31</w:t>
            </w:r>
          </w:p>
        </w:tc>
      </w:tr>
      <w:tr w:rsidR="00D06738" w:rsidRPr="00FF6B9A" w14:paraId="58269CF9" w14:textId="77777777">
        <w:tc>
          <w:tcPr>
            <w:tcW w:w="1235" w:type="dxa"/>
            <w:vAlign w:val="center"/>
          </w:tcPr>
          <w:p w14:paraId="44CE4E3C"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399C1FDA"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357EAFAF"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3ECD0BE" w14:textId="77777777">
        <w:tc>
          <w:tcPr>
            <w:tcW w:w="1235" w:type="dxa"/>
            <w:vAlign w:val="center"/>
          </w:tcPr>
          <w:p w14:paraId="5C60D27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097759E1"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42BFD21F"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57,040.74</w:t>
            </w:r>
          </w:p>
        </w:tc>
      </w:tr>
      <w:tr w:rsidR="00D06738" w:rsidRPr="00FF6B9A" w14:paraId="2DE3C290" w14:textId="77777777">
        <w:tc>
          <w:tcPr>
            <w:tcW w:w="1235" w:type="dxa"/>
            <w:vAlign w:val="center"/>
          </w:tcPr>
          <w:p w14:paraId="3F10EEE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07AAD524"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3FBF6DC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4B0BD4E" w14:textId="77777777">
        <w:tc>
          <w:tcPr>
            <w:tcW w:w="1235" w:type="dxa"/>
            <w:vAlign w:val="center"/>
          </w:tcPr>
          <w:p w14:paraId="15ABE28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7E1E5B8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6DAA98B1"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3249751" w14:textId="77777777">
        <w:tc>
          <w:tcPr>
            <w:tcW w:w="1235" w:type="dxa"/>
            <w:vAlign w:val="center"/>
          </w:tcPr>
          <w:p w14:paraId="4B5B2EAE"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8</w:t>
            </w:r>
          </w:p>
        </w:tc>
        <w:tc>
          <w:tcPr>
            <w:tcW w:w="2470" w:type="dxa"/>
            <w:vAlign w:val="center"/>
          </w:tcPr>
          <w:p w14:paraId="041A9EC8"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0C4A22C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10F7B73" w14:textId="77777777">
        <w:tc>
          <w:tcPr>
            <w:tcW w:w="1235" w:type="dxa"/>
            <w:vAlign w:val="center"/>
          </w:tcPr>
          <w:p w14:paraId="7DCDB74B"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57FDB347"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3AD38E86"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337,888.39</w:t>
            </w:r>
          </w:p>
        </w:tc>
      </w:tr>
    </w:tbl>
    <w:p w14:paraId="29FFE3A3"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8CCBD8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14:paraId="418FD1AA"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14:paraId="456B36A2"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3D1BB07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14:paraId="6A4D368B"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14:paraId="2F325B9F"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39F1B68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08F45C19"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217DD2A5"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7306DA2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0022868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8ED1989"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AF97C4D"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1,511,709,538.68</w:t>
            </w:r>
          </w:p>
        </w:tc>
      </w:tr>
      <w:tr w:rsidR="00D06738" w:rsidRPr="00FF6B9A" w14:paraId="6A83BA44"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78F4933"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EF7FBCC"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609,982.41</w:t>
            </w:r>
          </w:p>
        </w:tc>
      </w:tr>
      <w:tr w:rsidR="00D06738" w:rsidRPr="00FF6B9A" w14:paraId="38B10F1A"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A8DB7E4"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9D482F8"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53,443,726.43</w:t>
            </w:r>
          </w:p>
        </w:tc>
      </w:tr>
      <w:tr w:rsidR="00D06738" w:rsidRPr="00FF6B9A" w14:paraId="1CB35A8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B9D3C52"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A201ADC"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5AF6240C"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7A53A33"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8B676BF"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1,458,875,794.66</w:t>
            </w:r>
          </w:p>
        </w:tc>
      </w:tr>
    </w:tbl>
    <w:p w14:paraId="2FD1D613"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14:paraId="200E5818"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6156453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14:paraId="45AB4206"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5610CC9A"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14:paraId="5D86036A"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793DE0AE"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§8  </w:t>
      </w:r>
      <w:r w:rsidRPr="00FF6B9A">
        <w:rPr>
          <w:rFonts w:eastAsiaTheme="minorEastAsia"/>
          <w:color w:val="000000" w:themeColor="text1"/>
          <w:kern w:val="0"/>
          <w:sz w:val="24"/>
          <w:szCs w:val="24"/>
        </w:rPr>
        <w:t>备查文件目录</w:t>
      </w:r>
    </w:p>
    <w:p w14:paraId="55E177F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45C4D34A"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14:paraId="2AEAA86F"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摩根慧见两年持有期混合型证券投资基金基金合同</w:t>
      </w:r>
    </w:p>
    <w:p w14:paraId="074C690B"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摩根慧见两年持有期混合型证券投资基金托管协议</w:t>
      </w:r>
    </w:p>
    <w:p w14:paraId="19667FC0"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14:paraId="0C3F976F"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14:paraId="7EA13704"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14:paraId="09C88F6A" w14:textId="77777777" w:rsidR="006431CC" w:rsidRDefault="00160599">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14:paraId="6E328BD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14:paraId="242B384E" w14:textId="77777777" w:rsidR="00D06738" w:rsidRPr="00FF6B9A" w:rsidRDefault="00D06738">
      <w:pPr>
        <w:spacing w:line="360" w:lineRule="auto"/>
        <w:ind w:firstLineChars="200" w:firstLine="480"/>
        <w:rPr>
          <w:rFonts w:eastAsiaTheme="minorEastAsia"/>
          <w:color w:val="000000" w:themeColor="text1"/>
          <w:sz w:val="24"/>
          <w:szCs w:val="24"/>
        </w:rPr>
      </w:pPr>
    </w:p>
    <w:p w14:paraId="291BDE9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2D36B03B"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14:paraId="26138075" w14:textId="77777777" w:rsidR="00D06738" w:rsidRPr="00FF6B9A" w:rsidRDefault="00D06738">
      <w:pPr>
        <w:spacing w:line="360" w:lineRule="auto"/>
        <w:ind w:firstLineChars="200" w:firstLine="480"/>
        <w:rPr>
          <w:rFonts w:eastAsiaTheme="minorEastAsia"/>
          <w:color w:val="000000" w:themeColor="text1"/>
          <w:sz w:val="24"/>
          <w:szCs w:val="24"/>
        </w:rPr>
      </w:pPr>
    </w:p>
    <w:p w14:paraId="5533C4B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3E0FAEB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7AAED927" w14:textId="77777777" w:rsidR="00D06738" w:rsidRPr="00FF6B9A" w:rsidRDefault="00D06738">
      <w:pPr>
        <w:spacing w:line="360" w:lineRule="auto"/>
        <w:ind w:left="840"/>
        <w:jc w:val="right"/>
        <w:rPr>
          <w:rFonts w:eastAsiaTheme="minorEastAsia"/>
          <w:color w:val="000000" w:themeColor="text1"/>
          <w:sz w:val="24"/>
          <w:szCs w:val="24"/>
        </w:rPr>
      </w:pPr>
    </w:p>
    <w:p w14:paraId="20CDA73A" w14:textId="77777777" w:rsidR="00D06738" w:rsidRPr="00FF6B9A" w:rsidRDefault="00D06738">
      <w:pPr>
        <w:spacing w:line="360" w:lineRule="auto"/>
        <w:ind w:left="840"/>
        <w:jc w:val="right"/>
        <w:rPr>
          <w:rFonts w:eastAsiaTheme="minorEastAsia"/>
          <w:color w:val="000000" w:themeColor="text1"/>
          <w:sz w:val="24"/>
          <w:szCs w:val="24"/>
        </w:rPr>
      </w:pPr>
    </w:p>
    <w:p w14:paraId="0C9531DE" w14:textId="77777777" w:rsidR="00D06738" w:rsidRPr="00FF6B9A" w:rsidRDefault="00D06738">
      <w:pPr>
        <w:spacing w:line="360" w:lineRule="auto"/>
        <w:ind w:left="840"/>
        <w:jc w:val="right"/>
        <w:rPr>
          <w:rFonts w:eastAsiaTheme="minorEastAsia"/>
          <w:color w:val="000000" w:themeColor="text1"/>
          <w:sz w:val="24"/>
          <w:szCs w:val="24"/>
        </w:rPr>
      </w:pPr>
    </w:p>
    <w:p w14:paraId="52A6C44D" w14:textId="77777777" w:rsidR="00D06738" w:rsidRPr="00FF6B9A" w:rsidRDefault="00D06738">
      <w:pPr>
        <w:spacing w:line="360" w:lineRule="auto"/>
        <w:ind w:left="840"/>
        <w:jc w:val="right"/>
        <w:rPr>
          <w:rFonts w:eastAsiaTheme="minorEastAsia"/>
          <w:color w:val="000000" w:themeColor="text1"/>
          <w:sz w:val="24"/>
          <w:szCs w:val="24"/>
        </w:rPr>
      </w:pPr>
    </w:p>
    <w:p w14:paraId="62C58FB8" w14:textId="77777777" w:rsidR="00D06738" w:rsidRPr="00FF6B9A" w:rsidRDefault="00D06738">
      <w:pPr>
        <w:spacing w:line="360" w:lineRule="auto"/>
        <w:ind w:left="840"/>
        <w:jc w:val="right"/>
        <w:rPr>
          <w:rFonts w:eastAsiaTheme="minorEastAsia"/>
          <w:color w:val="000000" w:themeColor="text1"/>
          <w:sz w:val="24"/>
          <w:szCs w:val="24"/>
        </w:rPr>
      </w:pPr>
    </w:p>
    <w:p w14:paraId="50276633" w14:textId="77777777" w:rsidR="00D06738" w:rsidRPr="00FF6B9A" w:rsidRDefault="00D06738">
      <w:pPr>
        <w:spacing w:line="360" w:lineRule="auto"/>
        <w:ind w:left="840"/>
        <w:jc w:val="right"/>
        <w:rPr>
          <w:rFonts w:eastAsiaTheme="minorEastAsia"/>
          <w:color w:val="000000" w:themeColor="text1"/>
          <w:sz w:val="24"/>
          <w:szCs w:val="24"/>
        </w:rPr>
      </w:pPr>
    </w:p>
    <w:p w14:paraId="1288A2FF" w14:textId="77777777" w:rsidR="00D06738" w:rsidRPr="00FF6B9A" w:rsidRDefault="00D06738">
      <w:pPr>
        <w:spacing w:line="360" w:lineRule="auto"/>
        <w:ind w:left="840"/>
        <w:jc w:val="right"/>
        <w:rPr>
          <w:rFonts w:eastAsiaTheme="minorEastAsia"/>
          <w:color w:val="000000" w:themeColor="text1"/>
          <w:sz w:val="24"/>
          <w:szCs w:val="24"/>
        </w:rPr>
      </w:pPr>
    </w:p>
    <w:p w14:paraId="1EE1DCC4" w14:textId="77777777" w:rsidR="00D06738" w:rsidRPr="00FF6B9A" w:rsidRDefault="00D06738">
      <w:pPr>
        <w:spacing w:line="360" w:lineRule="auto"/>
        <w:ind w:left="840"/>
        <w:jc w:val="right"/>
        <w:rPr>
          <w:rFonts w:eastAsiaTheme="minorEastAsia"/>
          <w:color w:val="000000" w:themeColor="text1"/>
          <w:sz w:val="24"/>
          <w:szCs w:val="24"/>
        </w:rPr>
      </w:pPr>
    </w:p>
    <w:p w14:paraId="59DF13A8"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5E0206AC"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二〇二四年十月二十五日</w:t>
      </w:r>
    </w:p>
    <w:p w14:paraId="0EC6CAE1" w14:textId="77777777" w:rsidR="00D06738" w:rsidRPr="00FF6B9A" w:rsidRDefault="00D06738">
      <w:pPr>
        <w:spacing w:line="360" w:lineRule="auto"/>
        <w:ind w:left="840"/>
        <w:jc w:val="right"/>
        <w:rPr>
          <w:rFonts w:eastAsiaTheme="minorEastAsia"/>
          <w:b/>
          <w:bCs/>
          <w:color w:val="000000" w:themeColor="text1"/>
          <w:sz w:val="24"/>
          <w:szCs w:val="24"/>
        </w:rPr>
      </w:pPr>
    </w:p>
    <w:p w14:paraId="7B61DDC5"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5E33" w14:textId="77777777" w:rsidR="00376E03" w:rsidRDefault="00376E03">
      <w:r>
        <w:separator/>
      </w:r>
    </w:p>
  </w:endnote>
  <w:endnote w:type="continuationSeparator" w:id="0">
    <w:p w14:paraId="333C028C"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90F7"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D4E0"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4E628026"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526F" w14:textId="77777777" w:rsidR="00376E03" w:rsidRDefault="00376E03">
      <w:r>
        <w:separator/>
      </w:r>
    </w:p>
  </w:footnote>
  <w:footnote w:type="continuationSeparator" w:id="0">
    <w:p w14:paraId="4DD7D157"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96E4" w14:textId="77777777" w:rsidR="00454D20" w:rsidRDefault="00454D20">
    <w:pPr>
      <w:pStyle w:val="af6"/>
      <w:pBdr>
        <w:bottom w:val="single" w:sz="6" w:space="0" w:color="auto"/>
      </w:pBdr>
      <w:jc w:val="right"/>
    </w:pPr>
    <w:proofErr w:type="gramStart"/>
    <w:r>
      <w:rPr>
        <w:rFonts w:hint="eastAsia"/>
      </w:rPr>
      <w:t>摩根慧见两年</w:t>
    </w:r>
    <w:proofErr w:type="gramEnd"/>
    <w:r>
      <w:rPr>
        <w:rFonts w:hint="eastAsia"/>
      </w:rPr>
      <w:t>持有期混合型证券投资基金</w:t>
    </w:r>
    <w:r>
      <w:rPr>
        <w:rFonts w:hint="eastAsia"/>
      </w:rPr>
      <w:t>2024</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599"/>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431CC"/>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AAD45"/>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270</cp:revision>
  <dcterms:created xsi:type="dcterms:W3CDTF">2012-10-16T06:07:00Z</dcterms:created>
  <dcterms:modified xsi:type="dcterms:W3CDTF">2024-10-24T03:22:00Z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