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摩根安享回报一年持有期债券型证券投资基金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摩根安享回报一年持有期债券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010475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45,894,774.08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E1E82" w:rsidRDefault="00435EF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E1E82" w:rsidRDefault="00435EF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rsidR="002E1E82" w:rsidRDefault="00435EF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2E1E82" w:rsidRDefault="00435EF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其他投资策略包括：股票投资策略、国债期货投资策略、资产支持证券投资策略、存托凭证投资策略。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×90%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010475</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45,846,917.50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47,856.58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1,383,013.15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1,146.75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335,565.62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48,951,151.01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50,594.02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1.0572</w:t>
            </w:r>
          </w:p>
        </w:tc>
      </w:tr>
    </w:tbl>
    <w:p w:rsidR="002E1E82" w:rsidRDefault="00435EF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E1E82">
        <w:tc>
          <w:tcPr>
            <w:tcW w:w="1290" w:type="dxa"/>
            <w:vAlign w:val="center"/>
          </w:tcPr>
          <w:p w:rsidR="002E1E82" w:rsidRDefault="00435EFF">
            <w:pPr>
              <w:jc w:val="left"/>
            </w:pPr>
            <w:r>
              <w:rPr>
                <w:rFonts w:eastAsiaTheme="minorEastAsia"/>
                <w:color w:val="000000" w:themeColor="text1"/>
                <w:szCs w:val="21"/>
              </w:rPr>
              <w:t>过去三个月</w:t>
            </w:r>
          </w:p>
        </w:tc>
        <w:tc>
          <w:tcPr>
            <w:tcW w:w="1291" w:type="dxa"/>
            <w:vAlign w:val="center"/>
          </w:tcPr>
          <w:p w:rsidR="002E1E82" w:rsidRDefault="00435EFF">
            <w:pPr>
              <w:jc w:val="right"/>
            </w:pPr>
            <w:r>
              <w:rPr>
                <w:rFonts w:eastAsiaTheme="minorEastAsia"/>
                <w:color w:val="000000" w:themeColor="text1"/>
                <w:szCs w:val="21"/>
              </w:rPr>
              <w:t>0.68%</w:t>
            </w:r>
          </w:p>
        </w:tc>
        <w:tc>
          <w:tcPr>
            <w:tcW w:w="1291" w:type="dxa"/>
            <w:vAlign w:val="center"/>
          </w:tcPr>
          <w:p w:rsidR="002E1E82" w:rsidRDefault="00435EFF">
            <w:pPr>
              <w:jc w:val="right"/>
            </w:pPr>
            <w:r>
              <w:rPr>
                <w:rFonts w:eastAsiaTheme="minorEastAsia"/>
                <w:color w:val="000000" w:themeColor="text1"/>
                <w:szCs w:val="21"/>
              </w:rPr>
              <w:t>0.24%</w:t>
            </w:r>
          </w:p>
        </w:tc>
        <w:tc>
          <w:tcPr>
            <w:tcW w:w="1291" w:type="dxa"/>
            <w:vAlign w:val="center"/>
          </w:tcPr>
          <w:p w:rsidR="002E1E82" w:rsidRDefault="00435EFF">
            <w:pPr>
              <w:jc w:val="right"/>
            </w:pPr>
            <w:r>
              <w:rPr>
                <w:rFonts w:eastAsiaTheme="minorEastAsia"/>
                <w:color w:val="000000" w:themeColor="text1"/>
                <w:szCs w:val="21"/>
              </w:rPr>
              <w:t>0.93%</w:t>
            </w:r>
          </w:p>
        </w:tc>
        <w:tc>
          <w:tcPr>
            <w:tcW w:w="1291" w:type="dxa"/>
            <w:vAlign w:val="center"/>
          </w:tcPr>
          <w:p w:rsidR="002E1E82" w:rsidRDefault="00435EFF">
            <w:pPr>
              <w:jc w:val="right"/>
            </w:pPr>
            <w:r>
              <w:rPr>
                <w:rFonts w:eastAsiaTheme="minorEastAsia"/>
                <w:color w:val="000000" w:themeColor="text1"/>
                <w:szCs w:val="21"/>
              </w:rPr>
              <w:t>0.18%</w:t>
            </w:r>
          </w:p>
        </w:tc>
        <w:tc>
          <w:tcPr>
            <w:tcW w:w="1291" w:type="dxa"/>
            <w:vAlign w:val="center"/>
          </w:tcPr>
          <w:p w:rsidR="002E1E82" w:rsidRDefault="00435EFF">
            <w:pPr>
              <w:jc w:val="right"/>
            </w:pPr>
            <w:r>
              <w:rPr>
                <w:rFonts w:eastAsiaTheme="minorEastAsia"/>
                <w:color w:val="000000" w:themeColor="text1"/>
                <w:szCs w:val="21"/>
              </w:rPr>
              <w:t>-0.25%</w:t>
            </w:r>
          </w:p>
        </w:tc>
        <w:tc>
          <w:tcPr>
            <w:tcW w:w="1291" w:type="dxa"/>
            <w:vAlign w:val="center"/>
          </w:tcPr>
          <w:p w:rsidR="002E1E82" w:rsidRDefault="00435EFF">
            <w:pPr>
              <w:jc w:val="right"/>
            </w:pPr>
            <w:r>
              <w:rPr>
                <w:rFonts w:eastAsiaTheme="minorEastAsia"/>
                <w:color w:val="000000" w:themeColor="text1"/>
                <w:szCs w:val="21"/>
              </w:rPr>
              <w:t>0.06%</w:t>
            </w:r>
          </w:p>
        </w:tc>
      </w:tr>
      <w:tr w:rsidR="002E1E82">
        <w:tc>
          <w:tcPr>
            <w:tcW w:w="1290" w:type="dxa"/>
            <w:vAlign w:val="center"/>
          </w:tcPr>
          <w:p w:rsidR="002E1E82" w:rsidRDefault="00435EFF">
            <w:pPr>
              <w:jc w:val="left"/>
            </w:pPr>
            <w:r>
              <w:rPr>
                <w:rFonts w:eastAsiaTheme="minorEastAsia"/>
                <w:color w:val="000000" w:themeColor="text1"/>
                <w:szCs w:val="21"/>
              </w:rPr>
              <w:t>过去六个月</w:t>
            </w:r>
          </w:p>
        </w:tc>
        <w:tc>
          <w:tcPr>
            <w:tcW w:w="1291" w:type="dxa"/>
            <w:vAlign w:val="center"/>
          </w:tcPr>
          <w:p w:rsidR="002E1E82" w:rsidRDefault="00435EFF">
            <w:pPr>
              <w:jc w:val="right"/>
            </w:pPr>
            <w:r>
              <w:rPr>
                <w:rFonts w:eastAsiaTheme="minorEastAsia"/>
                <w:color w:val="000000" w:themeColor="text1"/>
                <w:szCs w:val="21"/>
              </w:rPr>
              <w:t>4.39%</w:t>
            </w:r>
          </w:p>
        </w:tc>
        <w:tc>
          <w:tcPr>
            <w:tcW w:w="1291" w:type="dxa"/>
            <w:vAlign w:val="center"/>
          </w:tcPr>
          <w:p w:rsidR="002E1E82" w:rsidRDefault="00435EFF">
            <w:pPr>
              <w:jc w:val="right"/>
            </w:pPr>
            <w:r>
              <w:rPr>
                <w:rFonts w:eastAsiaTheme="minorEastAsia"/>
                <w:color w:val="000000" w:themeColor="text1"/>
                <w:szCs w:val="21"/>
              </w:rPr>
              <w:t>0.29%</w:t>
            </w:r>
          </w:p>
        </w:tc>
        <w:tc>
          <w:tcPr>
            <w:tcW w:w="1291" w:type="dxa"/>
            <w:vAlign w:val="center"/>
          </w:tcPr>
          <w:p w:rsidR="002E1E82" w:rsidRDefault="00435EFF">
            <w:pPr>
              <w:jc w:val="right"/>
            </w:pPr>
            <w:r>
              <w:rPr>
                <w:rFonts w:eastAsiaTheme="minorEastAsia"/>
                <w:color w:val="000000" w:themeColor="text1"/>
                <w:szCs w:val="21"/>
              </w:rPr>
              <w:t>3.04%</w:t>
            </w:r>
          </w:p>
        </w:tc>
        <w:tc>
          <w:tcPr>
            <w:tcW w:w="1291" w:type="dxa"/>
            <w:vAlign w:val="center"/>
          </w:tcPr>
          <w:p w:rsidR="002E1E82" w:rsidRDefault="00435EFF">
            <w:pPr>
              <w:jc w:val="right"/>
            </w:pPr>
            <w:r>
              <w:rPr>
                <w:rFonts w:eastAsiaTheme="minorEastAsia"/>
                <w:color w:val="000000" w:themeColor="text1"/>
                <w:szCs w:val="21"/>
              </w:rPr>
              <w:t>0.17%</w:t>
            </w:r>
          </w:p>
        </w:tc>
        <w:tc>
          <w:tcPr>
            <w:tcW w:w="1291" w:type="dxa"/>
            <w:vAlign w:val="center"/>
          </w:tcPr>
          <w:p w:rsidR="002E1E82" w:rsidRDefault="00435EFF">
            <w:pPr>
              <w:jc w:val="right"/>
            </w:pPr>
            <w:r>
              <w:rPr>
                <w:rFonts w:eastAsiaTheme="minorEastAsia"/>
                <w:color w:val="000000" w:themeColor="text1"/>
                <w:szCs w:val="21"/>
              </w:rPr>
              <w:t>1.35%</w:t>
            </w:r>
          </w:p>
        </w:tc>
        <w:tc>
          <w:tcPr>
            <w:tcW w:w="1291" w:type="dxa"/>
            <w:vAlign w:val="center"/>
          </w:tcPr>
          <w:p w:rsidR="002E1E82" w:rsidRDefault="00435EFF">
            <w:pPr>
              <w:jc w:val="right"/>
            </w:pPr>
            <w:r>
              <w:rPr>
                <w:rFonts w:eastAsiaTheme="minorEastAsia"/>
                <w:color w:val="000000" w:themeColor="text1"/>
                <w:szCs w:val="21"/>
              </w:rPr>
              <w:t>0.12%</w:t>
            </w:r>
          </w:p>
        </w:tc>
      </w:tr>
      <w:tr w:rsidR="002E1E82">
        <w:tc>
          <w:tcPr>
            <w:tcW w:w="1290" w:type="dxa"/>
            <w:vAlign w:val="center"/>
          </w:tcPr>
          <w:p w:rsidR="002E1E82" w:rsidRDefault="00435EFF">
            <w:pPr>
              <w:jc w:val="left"/>
            </w:pPr>
            <w:r>
              <w:rPr>
                <w:rFonts w:eastAsiaTheme="minorEastAsia"/>
                <w:color w:val="000000" w:themeColor="text1"/>
                <w:szCs w:val="21"/>
              </w:rPr>
              <w:t>过去一年</w:t>
            </w:r>
          </w:p>
        </w:tc>
        <w:tc>
          <w:tcPr>
            <w:tcW w:w="1291" w:type="dxa"/>
            <w:vAlign w:val="center"/>
          </w:tcPr>
          <w:p w:rsidR="002E1E82" w:rsidRDefault="00435EFF">
            <w:pPr>
              <w:jc w:val="right"/>
            </w:pPr>
            <w:r>
              <w:rPr>
                <w:rFonts w:eastAsiaTheme="minorEastAsia"/>
                <w:color w:val="000000" w:themeColor="text1"/>
                <w:szCs w:val="21"/>
              </w:rPr>
              <w:t>4.84%</w:t>
            </w:r>
          </w:p>
        </w:tc>
        <w:tc>
          <w:tcPr>
            <w:tcW w:w="1291" w:type="dxa"/>
            <w:vAlign w:val="center"/>
          </w:tcPr>
          <w:p w:rsidR="002E1E82" w:rsidRDefault="00435EFF">
            <w:pPr>
              <w:jc w:val="right"/>
            </w:pPr>
            <w:r>
              <w:rPr>
                <w:rFonts w:eastAsiaTheme="minorEastAsia"/>
                <w:color w:val="000000" w:themeColor="text1"/>
                <w:szCs w:val="21"/>
              </w:rPr>
              <w:t>0.28%</w:t>
            </w:r>
          </w:p>
        </w:tc>
        <w:tc>
          <w:tcPr>
            <w:tcW w:w="1291" w:type="dxa"/>
            <w:vAlign w:val="center"/>
          </w:tcPr>
          <w:p w:rsidR="002E1E82" w:rsidRDefault="00435EFF">
            <w:pPr>
              <w:jc w:val="right"/>
            </w:pPr>
            <w:r>
              <w:rPr>
                <w:rFonts w:eastAsiaTheme="minorEastAsia"/>
                <w:color w:val="000000" w:themeColor="text1"/>
                <w:szCs w:val="21"/>
              </w:rPr>
              <w:t>4.60%</w:t>
            </w:r>
          </w:p>
        </w:tc>
        <w:tc>
          <w:tcPr>
            <w:tcW w:w="1291" w:type="dxa"/>
            <w:vAlign w:val="center"/>
          </w:tcPr>
          <w:p w:rsidR="002E1E82" w:rsidRDefault="00435EFF">
            <w:pPr>
              <w:jc w:val="right"/>
            </w:pPr>
            <w:r>
              <w:rPr>
                <w:rFonts w:eastAsiaTheme="minorEastAsia"/>
                <w:color w:val="000000" w:themeColor="text1"/>
                <w:szCs w:val="21"/>
              </w:rPr>
              <w:t>0.14%</w:t>
            </w:r>
          </w:p>
        </w:tc>
        <w:tc>
          <w:tcPr>
            <w:tcW w:w="1291" w:type="dxa"/>
            <w:vAlign w:val="center"/>
          </w:tcPr>
          <w:p w:rsidR="002E1E82" w:rsidRDefault="00435EFF">
            <w:pPr>
              <w:jc w:val="right"/>
            </w:pPr>
            <w:r>
              <w:rPr>
                <w:rFonts w:eastAsiaTheme="minorEastAsia"/>
                <w:color w:val="000000" w:themeColor="text1"/>
                <w:szCs w:val="21"/>
              </w:rPr>
              <w:t>0.24%</w:t>
            </w:r>
          </w:p>
        </w:tc>
        <w:tc>
          <w:tcPr>
            <w:tcW w:w="1291" w:type="dxa"/>
            <w:vAlign w:val="center"/>
          </w:tcPr>
          <w:p w:rsidR="002E1E82" w:rsidRDefault="00435EFF">
            <w:pPr>
              <w:jc w:val="right"/>
            </w:pPr>
            <w:r>
              <w:rPr>
                <w:rFonts w:eastAsiaTheme="minorEastAsia"/>
                <w:color w:val="000000" w:themeColor="text1"/>
                <w:szCs w:val="21"/>
              </w:rPr>
              <w:t>0.14%</w:t>
            </w:r>
          </w:p>
        </w:tc>
      </w:tr>
      <w:tr w:rsidR="002E1E82">
        <w:tc>
          <w:tcPr>
            <w:tcW w:w="1290" w:type="dxa"/>
            <w:vAlign w:val="center"/>
          </w:tcPr>
          <w:p w:rsidR="002E1E82" w:rsidRDefault="00435EFF">
            <w:pPr>
              <w:jc w:val="left"/>
            </w:pPr>
            <w:r>
              <w:rPr>
                <w:rFonts w:eastAsiaTheme="minorEastAsia"/>
                <w:color w:val="000000" w:themeColor="text1"/>
                <w:szCs w:val="21"/>
              </w:rPr>
              <w:t>过去三年</w:t>
            </w:r>
          </w:p>
        </w:tc>
        <w:tc>
          <w:tcPr>
            <w:tcW w:w="1291" w:type="dxa"/>
            <w:vAlign w:val="center"/>
          </w:tcPr>
          <w:p w:rsidR="002E1E82" w:rsidRDefault="00435EFF">
            <w:pPr>
              <w:jc w:val="right"/>
            </w:pPr>
            <w:r>
              <w:rPr>
                <w:rFonts w:eastAsiaTheme="minorEastAsia"/>
                <w:color w:val="000000" w:themeColor="text1"/>
                <w:szCs w:val="21"/>
              </w:rPr>
              <w:t>3.73%</w:t>
            </w:r>
          </w:p>
        </w:tc>
        <w:tc>
          <w:tcPr>
            <w:tcW w:w="1291" w:type="dxa"/>
            <w:vAlign w:val="center"/>
          </w:tcPr>
          <w:p w:rsidR="002E1E82" w:rsidRDefault="00435EFF">
            <w:pPr>
              <w:jc w:val="right"/>
            </w:pPr>
            <w:r>
              <w:rPr>
                <w:rFonts w:eastAsiaTheme="minorEastAsia"/>
                <w:color w:val="000000" w:themeColor="text1"/>
                <w:szCs w:val="21"/>
              </w:rPr>
              <w:t>0.23%</w:t>
            </w:r>
          </w:p>
        </w:tc>
        <w:tc>
          <w:tcPr>
            <w:tcW w:w="1291" w:type="dxa"/>
            <w:vAlign w:val="center"/>
          </w:tcPr>
          <w:p w:rsidR="002E1E82" w:rsidRDefault="00435EFF">
            <w:pPr>
              <w:jc w:val="right"/>
            </w:pPr>
            <w:r>
              <w:rPr>
                <w:rFonts w:eastAsiaTheme="minorEastAsia"/>
                <w:color w:val="000000" w:themeColor="text1"/>
                <w:szCs w:val="21"/>
              </w:rPr>
              <w:t>6.66%</w:t>
            </w:r>
          </w:p>
        </w:tc>
        <w:tc>
          <w:tcPr>
            <w:tcW w:w="1291" w:type="dxa"/>
            <w:vAlign w:val="center"/>
          </w:tcPr>
          <w:p w:rsidR="002E1E82" w:rsidRDefault="00435EFF">
            <w:pPr>
              <w:jc w:val="right"/>
            </w:pPr>
            <w:r>
              <w:rPr>
                <w:rFonts w:eastAsiaTheme="minorEastAsia"/>
                <w:color w:val="000000" w:themeColor="text1"/>
                <w:szCs w:val="21"/>
              </w:rPr>
              <w:t>0.12%</w:t>
            </w:r>
          </w:p>
        </w:tc>
        <w:tc>
          <w:tcPr>
            <w:tcW w:w="1291" w:type="dxa"/>
            <w:vAlign w:val="center"/>
          </w:tcPr>
          <w:p w:rsidR="002E1E82" w:rsidRDefault="00435EFF">
            <w:pPr>
              <w:jc w:val="right"/>
            </w:pPr>
            <w:r>
              <w:rPr>
                <w:rFonts w:eastAsiaTheme="minorEastAsia"/>
                <w:color w:val="000000" w:themeColor="text1"/>
                <w:szCs w:val="21"/>
              </w:rPr>
              <w:t>-2.93%</w:t>
            </w:r>
          </w:p>
        </w:tc>
        <w:tc>
          <w:tcPr>
            <w:tcW w:w="1291" w:type="dxa"/>
            <w:vAlign w:val="center"/>
          </w:tcPr>
          <w:p w:rsidR="002E1E82" w:rsidRDefault="00435EFF">
            <w:pPr>
              <w:jc w:val="right"/>
            </w:pPr>
            <w:r>
              <w:rPr>
                <w:rFonts w:eastAsiaTheme="minorEastAsia"/>
                <w:color w:val="000000" w:themeColor="text1"/>
                <w:szCs w:val="21"/>
              </w:rPr>
              <w:t>0.11%</w:t>
            </w:r>
          </w:p>
        </w:tc>
      </w:tr>
      <w:tr w:rsidR="002E1E82">
        <w:tc>
          <w:tcPr>
            <w:tcW w:w="1290" w:type="dxa"/>
            <w:vAlign w:val="center"/>
          </w:tcPr>
          <w:p w:rsidR="002E1E82" w:rsidRDefault="00435EFF">
            <w:pPr>
              <w:jc w:val="left"/>
            </w:pPr>
            <w:r>
              <w:rPr>
                <w:rFonts w:eastAsiaTheme="minorEastAsia"/>
                <w:color w:val="000000" w:themeColor="text1"/>
                <w:szCs w:val="21"/>
              </w:rPr>
              <w:t>过去五年</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r>
      <w:tr w:rsidR="002E1E82">
        <w:tc>
          <w:tcPr>
            <w:tcW w:w="1290" w:type="dxa"/>
            <w:vAlign w:val="center"/>
          </w:tcPr>
          <w:p w:rsidR="002E1E82" w:rsidRDefault="00435EFF">
            <w:pPr>
              <w:jc w:val="left"/>
            </w:pPr>
            <w:r>
              <w:rPr>
                <w:rFonts w:eastAsiaTheme="minorEastAsia"/>
                <w:color w:val="000000" w:themeColor="text1"/>
                <w:szCs w:val="21"/>
              </w:rPr>
              <w:t>自基金合同生效起至今</w:t>
            </w:r>
          </w:p>
        </w:tc>
        <w:tc>
          <w:tcPr>
            <w:tcW w:w="1291" w:type="dxa"/>
            <w:vAlign w:val="center"/>
          </w:tcPr>
          <w:p w:rsidR="002E1E82" w:rsidRDefault="00435EFF">
            <w:pPr>
              <w:jc w:val="right"/>
            </w:pPr>
            <w:r>
              <w:rPr>
                <w:rFonts w:eastAsiaTheme="minorEastAsia"/>
                <w:color w:val="000000" w:themeColor="text1"/>
                <w:szCs w:val="21"/>
              </w:rPr>
              <w:t>6.77%</w:t>
            </w:r>
          </w:p>
        </w:tc>
        <w:tc>
          <w:tcPr>
            <w:tcW w:w="1291" w:type="dxa"/>
            <w:vAlign w:val="center"/>
          </w:tcPr>
          <w:p w:rsidR="002E1E82" w:rsidRDefault="00435EFF">
            <w:pPr>
              <w:jc w:val="right"/>
            </w:pPr>
            <w:r>
              <w:rPr>
                <w:rFonts w:eastAsiaTheme="minorEastAsia"/>
                <w:color w:val="000000" w:themeColor="text1"/>
                <w:szCs w:val="21"/>
              </w:rPr>
              <w:t>0.21%</w:t>
            </w:r>
          </w:p>
        </w:tc>
        <w:tc>
          <w:tcPr>
            <w:tcW w:w="1291" w:type="dxa"/>
            <w:vAlign w:val="center"/>
          </w:tcPr>
          <w:p w:rsidR="002E1E82" w:rsidRDefault="00435EFF">
            <w:pPr>
              <w:jc w:val="right"/>
            </w:pPr>
            <w:r>
              <w:rPr>
                <w:rFonts w:eastAsiaTheme="minorEastAsia"/>
                <w:color w:val="000000" w:themeColor="text1"/>
                <w:szCs w:val="21"/>
              </w:rPr>
              <w:t>10.18%</w:t>
            </w:r>
          </w:p>
        </w:tc>
        <w:tc>
          <w:tcPr>
            <w:tcW w:w="1291" w:type="dxa"/>
            <w:vAlign w:val="center"/>
          </w:tcPr>
          <w:p w:rsidR="002E1E82" w:rsidRDefault="00435EFF">
            <w:pPr>
              <w:jc w:val="right"/>
            </w:pPr>
            <w:r>
              <w:rPr>
                <w:rFonts w:eastAsiaTheme="minorEastAsia"/>
                <w:color w:val="000000" w:themeColor="text1"/>
                <w:szCs w:val="21"/>
              </w:rPr>
              <w:t>0.12%</w:t>
            </w:r>
          </w:p>
        </w:tc>
        <w:tc>
          <w:tcPr>
            <w:tcW w:w="1291" w:type="dxa"/>
            <w:vAlign w:val="center"/>
          </w:tcPr>
          <w:p w:rsidR="002E1E82" w:rsidRDefault="00435EFF">
            <w:pPr>
              <w:jc w:val="right"/>
            </w:pPr>
            <w:r>
              <w:rPr>
                <w:rFonts w:eastAsiaTheme="minorEastAsia"/>
                <w:color w:val="000000" w:themeColor="text1"/>
                <w:szCs w:val="21"/>
              </w:rPr>
              <w:t>-3.41%</w:t>
            </w:r>
          </w:p>
        </w:tc>
        <w:tc>
          <w:tcPr>
            <w:tcW w:w="1291" w:type="dxa"/>
            <w:vAlign w:val="center"/>
          </w:tcPr>
          <w:p w:rsidR="002E1E82" w:rsidRDefault="00435EFF">
            <w:pPr>
              <w:jc w:val="right"/>
            </w:pPr>
            <w:r>
              <w:rPr>
                <w:rFonts w:eastAsiaTheme="minorEastAsia"/>
                <w:color w:val="000000" w:themeColor="text1"/>
                <w:szCs w:val="21"/>
              </w:rPr>
              <w:t>0.09%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E1E82">
        <w:tc>
          <w:tcPr>
            <w:tcW w:w="1290" w:type="dxa"/>
            <w:vAlign w:val="center"/>
          </w:tcPr>
          <w:p w:rsidR="002E1E82" w:rsidRDefault="00435EFF">
            <w:pPr>
              <w:jc w:val="left"/>
            </w:pPr>
            <w:r>
              <w:rPr>
                <w:rFonts w:eastAsiaTheme="minorEastAsia"/>
                <w:color w:val="000000" w:themeColor="text1"/>
                <w:szCs w:val="21"/>
              </w:rPr>
              <w:t>过去三个月</w:t>
            </w:r>
          </w:p>
        </w:tc>
        <w:tc>
          <w:tcPr>
            <w:tcW w:w="1291" w:type="dxa"/>
            <w:vAlign w:val="center"/>
          </w:tcPr>
          <w:p w:rsidR="002E1E82" w:rsidRDefault="00435EFF">
            <w:pPr>
              <w:jc w:val="right"/>
            </w:pPr>
            <w:r>
              <w:rPr>
                <w:rFonts w:eastAsiaTheme="minorEastAsia"/>
                <w:color w:val="000000" w:themeColor="text1"/>
                <w:szCs w:val="21"/>
              </w:rPr>
              <w:t>0.58%</w:t>
            </w:r>
          </w:p>
        </w:tc>
        <w:tc>
          <w:tcPr>
            <w:tcW w:w="1291" w:type="dxa"/>
            <w:vAlign w:val="center"/>
          </w:tcPr>
          <w:p w:rsidR="002E1E82" w:rsidRDefault="00435EFF">
            <w:pPr>
              <w:jc w:val="right"/>
            </w:pPr>
            <w:r>
              <w:rPr>
                <w:rFonts w:eastAsiaTheme="minorEastAsia"/>
                <w:color w:val="000000" w:themeColor="text1"/>
                <w:szCs w:val="21"/>
              </w:rPr>
              <w:t>0.24%</w:t>
            </w:r>
          </w:p>
        </w:tc>
        <w:tc>
          <w:tcPr>
            <w:tcW w:w="1291" w:type="dxa"/>
            <w:vAlign w:val="center"/>
          </w:tcPr>
          <w:p w:rsidR="002E1E82" w:rsidRDefault="00435EFF">
            <w:pPr>
              <w:jc w:val="right"/>
            </w:pPr>
            <w:r>
              <w:rPr>
                <w:rFonts w:eastAsiaTheme="minorEastAsia"/>
                <w:color w:val="000000" w:themeColor="text1"/>
                <w:szCs w:val="21"/>
              </w:rPr>
              <w:t>0.93%</w:t>
            </w:r>
          </w:p>
        </w:tc>
        <w:tc>
          <w:tcPr>
            <w:tcW w:w="1291" w:type="dxa"/>
            <w:vAlign w:val="center"/>
          </w:tcPr>
          <w:p w:rsidR="002E1E82" w:rsidRDefault="00435EFF">
            <w:pPr>
              <w:jc w:val="right"/>
            </w:pPr>
            <w:r>
              <w:rPr>
                <w:rFonts w:eastAsiaTheme="minorEastAsia"/>
                <w:color w:val="000000" w:themeColor="text1"/>
                <w:szCs w:val="21"/>
              </w:rPr>
              <w:t>0.18%</w:t>
            </w:r>
          </w:p>
        </w:tc>
        <w:tc>
          <w:tcPr>
            <w:tcW w:w="1291" w:type="dxa"/>
            <w:vAlign w:val="center"/>
          </w:tcPr>
          <w:p w:rsidR="002E1E82" w:rsidRDefault="00435EFF">
            <w:pPr>
              <w:jc w:val="right"/>
            </w:pPr>
            <w:r>
              <w:rPr>
                <w:rFonts w:eastAsiaTheme="minorEastAsia"/>
                <w:color w:val="000000" w:themeColor="text1"/>
                <w:szCs w:val="21"/>
              </w:rPr>
              <w:t>-0.35%</w:t>
            </w:r>
          </w:p>
        </w:tc>
        <w:tc>
          <w:tcPr>
            <w:tcW w:w="1291" w:type="dxa"/>
            <w:vAlign w:val="center"/>
          </w:tcPr>
          <w:p w:rsidR="002E1E82" w:rsidRDefault="00435EFF">
            <w:pPr>
              <w:jc w:val="right"/>
            </w:pPr>
            <w:r>
              <w:rPr>
                <w:rFonts w:eastAsiaTheme="minorEastAsia"/>
                <w:color w:val="000000" w:themeColor="text1"/>
                <w:szCs w:val="21"/>
              </w:rPr>
              <w:t>0.06%</w:t>
            </w:r>
          </w:p>
        </w:tc>
      </w:tr>
      <w:tr w:rsidR="002E1E82">
        <w:tc>
          <w:tcPr>
            <w:tcW w:w="1290" w:type="dxa"/>
            <w:vAlign w:val="center"/>
          </w:tcPr>
          <w:p w:rsidR="002E1E82" w:rsidRDefault="00435EFF">
            <w:pPr>
              <w:jc w:val="left"/>
            </w:pPr>
            <w:r>
              <w:rPr>
                <w:rFonts w:eastAsiaTheme="minorEastAsia"/>
                <w:color w:val="000000" w:themeColor="text1"/>
                <w:szCs w:val="21"/>
              </w:rPr>
              <w:t>过去六个月</w:t>
            </w:r>
          </w:p>
        </w:tc>
        <w:tc>
          <w:tcPr>
            <w:tcW w:w="1291" w:type="dxa"/>
            <w:vAlign w:val="center"/>
          </w:tcPr>
          <w:p w:rsidR="002E1E82" w:rsidRDefault="00435EFF">
            <w:pPr>
              <w:jc w:val="right"/>
            </w:pPr>
            <w:r>
              <w:rPr>
                <w:rFonts w:eastAsiaTheme="minorEastAsia"/>
                <w:color w:val="000000" w:themeColor="text1"/>
                <w:szCs w:val="21"/>
              </w:rPr>
              <w:t>4.19%</w:t>
            </w:r>
          </w:p>
        </w:tc>
        <w:tc>
          <w:tcPr>
            <w:tcW w:w="1291" w:type="dxa"/>
            <w:vAlign w:val="center"/>
          </w:tcPr>
          <w:p w:rsidR="002E1E82" w:rsidRDefault="00435EFF">
            <w:pPr>
              <w:jc w:val="right"/>
            </w:pPr>
            <w:r>
              <w:rPr>
                <w:rFonts w:eastAsiaTheme="minorEastAsia"/>
                <w:color w:val="000000" w:themeColor="text1"/>
                <w:szCs w:val="21"/>
              </w:rPr>
              <w:t>0.29%</w:t>
            </w:r>
          </w:p>
        </w:tc>
        <w:tc>
          <w:tcPr>
            <w:tcW w:w="1291" w:type="dxa"/>
            <w:vAlign w:val="center"/>
          </w:tcPr>
          <w:p w:rsidR="002E1E82" w:rsidRDefault="00435EFF">
            <w:pPr>
              <w:jc w:val="right"/>
            </w:pPr>
            <w:r>
              <w:rPr>
                <w:rFonts w:eastAsiaTheme="minorEastAsia"/>
                <w:color w:val="000000" w:themeColor="text1"/>
                <w:szCs w:val="21"/>
              </w:rPr>
              <w:t>3.04%</w:t>
            </w:r>
          </w:p>
        </w:tc>
        <w:tc>
          <w:tcPr>
            <w:tcW w:w="1291" w:type="dxa"/>
            <w:vAlign w:val="center"/>
          </w:tcPr>
          <w:p w:rsidR="002E1E82" w:rsidRDefault="00435EFF">
            <w:pPr>
              <w:jc w:val="right"/>
            </w:pPr>
            <w:r>
              <w:rPr>
                <w:rFonts w:eastAsiaTheme="minorEastAsia"/>
                <w:color w:val="000000" w:themeColor="text1"/>
                <w:szCs w:val="21"/>
              </w:rPr>
              <w:t>0.17%</w:t>
            </w:r>
          </w:p>
        </w:tc>
        <w:tc>
          <w:tcPr>
            <w:tcW w:w="1291" w:type="dxa"/>
            <w:vAlign w:val="center"/>
          </w:tcPr>
          <w:p w:rsidR="002E1E82" w:rsidRDefault="00435EFF">
            <w:pPr>
              <w:jc w:val="right"/>
            </w:pPr>
            <w:r>
              <w:rPr>
                <w:rFonts w:eastAsiaTheme="minorEastAsia"/>
                <w:color w:val="000000" w:themeColor="text1"/>
                <w:szCs w:val="21"/>
              </w:rPr>
              <w:t>1.15%</w:t>
            </w:r>
          </w:p>
        </w:tc>
        <w:tc>
          <w:tcPr>
            <w:tcW w:w="1291" w:type="dxa"/>
            <w:vAlign w:val="center"/>
          </w:tcPr>
          <w:p w:rsidR="002E1E82" w:rsidRDefault="00435EFF">
            <w:pPr>
              <w:jc w:val="right"/>
            </w:pPr>
            <w:r>
              <w:rPr>
                <w:rFonts w:eastAsiaTheme="minorEastAsia"/>
                <w:color w:val="000000" w:themeColor="text1"/>
                <w:szCs w:val="21"/>
              </w:rPr>
              <w:t>0.12%</w:t>
            </w:r>
          </w:p>
        </w:tc>
      </w:tr>
      <w:tr w:rsidR="002E1E82">
        <w:tc>
          <w:tcPr>
            <w:tcW w:w="1290" w:type="dxa"/>
            <w:vAlign w:val="center"/>
          </w:tcPr>
          <w:p w:rsidR="002E1E82" w:rsidRDefault="00435EFF">
            <w:pPr>
              <w:jc w:val="left"/>
            </w:pPr>
            <w:r>
              <w:rPr>
                <w:rFonts w:eastAsiaTheme="minorEastAsia"/>
                <w:color w:val="000000" w:themeColor="text1"/>
                <w:szCs w:val="21"/>
              </w:rPr>
              <w:t>过去一年</w:t>
            </w:r>
          </w:p>
        </w:tc>
        <w:tc>
          <w:tcPr>
            <w:tcW w:w="1291" w:type="dxa"/>
            <w:vAlign w:val="center"/>
          </w:tcPr>
          <w:p w:rsidR="002E1E82" w:rsidRDefault="00435EFF">
            <w:pPr>
              <w:jc w:val="right"/>
            </w:pPr>
            <w:r>
              <w:rPr>
                <w:rFonts w:eastAsiaTheme="minorEastAsia"/>
                <w:color w:val="000000" w:themeColor="text1"/>
                <w:szCs w:val="21"/>
              </w:rPr>
              <w:t>4.45%</w:t>
            </w:r>
          </w:p>
        </w:tc>
        <w:tc>
          <w:tcPr>
            <w:tcW w:w="1291" w:type="dxa"/>
            <w:vAlign w:val="center"/>
          </w:tcPr>
          <w:p w:rsidR="002E1E82" w:rsidRDefault="00435EFF">
            <w:pPr>
              <w:jc w:val="right"/>
            </w:pPr>
            <w:r>
              <w:rPr>
                <w:rFonts w:eastAsiaTheme="minorEastAsia"/>
                <w:color w:val="000000" w:themeColor="text1"/>
                <w:szCs w:val="21"/>
              </w:rPr>
              <w:t>0.28%</w:t>
            </w:r>
          </w:p>
        </w:tc>
        <w:tc>
          <w:tcPr>
            <w:tcW w:w="1291" w:type="dxa"/>
            <w:vAlign w:val="center"/>
          </w:tcPr>
          <w:p w:rsidR="002E1E82" w:rsidRDefault="00435EFF">
            <w:pPr>
              <w:jc w:val="right"/>
            </w:pPr>
            <w:r>
              <w:rPr>
                <w:rFonts w:eastAsiaTheme="minorEastAsia"/>
                <w:color w:val="000000" w:themeColor="text1"/>
                <w:szCs w:val="21"/>
              </w:rPr>
              <w:t>4.60%</w:t>
            </w:r>
          </w:p>
        </w:tc>
        <w:tc>
          <w:tcPr>
            <w:tcW w:w="1291" w:type="dxa"/>
            <w:vAlign w:val="center"/>
          </w:tcPr>
          <w:p w:rsidR="002E1E82" w:rsidRDefault="00435EFF">
            <w:pPr>
              <w:jc w:val="right"/>
            </w:pPr>
            <w:r>
              <w:rPr>
                <w:rFonts w:eastAsiaTheme="minorEastAsia"/>
                <w:color w:val="000000" w:themeColor="text1"/>
                <w:szCs w:val="21"/>
              </w:rPr>
              <w:t>0.14%</w:t>
            </w:r>
          </w:p>
        </w:tc>
        <w:tc>
          <w:tcPr>
            <w:tcW w:w="1291" w:type="dxa"/>
            <w:vAlign w:val="center"/>
          </w:tcPr>
          <w:p w:rsidR="002E1E82" w:rsidRDefault="00435EFF">
            <w:pPr>
              <w:jc w:val="right"/>
            </w:pPr>
            <w:r>
              <w:rPr>
                <w:rFonts w:eastAsiaTheme="minorEastAsia"/>
                <w:color w:val="000000" w:themeColor="text1"/>
                <w:szCs w:val="21"/>
              </w:rPr>
              <w:t>-0.15%</w:t>
            </w:r>
          </w:p>
        </w:tc>
        <w:tc>
          <w:tcPr>
            <w:tcW w:w="1291" w:type="dxa"/>
            <w:vAlign w:val="center"/>
          </w:tcPr>
          <w:p w:rsidR="002E1E82" w:rsidRDefault="00435EFF">
            <w:pPr>
              <w:jc w:val="right"/>
            </w:pPr>
            <w:r>
              <w:rPr>
                <w:rFonts w:eastAsiaTheme="minorEastAsia"/>
                <w:color w:val="000000" w:themeColor="text1"/>
                <w:szCs w:val="21"/>
              </w:rPr>
              <w:t>0.14%</w:t>
            </w:r>
          </w:p>
        </w:tc>
      </w:tr>
      <w:tr w:rsidR="002E1E82">
        <w:tc>
          <w:tcPr>
            <w:tcW w:w="1290" w:type="dxa"/>
            <w:vAlign w:val="center"/>
          </w:tcPr>
          <w:p w:rsidR="002E1E82" w:rsidRDefault="00435EFF">
            <w:pPr>
              <w:jc w:val="left"/>
            </w:pPr>
            <w:r>
              <w:rPr>
                <w:rFonts w:eastAsiaTheme="minorEastAsia"/>
                <w:color w:val="000000" w:themeColor="text1"/>
                <w:szCs w:val="21"/>
              </w:rPr>
              <w:t>过去三年</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r>
      <w:tr w:rsidR="002E1E82">
        <w:tc>
          <w:tcPr>
            <w:tcW w:w="1290" w:type="dxa"/>
            <w:vAlign w:val="center"/>
          </w:tcPr>
          <w:p w:rsidR="002E1E82" w:rsidRDefault="00435EFF">
            <w:pPr>
              <w:jc w:val="left"/>
            </w:pPr>
            <w:r>
              <w:rPr>
                <w:rFonts w:eastAsiaTheme="minorEastAsia"/>
                <w:color w:val="000000" w:themeColor="text1"/>
                <w:szCs w:val="21"/>
              </w:rPr>
              <w:t>过去五年</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c>
          <w:tcPr>
            <w:tcW w:w="1291" w:type="dxa"/>
            <w:vAlign w:val="center"/>
          </w:tcPr>
          <w:p w:rsidR="002E1E82" w:rsidRDefault="00435EFF">
            <w:pPr>
              <w:jc w:val="right"/>
            </w:pPr>
            <w:r>
              <w:rPr>
                <w:rFonts w:eastAsiaTheme="minorEastAsia"/>
                <w:color w:val="000000" w:themeColor="text1"/>
                <w:szCs w:val="21"/>
              </w:rPr>
              <w:t>-</w:t>
            </w:r>
          </w:p>
        </w:tc>
      </w:tr>
      <w:tr w:rsidR="002E1E82">
        <w:tc>
          <w:tcPr>
            <w:tcW w:w="1290" w:type="dxa"/>
            <w:vAlign w:val="center"/>
          </w:tcPr>
          <w:p w:rsidR="002E1E82" w:rsidRDefault="00435EFF">
            <w:pPr>
              <w:jc w:val="left"/>
            </w:pPr>
            <w:r>
              <w:rPr>
                <w:rFonts w:eastAsiaTheme="minorEastAsia"/>
                <w:color w:val="000000" w:themeColor="text1"/>
                <w:szCs w:val="21"/>
              </w:rPr>
              <w:t>自基金合同生效起至今</w:t>
            </w:r>
          </w:p>
        </w:tc>
        <w:tc>
          <w:tcPr>
            <w:tcW w:w="1291" w:type="dxa"/>
            <w:vAlign w:val="center"/>
          </w:tcPr>
          <w:p w:rsidR="002E1E82" w:rsidRDefault="00435EFF">
            <w:pPr>
              <w:jc w:val="right"/>
            </w:pPr>
            <w:r>
              <w:rPr>
                <w:rFonts w:eastAsiaTheme="minorEastAsia"/>
                <w:color w:val="000000" w:themeColor="text1"/>
                <w:szCs w:val="21"/>
              </w:rPr>
              <w:t>2.58%</w:t>
            </w:r>
          </w:p>
        </w:tc>
        <w:tc>
          <w:tcPr>
            <w:tcW w:w="1291" w:type="dxa"/>
            <w:vAlign w:val="center"/>
          </w:tcPr>
          <w:p w:rsidR="002E1E82" w:rsidRDefault="00435EFF">
            <w:pPr>
              <w:jc w:val="right"/>
            </w:pPr>
            <w:r>
              <w:rPr>
                <w:rFonts w:eastAsiaTheme="minorEastAsia"/>
                <w:color w:val="000000" w:themeColor="text1"/>
                <w:szCs w:val="21"/>
              </w:rPr>
              <w:t>0.23%</w:t>
            </w:r>
          </w:p>
        </w:tc>
        <w:tc>
          <w:tcPr>
            <w:tcW w:w="1291" w:type="dxa"/>
            <w:vAlign w:val="center"/>
          </w:tcPr>
          <w:p w:rsidR="002E1E82" w:rsidRDefault="00435EFF">
            <w:pPr>
              <w:jc w:val="right"/>
            </w:pPr>
            <w:r>
              <w:rPr>
                <w:rFonts w:eastAsiaTheme="minorEastAsia"/>
                <w:color w:val="000000" w:themeColor="text1"/>
                <w:szCs w:val="21"/>
              </w:rPr>
              <w:t>6.56%</w:t>
            </w:r>
          </w:p>
        </w:tc>
        <w:tc>
          <w:tcPr>
            <w:tcW w:w="1291" w:type="dxa"/>
            <w:vAlign w:val="center"/>
          </w:tcPr>
          <w:p w:rsidR="002E1E82" w:rsidRDefault="00435EFF">
            <w:pPr>
              <w:jc w:val="right"/>
            </w:pPr>
            <w:r>
              <w:rPr>
                <w:rFonts w:eastAsiaTheme="minorEastAsia"/>
                <w:color w:val="000000" w:themeColor="text1"/>
                <w:szCs w:val="21"/>
              </w:rPr>
              <w:t>0.12%</w:t>
            </w:r>
          </w:p>
        </w:tc>
        <w:tc>
          <w:tcPr>
            <w:tcW w:w="1291" w:type="dxa"/>
            <w:vAlign w:val="center"/>
          </w:tcPr>
          <w:p w:rsidR="002E1E82" w:rsidRDefault="00435EFF">
            <w:pPr>
              <w:jc w:val="right"/>
            </w:pPr>
            <w:r>
              <w:rPr>
                <w:rFonts w:eastAsiaTheme="minorEastAsia"/>
                <w:color w:val="000000" w:themeColor="text1"/>
                <w:szCs w:val="21"/>
              </w:rPr>
              <w:t>-3.98%</w:t>
            </w:r>
          </w:p>
        </w:tc>
        <w:tc>
          <w:tcPr>
            <w:tcW w:w="1291" w:type="dxa"/>
            <w:vAlign w:val="center"/>
          </w:tcPr>
          <w:p w:rsidR="002E1E82" w:rsidRDefault="00435EFF">
            <w:pPr>
              <w:jc w:val="right"/>
            </w:pPr>
            <w:r>
              <w:rPr>
                <w:rFonts w:eastAsiaTheme="minorEastAsia"/>
                <w:color w:val="000000" w:themeColor="text1"/>
                <w:szCs w:val="21"/>
              </w:rPr>
              <w:t>0.11%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摩根安享回报一年持有期债券型证券投资基金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E1E82">
        <w:tc>
          <w:tcPr>
            <w:tcW w:w="952" w:type="dxa"/>
            <w:vAlign w:val="center"/>
          </w:tcPr>
          <w:p w:rsidR="002E1E82" w:rsidRDefault="00435EFF">
            <w:pPr>
              <w:jc w:val="center"/>
            </w:pPr>
            <w:r>
              <w:rPr>
                <w:rFonts w:eastAsiaTheme="minorEastAsia"/>
                <w:color w:val="000000" w:themeColor="text1"/>
                <w:szCs w:val="21"/>
              </w:rPr>
              <w:t>陈圆明</w:t>
            </w:r>
          </w:p>
        </w:tc>
        <w:tc>
          <w:tcPr>
            <w:tcW w:w="930" w:type="dxa"/>
            <w:vAlign w:val="center"/>
          </w:tcPr>
          <w:p w:rsidR="002E1E82" w:rsidRDefault="00435EFF">
            <w:pPr>
              <w:jc w:val="center"/>
            </w:pPr>
            <w:r>
              <w:rPr>
                <w:rFonts w:eastAsiaTheme="minorEastAsia"/>
                <w:color w:val="000000" w:themeColor="text1"/>
                <w:szCs w:val="21"/>
              </w:rPr>
              <w:t>本基金基金经理、绝对收益投资部总监</w:t>
            </w:r>
          </w:p>
        </w:tc>
        <w:tc>
          <w:tcPr>
            <w:tcW w:w="1210" w:type="dxa"/>
            <w:vAlign w:val="center"/>
          </w:tcPr>
          <w:p w:rsidR="002E1E82" w:rsidRDefault="00435EFF">
            <w:pPr>
              <w:jc w:val="center"/>
            </w:pPr>
            <w:r>
              <w:rPr>
                <w:rFonts w:eastAsiaTheme="minorEastAsia"/>
                <w:color w:val="000000" w:themeColor="text1"/>
                <w:szCs w:val="21"/>
              </w:rPr>
              <w:t>2021-02-08</w:t>
            </w:r>
          </w:p>
        </w:tc>
        <w:tc>
          <w:tcPr>
            <w:tcW w:w="1309" w:type="dxa"/>
            <w:vAlign w:val="center"/>
          </w:tcPr>
          <w:p w:rsidR="002E1E82" w:rsidRDefault="00435EFF">
            <w:pPr>
              <w:jc w:val="center"/>
            </w:pPr>
            <w:r>
              <w:rPr>
                <w:rFonts w:eastAsiaTheme="minorEastAsia"/>
                <w:color w:val="000000" w:themeColor="text1"/>
                <w:szCs w:val="21"/>
              </w:rPr>
              <w:t>-</w:t>
            </w:r>
          </w:p>
        </w:tc>
        <w:tc>
          <w:tcPr>
            <w:tcW w:w="1254" w:type="dxa"/>
            <w:vAlign w:val="center"/>
          </w:tcPr>
          <w:p w:rsidR="002E1E82" w:rsidRDefault="00435EFF">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2E1E82" w:rsidRDefault="00435EFF">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2E1E82">
        <w:tc>
          <w:tcPr>
            <w:tcW w:w="952" w:type="dxa"/>
            <w:vAlign w:val="center"/>
          </w:tcPr>
          <w:p w:rsidR="002E1E82" w:rsidRDefault="00435EFF">
            <w:pPr>
              <w:jc w:val="center"/>
            </w:pPr>
            <w:r>
              <w:rPr>
                <w:rFonts w:eastAsiaTheme="minorEastAsia"/>
                <w:color w:val="000000" w:themeColor="text1"/>
                <w:szCs w:val="21"/>
              </w:rPr>
              <w:t>王娟</w:t>
            </w:r>
          </w:p>
        </w:tc>
        <w:tc>
          <w:tcPr>
            <w:tcW w:w="930" w:type="dxa"/>
            <w:vAlign w:val="center"/>
          </w:tcPr>
          <w:p w:rsidR="002E1E82" w:rsidRDefault="00435EFF">
            <w:pPr>
              <w:jc w:val="center"/>
            </w:pPr>
            <w:r>
              <w:rPr>
                <w:rFonts w:eastAsiaTheme="minorEastAsia"/>
                <w:color w:val="000000" w:themeColor="text1"/>
                <w:szCs w:val="21"/>
              </w:rPr>
              <w:t>本基金基金经理</w:t>
            </w:r>
          </w:p>
        </w:tc>
        <w:tc>
          <w:tcPr>
            <w:tcW w:w="1210" w:type="dxa"/>
            <w:vAlign w:val="center"/>
          </w:tcPr>
          <w:p w:rsidR="002E1E82" w:rsidRDefault="00435EFF">
            <w:pPr>
              <w:jc w:val="center"/>
            </w:pPr>
            <w:r>
              <w:rPr>
                <w:rFonts w:eastAsiaTheme="minorEastAsia"/>
                <w:color w:val="000000" w:themeColor="text1"/>
                <w:szCs w:val="21"/>
              </w:rPr>
              <w:t>2022-11-25</w:t>
            </w:r>
          </w:p>
        </w:tc>
        <w:tc>
          <w:tcPr>
            <w:tcW w:w="1309" w:type="dxa"/>
            <w:vAlign w:val="center"/>
          </w:tcPr>
          <w:p w:rsidR="002E1E82" w:rsidRDefault="00435EFF">
            <w:pPr>
              <w:jc w:val="center"/>
            </w:pPr>
            <w:r>
              <w:rPr>
                <w:rFonts w:eastAsiaTheme="minorEastAsia"/>
                <w:color w:val="000000" w:themeColor="text1"/>
                <w:szCs w:val="21"/>
              </w:rPr>
              <w:t>-</w:t>
            </w:r>
          </w:p>
        </w:tc>
        <w:tc>
          <w:tcPr>
            <w:tcW w:w="1254" w:type="dxa"/>
            <w:vAlign w:val="center"/>
          </w:tcPr>
          <w:p w:rsidR="002E1E82" w:rsidRDefault="00435EFF">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2E1E82" w:rsidRDefault="00435EFF">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2E1E82">
        <w:tc>
          <w:tcPr>
            <w:tcW w:w="952" w:type="dxa"/>
            <w:vAlign w:val="center"/>
          </w:tcPr>
          <w:p w:rsidR="002E1E82" w:rsidRDefault="00435EFF">
            <w:pPr>
              <w:jc w:val="center"/>
            </w:pPr>
            <w:r>
              <w:rPr>
                <w:rFonts w:eastAsiaTheme="minorEastAsia"/>
                <w:color w:val="000000" w:themeColor="text1"/>
                <w:szCs w:val="21"/>
              </w:rPr>
              <w:t>杨鹏</w:t>
            </w:r>
          </w:p>
        </w:tc>
        <w:tc>
          <w:tcPr>
            <w:tcW w:w="930" w:type="dxa"/>
            <w:vAlign w:val="center"/>
          </w:tcPr>
          <w:p w:rsidR="002E1E82" w:rsidRDefault="00435EFF">
            <w:pPr>
              <w:jc w:val="center"/>
            </w:pPr>
            <w:r>
              <w:rPr>
                <w:rFonts w:eastAsiaTheme="minorEastAsia"/>
                <w:color w:val="000000" w:themeColor="text1"/>
                <w:szCs w:val="21"/>
              </w:rPr>
              <w:t>本基金基金经理</w:t>
            </w:r>
          </w:p>
        </w:tc>
        <w:tc>
          <w:tcPr>
            <w:tcW w:w="1210" w:type="dxa"/>
            <w:vAlign w:val="center"/>
          </w:tcPr>
          <w:p w:rsidR="002E1E82" w:rsidRDefault="00435EFF">
            <w:pPr>
              <w:jc w:val="center"/>
            </w:pPr>
            <w:r>
              <w:rPr>
                <w:rFonts w:eastAsiaTheme="minorEastAsia"/>
                <w:color w:val="000000" w:themeColor="text1"/>
                <w:szCs w:val="21"/>
              </w:rPr>
              <w:t>2023-09-15</w:t>
            </w:r>
          </w:p>
        </w:tc>
        <w:tc>
          <w:tcPr>
            <w:tcW w:w="1309" w:type="dxa"/>
            <w:vAlign w:val="center"/>
          </w:tcPr>
          <w:p w:rsidR="002E1E82" w:rsidRDefault="00435EFF">
            <w:pPr>
              <w:jc w:val="center"/>
            </w:pPr>
            <w:r>
              <w:rPr>
                <w:rFonts w:eastAsiaTheme="minorEastAsia"/>
                <w:color w:val="000000" w:themeColor="text1"/>
                <w:szCs w:val="21"/>
              </w:rPr>
              <w:t>-</w:t>
            </w:r>
          </w:p>
        </w:tc>
        <w:tc>
          <w:tcPr>
            <w:tcW w:w="1254" w:type="dxa"/>
            <w:vAlign w:val="center"/>
          </w:tcPr>
          <w:p w:rsidR="002E1E82" w:rsidRDefault="00435EFF">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2E1E82" w:rsidRDefault="00435EFF">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2E1E82" w:rsidRDefault="00435EF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2E1E82" w:rsidRDefault="00435EF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陈圆明先生为本基金首任基金经理，其任职日期指本基金基金合同生效之日。</w:t>
      </w:r>
      <w:r>
        <w:rPr>
          <w:rFonts w:eastAsiaTheme="minorEastAsia"/>
          <w:color w:val="000000" w:themeColor="text1"/>
          <w:szCs w:val="21"/>
        </w:rPr>
        <w:t xml:space="preserve"> </w:t>
      </w:r>
    </w:p>
    <w:p w:rsidR="002E1E82" w:rsidRDefault="00435EF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4. </w:t>
      </w:r>
      <w:r w:rsidRPr="00B27A29">
        <w:rPr>
          <w:rFonts w:eastAsiaTheme="minorEastAsia"/>
          <w:color w:val="000000" w:themeColor="text1"/>
          <w:szCs w:val="21"/>
        </w:rPr>
        <w:t>自</w:t>
      </w:r>
      <w:r w:rsidRPr="00B27A29">
        <w:rPr>
          <w:rFonts w:eastAsiaTheme="minorEastAsia"/>
          <w:color w:val="000000" w:themeColor="text1"/>
          <w:szCs w:val="21"/>
        </w:rPr>
        <w:t>2025</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日起，陈圆明先生不再担任本基金的基金经理。</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四季度权益市场呈现震荡格局，中证</w:t>
      </w:r>
      <w:r>
        <w:rPr>
          <w:rFonts w:eastAsiaTheme="minorEastAsia"/>
          <w:color w:val="000000" w:themeColor="text1"/>
          <w:szCs w:val="21"/>
        </w:rPr>
        <w:t>800</w:t>
      </w:r>
      <w:r>
        <w:rPr>
          <w:rFonts w:eastAsiaTheme="minorEastAsia"/>
          <w:color w:val="000000" w:themeColor="text1"/>
          <w:szCs w:val="21"/>
        </w:rPr>
        <w:t>下跌</w:t>
      </w:r>
      <w:r>
        <w:rPr>
          <w:rFonts w:eastAsiaTheme="minorEastAsia"/>
          <w:color w:val="000000" w:themeColor="text1"/>
          <w:szCs w:val="21"/>
        </w:rPr>
        <w:t>1.62%</w:t>
      </w:r>
      <w:r>
        <w:rPr>
          <w:rFonts w:eastAsiaTheme="minorEastAsia"/>
          <w:color w:val="000000" w:themeColor="text1"/>
          <w:szCs w:val="21"/>
        </w:rPr>
        <w:t>。安享回报在基于多资产投资理念之下，以基准为标尺进行校准，</w:t>
      </w:r>
      <w:r>
        <w:rPr>
          <w:rFonts w:eastAsiaTheme="minorEastAsia"/>
          <w:color w:val="000000" w:themeColor="text1"/>
          <w:szCs w:val="21"/>
        </w:rPr>
        <w:t>进行积极的资产配置和投资组合构建，区间实现</w:t>
      </w:r>
      <w:r>
        <w:rPr>
          <w:rFonts w:eastAsiaTheme="minorEastAsia"/>
          <w:color w:val="000000" w:themeColor="text1"/>
          <w:szCs w:val="21"/>
        </w:rPr>
        <w:t>0.68%</w:t>
      </w:r>
      <w:r>
        <w:rPr>
          <w:rFonts w:eastAsiaTheme="minorEastAsia"/>
          <w:color w:val="000000" w:themeColor="text1"/>
          <w:szCs w:val="21"/>
        </w:rPr>
        <w:t>的正收益。就宏观基本面而言，国内经济恢复呈现分化，政策直接支持领域和出口表现较好，政策未支持领域依然疲软，限额以下及非耐用品消费依然偏弱。政策面，中央经济工作会议定调更加积极的财政政策。政府债作为财政发力的重要抓手，在资金端和项目端的支持下，供给节奏或整体提前。降准降息预期升温，叠加机构抢配债券，利率快速下行。海外方面，</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FOMC</w:t>
      </w:r>
      <w:r>
        <w:rPr>
          <w:rFonts w:eastAsiaTheme="minorEastAsia"/>
          <w:color w:val="000000" w:themeColor="text1"/>
          <w:szCs w:val="21"/>
        </w:rPr>
        <w:t>会议声明对未来美国利率调整的措辞更加谨慎，表示当前美国利率接近中性利率水平，美联储正处于或接近放缓降息的时刻。特朗普政策或将</w:t>
      </w:r>
      <w:r>
        <w:rPr>
          <w:rFonts w:eastAsiaTheme="minorEastAsia"/>
          <w:color w:val="000000" w:themeColor="text1"/>
          <w:szCs w:val="21"/>
        </w:rPr>
        <w:t>对美国通胀带来上行压力，明年的降息路径仍具有较大的不确定。</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股方面，四季度以来政府出台一系列的积极政策，但经济触底仍需要时间，基于</w:t>
      </w:r>
      <w:r>
        <w:rPr>
          <w:rFonts w:eastAsiaTheme="minorEastAsia"/>
          <w:color w:val="000000" w:themeColor="text1"/>
          <w:szCs w:val="21"/>
        </w:rPr>
        <w:t>EPS</w:t>
      </w:r>
      <w:r>
        <w:rPr>
          <w:rFonts w:eastAsiaTheme="minorEastAsia"/>
          <w:color w:val="000000" w:themeColor="text1"/>
          <w:szCs w:val="21"/>
        </w:rPr>
        <w:t>的指数修复预计难以快速出现。展望</w:t>
      </w:r>
      <w:r>
        <w:rPr>
          <w:rFonts w:eastAsiaTheme="minorEastAsia"/>
          <w:color w:val="000000" w:themeColor="text1"/>
          <w:szCs w:val="21"/>
        </w:rPr>
        <w:t>2025</w:t>
      </w:r>
      <w:r>
        <w:rPr>
          <w:rFonts w:eastAsiaTheme="minorEastAsia"/>
          <w:color w:val="000000" w:themeColor="text1"/>
          <w:szCs w:val="21"/>
        </w:rPr>
        <w:t>年，消费刺激仍然是有效的对冲投资下滑和出口贸易战风险的重要手段，我们认为</w:t>
      </w:r>
      <w:r>
        <w:rPr>
          <w:rFonts w:eastAsiaTheme="minorEastAsia"/>
          <w:color w:val="000000" w:themeColor="text1"/>
          <w:szCs w:val="21"/>
        </w:rPr>
        <w:t>2024</w:t>
      </w:r>
      <w:r>
        <w:rPr>
          <w:rFonts w:eastAsiaTheme="minorEastAsia"/>
          <w:color w:val="000000" w:themeColor="text1"/>
          <w:szCs w:val="21"/>
        </w:rPr>
        <w:t>年已经出台的细分领域的政策在</w:t>
      </w:r>
      <w:r>
        <w:rPr>
          <w:rFonts w:eastAsiaTheme="minorEastAsia"/>
          <w:color w:val="000000" w:themeColor="text1"/>
          <w:szCs w:val="21"/>
        </w:rPr>
        <w:t>2025</w:t>
      </w:r>
      <w:r>
        <w:rPr>
          <w:rFonts w:eastAsiaTheme="minorEastAsia"/>
          <w:color w:val="000000" w:themeColor="text1"/>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color w:val="000000" w:themeColor="text1"/>
          <w:szCs w:val="21"/>
        </w:rPr>
        <w:t>2025</w:t>
      </w:r>
      <w:r>
        <w:rPr>
          <w:rFonts w:eastAsiaTheme="minorEastAsia"/>
          <w:color w:val="000000" w:themeColor="text1"/>
          <w:szCs w:val="21"/>
        </w:rPr>
        <w:t>年全社会收益率下行的背景下这两类资产仍然具有较高</w:t>
      </w:r>
      <w:r>
        <w:rPr>
          <w:rFonts w:eastAsiaTheme="minorEastAsia"/>
          <w:color w:val="000000" w:themeColor="text1"/>
          <w:szCs w:val="21"/>
        </w:rPr>
        <w:t>的相对配置价值。对于科技进步，智能驾驶和</w:t>
      </w:r>
      <w:r>
        <w:rPr>
          <w:rFonts w:eastAsiaTheme="minorEastAsia"/>
          <w:color w:val="000000" w:themeColor="text1"/>
          <w:szCs w:val="21"/>
        </w:rPr>
        <w:t>AI</w:t>
      </w:r>
      <w:r>
        <w:rPr>
          <w:rFonts w:eastAsiaTheme="minorEastAsia"/>
          <w:color w:val="000000" w:themeColor="text1"/>
          <w:szCs w:val="21"/>
        </w:rPr>
        <w:t>应用会在</w:t>
      </w:r>
      <w:r>
        <w:rPr>
          <w:rFonts w:eastAsiaTheme="minorEastAsia"/>
          <w:color w:val="000000" w:themeColor="text1"/>
          <w:szCs w:val="21"/>
        </w:rPr>
        <w:t>2025</w:t>
      </w:r>
      <w:r>
        <w:rPr>
          <w:rFonts w:eastAsiaTheme="minorEastAsia"/>
          <w:color w:val="000000" w:themeColor="text1"/>
          <w:szCs w:val="21"/>
        </w:rPr>
        <w:t>年预计有持续的产业突破，并将不断落地商业模式。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当前国内经济修复尚不牢固，宽货币导向的确定性较强。财政明年将持续积极发力，因此需要货币政策持续配合抑平流动性波动。央行或将有降准和降息，上半年调降概率较大，下半年则可能根据经济情况与美联储态度相机抉择。在</w:t>
      </w:r>
      <w:r w:rsidRPr="00B27A29">
        <w:rPr>
          <w:rFonts w:eastAsiaTheme="minorEastAsia"/>
          <w:color w:val="000000" w:themeColor="text1"/>
          <w:szCs w:val="21"/>
        </w:rPr>
        <w:t xml:space="preserve"> “</w:t>
      </w:r>
      <w:r w:rsidRPr="00B27A29">
        <w:rPr>
          <w:rFonts w:eastAsiaTheme="minorEastAsia"/>
          <w:color w:val="000000" w:themeColor="text1"/>
          <w:szCs w:val="21"/>
        </w:rPr>
        <w:t>正常的向上倾斜的收益率曲线</w:t>
      </w:r>
      <w:r w:rsidRPr="00B27A29">
        <w:rPr>
          <w:rFonts w:eastAsiaTheme="minorEastAsia"/>
          <w:color w:val="000000" w:themeColor="text1"/>
          <w:szCs w:val="21"/>
        </w:rPr>
        <w:t>”</w:t>
      </w:r>
      <w:r w:rsidRPr="00B27A29">
        <w:rPr>
          <w:rFonts w:eastAsiaTheme="minorEastAsia"/>
          <w:color w:val="000000" w:themeColor="text1"/>
          <w:szCs w:val="21"/>
        </w:rPr>
        <w:t>监管框架下，预计期限利差压缩空间有限，整体或将呈现较为陡峭化的趋势。</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本报告期摩根安享回报一年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:0.68%</w:t>
      </w:r>
      <w:r>
        <w:rPr>
          <w:rFonts w:eastAsiaTheme="minorEastAsia"/>
          <w:color w:val="000000" w:themeColor="text1"/>
          <w:szCs w:val="21"/>
        </w:rPr>
        <w:t>，同期业绩比较基准收益率为</w:t>
      </w:r>
      <w:r>
        <w:rPr>
          <w:rFonts w:eastAsiaTheme="minorEastAsia"/>
          <w:color w:val="000000" w:themeColor="text1"/>
          <w:szCs w:val="21"/>
        </w:rPr>
        <w:t>:0.93%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摩根安享回报一年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6,277,099.65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6,277,099.65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41,843,493.28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84.80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41,843,493.28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84.80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239,987.28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966,464.58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15,157.44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49,342,202.23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2,436,779.79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692,145.30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940,072.90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978,381.20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754,153.62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475,566.84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6,277,099.65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E1E82">
        <w:tc>
          <w:tcPr>
            <w:tcW w:w="817" w:type="dxa"/>
            <w:vAlign w:val="center"/>
          </w:tcPr>
          <w:p w:rsidR="002E1E82" w:rsidRDefault="00435EFF">
            <w:pPr>
              <w:jc w:val="center"/>
            </w:pPr>
            <w:r>
              <w:rPr>
                <w:rFonts w:eastAsiaTheme="minorEastAsia"/>
                <w:kern w:val="0"/>
                <w:szCs w:val="21"/>
              </w:rPr>
              <w:t>1</w:t>
            </w:r>
          </w:p>
        </w:tc>
        <w:tc>
          <w:tcPr>
            <w:tcW w:w="1276" w:type="dxa"/>
            <w:vAlign w:val="center"/>
          </w:tcPr>
          <w:p w:rsidR="002E1E82" w:rsidRDefault="00435EFF">
            <w:pPr>
              <w:jc w:val="center"/>
            </w:pPr>
            <w:r>
              <w:rPr>
                <w:rFonts w:eastAsiaTheme="minorEastAsia"/>
                <w:kern w:val="0"/>
                <w:szCs w:val="21"/>
              </w:rPr>
              <w:t>600941</w:t>
            </w:r>
          </w:p>
        </w:tc>
        <w:tc>
          <w:tcPr>
            <w:tcW w:w="1701" w:type="dxa"/>
            <w:vAlign w:val="center"/>
          </w:tcPr>
          <w:p w:rsidR="002E1E82" w:rsidRDefault="00435EFF">
            <w:pPr>
              <w:jc w:val="center"/>
            </w:pPr>
            <w:r>
              <w:rPr>
                <w:rFonts w:eastAsiaTheme="minorEastAsia"/>
                <w:kern w:val="0"/>
                <w:szCs w:val="21"/>
              </w:rPr>
              <w:t>中国移动</w:t>
            </w:r>
          </w:p>
        </w:tc>
        <w:tc>
          <w:tcPr>
            <w:tcW w:w="1276" w:type="dxa"/>
            <w:vAlign w:val="center"/>
          </w:tcPr>
          <w:p w:rsidR="002E1E82" w:rsidRDefault="00435EFF">
            <w:pPr>
              <w:jc w:val="right"/>
            </w:pPr>
            <w:r>
              <w:rPr>
                <w:rFonts w:eastAsiaTheme="minorEastAsia"/>
                <w:kern w:val="0"/>
                <w:szCs w:val="21"/>
              </w:rPr>
              <w:t>8,245.00</w:t>
            </w:r>
          </w:p>
        </w:tc>
        <w:tc>
          <w:tcPr>
            <w:tcW w:w="1842" w:type="dxa"/>
            <w:vAlign w:val="center"/>
          </w:tcPr>
          <w:p w:rsidR="002E1E82" w:rsidRDefault="00435EFF">
            <w:pPr>
              <w:jc w:val="right"/>
            </w:pPr>
            <w:r>
              <w:rPr>
                <w:rFonts w:eastAsiaTheme="minorEastAsia"/>
                <w:kern w:val="0"/>
                <w:szCs w:val="21"/>
              </w:rPr>
              <w:t>974,229.20</w:t>
            </w:r>
          </w:p>
        </w:tc>
        <w:tc>
          <w:tcPr>
            <w:tcW w:w="1616" w:type="dxa"/>
            <w:vAlign w:val="center"/>
          </w:tcPr>
          <w:p w:rsidR="002E1E82" w:rsidRDefault="00435EFF">
            <w:pPr>
              <w:jc w:val="right"/>
            </w:pPr>
            <w:r>
              <w:rPr>
                <w:rFonts w:eastAsiaTheme="minorEastAsia"/>
                <w:kern w:val="0"/>
                <w:szCs w:val="21"/>
              </w:rPr>
              <w:t>1.99</w:t>
            </w:r>
          </w:p>
        </w:tc>
      </w:tr>
      <w:tr w:rsidR="002E1E82">
        <w:tc>
          <w:tcPr>
            <w:tcW w:w="817" w:type="dxa"/>
            <w:vAlign w:val="center"/>
          </w:tcPr>
          <w:p w:rsidR="002E1E82" w:rsidRDefault="00435EFF">
            <w:pPr>
              <w:jc w:val="center"/>
            </w:pPr>
            <w:r>
              <w:rPr>
                <w:rFonts w:eastAsiaTheme="minorEastAsia"/>
                <w:kern w:val="0"/>
                <w:szCs w:val="21"/>
              </w:rPr>
              <w:t>2</w:t>
            </w:r>
          </w:p>
        </w:tc>
        <w:tc>
          <w:tcPr>
            <w:tcW w:w="1276" w:type="dxa"/>
            <w:vAlign w:val="center"/>
          </w:tcPr>
          <w:p w:rsidR="002E1E82" w:rsidRDefault="00435EFF">
            <w:pPr>
              <w:jc w:val="center"/>
            </w:pPr>
            <w:r>
              <w:rPr>
                <w:rFonts w:eastAsiaTheme="minorEastAsia"/>
                <w:kern w:val="0"/>
                <w:szCs w:val="21"/>
              </w:rPr>
              <w:t>601965</w:t>
            </w:r>
          </w:p>
        </w:tc>
        <w:tc>
          <w:tcPr>
            <w:tcW w:w="1701" w:type="dxa"/>
            <w:vAlign w:val="center"/>
          </w:tcPr>
          <w:p w:rsidR="002E1E82" w:rsidRDefault="00435EFF">
            <w:pPr>
              <w:jc w:val="center"/>
            </w:pPr>
            <w:r>
              <w:rPr>
                <w:rFonts w:eastAsiaTheme="minorEastAsia"/>
                <w:kern w:val="0"/>
                <w:szCs w:val="21"/>
              </w:rPr>
              <w:t>中国汽研</w:t>
            </w:r>
          </w:p>
        </w:tc>
        <w:tc>
          <w:tcPr>
            <w:tcW w:w="1276" w:type="dxa"/>
            <w:vAlign w:val="center"/>
          </w:tcPr>
          <w:p w:rsidR="002E1E82" w:rsidRDefault="00435EFF">
            <w:pPr>
              <w:jc w:val="right"/>
            </w:pPr>
            <w:r>
              <w:rPr>
                <w:rFonts w:eastAsiaTheme="minorEastAsia"/>
                <w:kern w:val="0"/>
                <w:szCs w:val="21"/>
              </w:rPr>
              <w:t>42,801.00</w:t>
            </w:r>
          </w:p>
        </w:tc>
        <w:tc>
          <w:tcPr>
            <w:tcW w:w="1842" w:type="dxa"/>
            <w:vAlign w:val="center"/>
          </w:tcPr>
          <w:p w:rsidR="002E1E82" w:rsidRDefault="00435EFF">
            <w:pPr>
              <w:jc w:val="right"/>
            </w:pPr>
            <w:r>
              <w:rPr>
                <w:rFonts w:eastAsiaTheme="minorEastAsia"/>
                <w:kern w:val="0"/>
                <w:szCs w:val="21"/>
              </w:rPr>
              <w:t>754,153.62</w:t>
            </w:r>
          </w:p>
        </w:tc>
        <w:tc>
          <w:tcPr>
            <w:tcW w:w="1616" w:type="dxa"/>
            <w:vAlign w:val="center"/>
          </w:tcPr>
          <w:p w:rsidR="002E1E82" w:rsidRDefault="00435EFF">
            <w:pPr>
              <w:jc w:val="right"/>
            </w:pPr>
            <w:r>
              <w:rPr>
                <w:rFonts w:eastAsiaTheme="minorEastAsia"/>
                <w:kern w:val="0"/>
                <w:szCs w:val="21"/>
              </w:rPr>
              <w:t>1.54</w:t>
            </w:r>
          </w:p>
        </w:tc>
      </w:tr>
      <w:tr w:rsidR="002E1E82">
        <w:tc>
          <w:tcPr>
            <w:tcW w:w="817" w:type="dxa"/>
            <w:vAlign w:val="center"/>
          </w:tcPr>
          <w:p w:rsidR="002E1E82" w:rsidRDefault="00435EFF">
            <w:pPr>
              <w:jc w:val="center"/>
            </w:pPr>
            <w:r>
              <w:rPr>
                <w:rFonts w:eastAsiaTheme="minorEastAsia"/>
                <w:kern w:val="0"/>
                <w:szCs w:val="21"/>
              </w:rPr>
              <w:t>3</w:t>
            </w:r>
          </w:p>
        </w:tc>
        <w:tc>
          <w:tcPr>
            <w:tcW w:w="1276" w:type="dxa"/>
            <w:vAlign w:val="center"/>
          </w:tcPr>
          <w:p w:rsidR="002E1E82" w:rsidRDefault="00435EFF">
            <w:pPr>
              <w:jc w:val="center"/>
            </w:pPr>
            <w:r>
              <w:rPr>
                <w:rFonts w:eastAsiaTheme="minorEastAsia"/>
                <w:kern w:val="0"/>
                <w:szCs w:val="21"/>
              </w:rPr>
              <w:t>001965</w:t>
            </w:r>
          </w:p>
        </w:tc>
        <w:tc>
          <w:tcPr>
            <w:tcW w:w="1701" w:type="dxa"/>
            <w:vAlign w:val="center"/>
          </w:tcPr>
          <w:p w:rsidR="002E1E82" w:rsidRDefault="00435EFF">
            <w:pPr>
              <w:jc w:val="center"/>
            </w:pPr>
            <w:r>
              <w:rPr>
                <w:rFonts w:eastAsiaTheme="minorEastAsia"/>
                <w:kern w:val="0"/>
                <w:szCs w:val="21"/>
              </w:rPr>
              <w:t>招商公路</w:t>
            </w:r>
          </w:p>
        </w:tc>
        <w:tc>
          <w:tcPr>
            <w:tcW w:w="1276" w:type="dxa"/>
            <w:vAlign w:val="center"/>
          </w:tcPr>
          <w:p w:rsidR="002E1E82" w:rsidRDefault="00435EFF">
            <w:pPr>
              <w:jc w:val="right"/>
            </w:pPr>
            <w:r>
              <w:rPr>
                <w:rFonts w:eastAsiaTheme="minorEastAsia"/>
                <w:kern w:val="0"/>
                <w:szCs w:val="21"/>
              </w:rPr>
              <w:t>42,002.00</w:t>
            </w:r>
          </w:p>
        </w:tc>
        <w:tc>
          <w:tcPr>
            <w:tcW w:w="1842" w:type="dxa"/>
            <w:vAlign w:val="center"/>
          </w:tcPr>
          <w:p w:rsidR="002E1E82" w:rsidRDefault="00435EFF">
            <w:pPr>
              <w:jc w:val="right"/>
            </w:pPr>
            <w:r>
              <w:rPr>
                <w:rFonts w:eastAsiaTheme="minorEastAsia"/>
                <w:kern w:val="0"/>
                <w:szCs w:val="21"/>
              </w:rPr>
              <w:t>585,927.90</w:t>
            </w:r>
          </w:p>
        </w:tc>
        <w:tc>
          <w:tcPr>
            <w:tcW w:w="1616" w:type="dxa"/>
            <w:vAlign w:val="center"/>
          </w:tcPr>
          <w:p w:rsidR="002E1E82" w:rsidRDefault="00435EFF">
            <w:pPr>
              <w:jc w:val="right"/>
            </w:pPr>
            <w:r>
              <w:rPr>
                <w:rFonts w:eastAsiaTheme="minorEastAsia"/>
                <w:kern w:val="0"/>
                <w:szCs w:val="21"/>
              </w:rPr>
              <w:t>1.20</w:t>
            </w:r>
          </w:p>
        </w:tc>
      </w:tr>
      <w:tr w:rsidR="002E1E82">
        <w:tc>
          <w:tcPr>
            <w:tcW w:w="817" w:type="dxa"/>
            <w:vAlign w:val="center"/>
          </w:tcPr>
          <w:p w:rsidR="002E1E82" w:rsidRDefault="00435EFF">
            <w:pPr>
              <w:jc w:val="center"/>
            </w:pPr>
            <w:r>
              <w:rPr>
                <w:rFonts w:eastAsiaTheme="minorEastAsia"/>
                <w:kern w:val="0"/>
                <w:szCs w:val="21"/>
              </w:rPr>
              <w:t>4</w:t>
            </w:r>
          </w:p>
        </w:tc>
        <w:tc>
          <w:tcPr>
            <w:tcW w:w="1276" w:type="dxa"/>
            <w:vAlign w:val="center"/>
          </w:tcPr>
          <w:p w:rsidR="002E1E82" w:rsidRDefault="00435EFF">
            <w:pPr>
              <w:jc w:val="center"/>
            </w:pPr>
            <w:r>
              <w:rPr>
                <w:rFonts w:eastAsiaTheme="minorEastAsia"/>
                <w:kern w:val="0"/>
                <w:szCs w:val="21"/>
              </w:rPr>
              <w:t>600887</w:t>
            </w:r>
          </w:p>
        </w:tc>
        <w:tc>
          <w:tcPr>
            <w:tcW w:w="1701" w:type="dxa"/>
            <w:vAlign w:val="center"/>
          </w:tcPr>
          <w:p w:rsidR="002E1E82" w:rsidRDefault="00435EFF">
            <w:pPr>
              <w:jc w:val="center"/>
            </w:pPr>
            <w:r>
              <w:rPr>
                <w:rFonts w:eastAsiaTheme="minorEastAsia"/>
                <w:kern w:val="0"/>
                <w:szCs w:val="21"/>
              </w:rPr>
              <w:t>伊利股份</w:t>
            </w:r>
          </w:p>
        </w:tc>
        <w:tc>
          <w:tcPr>
            <w:tcW w:w="1276" w:type="dxa"/>
            <w:vAlign w:val="center"/>
          </w:tcPr>
          <w:p w:rsidR="002E1E82" w:rsidRDefault="00435EFF">
            <w:pPr>
              <w:jc w:val="right"/>
            </w:pPr>
            <w:r>
              <w:rPr>
                <w:rFonts w:eastAsiaTheme="minorEastAsia"/>
                <w:kern w:val="0"/>
                <w:szCs w:val="21"/>
              </w:rPr>
              <w:t>15,918.00</w:t>
            </w:r>
          </w:p>
        </w:tc>
        <w:tc>
          <w:tcPr>
            <w:tcW w:w="1842" w:type="dxa"/>
            <w:vAlign w:val="center"/>
          </w:tcPr>
          <w:p w:rsidR="002E1E82" w:rsidRDefault="00435EFF">
            <w:pPr>
              <w:jc w:val="right"/>
            </w:pPr>
            <w:r>
              <w:rPr>
                <w:rFonts w:eastAsiaTheme="minorEastAsia"/>
                <w:kern w:val="0"/>
                <w:szCs w:val="21"/>
              </w:rPr>
              <w:t>480,405.24</w:t>
            </w:r>
          </w:p>
        </w:tc>
        <w:tc>
          <w:tcPr>
            <w:tcW w:w="1616" w:type="dxa"/>
            <w:vAlign w:val="center"/>
          </w:tcPr>
          <w:p w:rsidR="002E1E82" w:rsidRDefault="00435EFF">
            <w:pPr>
              <w:jc w:val="right"/>
            </w:pPr>
            <w:r>
              <w:rPr>
                <w:rFonts w:eastAsiaTheme="minorEastAsia"/>
                <w:kern w:val="0"/>
                <w:szCs w:val="21"/>
              </w:rPr>
              <w:t>0.98</w:t>
            </w:r>
          </w:p>
        </w:tc>
      </w:tr>
      <w:tr w:rsidR="002E1E82">
        <w:tc>
          <w:tcPr>
            <w:tcW w:w="817" w:type="dxa"/>
            <w:vAlign w:val="center"/>
          </w:tcPr>
          <w:p w:rsidR="002E1E82" w:rsidRDefault="00435EFF">
            <w:pPr>
              <w:jc w:val="center"/>
            </w:pPr>
            <w:r>
              <w:rPr>
                <w:rFonts w:eastAsiaTheme="minorEastAsia"/>
                <w:kern w:val="0"/>
                <w:szCs w:val="21"/>
              </w:rPr>
              <w:t>5</w:t>
            </w:r>
          </w:p>
        </w:tc>
        <w:tc>
          <w:tcPr>
            <w:tcW w:w="1276" w:type="dxa"/>
            <w:vAlign w:val="center"/>
          </w:tcPr>
          <w:p w:rsidR="002E1E82" w:rsidRDefault="00435EFF">
            <w:pPr>
              <w:jc w:val="center"/>
            </w:pPr>
            <w:r>
              <w:rPr>
                <w:rFonts w:eastAsiaTheme="minorEastAsia"/>
                <w:kern w:val="0"/>
                <w:szCs w:val="21"/>
              </w:rPr>
              <w:t>000915</w:t>
            </w:r>
          </w:p>
        </w:tc>
        <w:tc>
          <w:tcPr>
            <w:tcW w:w="1701" w:type="dxa"/>
            <w:vAlign w:val="center"/>
          </w:tcPr>
          <w:p w:rsidR="002E1E82" w:rsidRDefault="00435EFF">
            <w:pPr>
              <w:jc w:val="center"/>
            </w:pPr>
            <w:r>
              <w:rPr>
                <w:rFonts w:eastAsiaTheme="minorEastAsia"/>
                <w:kern w:val="0"/>
                <w:szCs w:val="21"/>
              </w:rPr>
              <w:t>华特达因</w:t>
            </w:r>
          </w:p>
        </w:tc>
        <w:tc>
          <w:tcPr>
            <w:tcW w:w="1276" w:type="dxa"/>
            <w:vAlign w:val="center"/>
          </w:tcPr>
          <w:p w:rsidR="002E1E82" w:rsidRDefault="00435EFF">
            <w:pPr>
              <w:jc w:val="right"/>
            </w:pPr>
            <w:r>
              <w:rPr>
                <w:rFonts w:eastAsiaTheme="minorEastAsia"/>
                <w:kern w:val="0"/>
                <w:szCs w:val="21"/>
              </w:rPr>
              <w:t>15,707.00</w:t>
            </w:r>
          </w:p>
        </w:tc>
        <w:tc>
          <w:tcPr>
            <w:tcW w:w="1842" w:type="dxa"/>
            <w:vAlign w:val="center"/>
          </w:tcPr>
          <w:p w:rsidR="002E1E82" w:rsidRDefault="00435EFF">
            <w:pPr>
              <w:jc w:val="right"/>
            </w:pPr>
            <w:r>
              <w:rPr>
                <w:rFonts w:eastAsiaTheme="minorEastAsia"/>
                <w:kern w:val="0"/>
                <w:szCs w:val="21"/>
              </w:rPr>
              <w:t>442,623.26</w:t>
            </w:r>
          </w:p>
        </w:tc>
        <w:tc>
          <w:tcPr>
            <w:tcW w:w="1616" w:type="dxa"/>
            <w:vAlign w:val="center"/>
          </w:tcPr>
          <w:p w:rsidR="002E1E82" w:rsidRDefault="00435EFF">
            <w:pPr>
              <w:jc w:val="right"/>
            </w:pPr>
            <w:r>
              <w:rPr>
                <w:rFonts w:eastAsiaTheme="minorEastAsia"/>
                <w:kern w:val="0"/>
                <w:szCs w:val="21"/>
              </w:rPr>
              <w:t>0.90</w:t>
            </w:r>
          </w:p>
        </w:tc>
      </w:tr>
      <w:tr w:rsidR="002E1E82">
        <w:tc>
          <w:tcPr>
            <w:tcW w:w="817" w:type="dxa"/>
            <w:vAlign w:val="center"/>
          </w:tcPr>
          <w:p w:rsidR="002E1E82" w:rsidRDefault="00435EFF">
            <w:pPr>
              <w:jc w:val="center"/>
            </w:pPr>
            <w:r>
              <w:rPr>
                <w:rFonts w:eastAsiaTheme="minorEastAsia"/>
                <w:kern w:val="0"/>
                <w:szCs w:val="21"/>
              </w:rPr>
              <w:t>6</w:t>
            </w:r>
          </w:p>
        </w:tc>
        <w:tc>
          <w:tcPr>
            <w:tcW w:w="1276" w:type="dxa"/>
            <w:vAlign w:val="center"/>
          </w:tcPr>
          <w:p w:rsidR="002E1E82" w:rsidRDefault="00435EFF">
            <w:pPr>
              <w:jc w:val="center"/>
            </w:pPr>
            <w:r>
              <w:rPr>
                <w:rFonts w:eastAsiaTheme="minorEastAsia"/>
                <w:kern w:val="0"/>
                <w:szCs w:val="21"/>
              </w:rPr>
              <w:t>603199</w:t>
            </w:r>
          </w:p>
        </w:tc>
        <w:tc>
          <w:tcPr>
            <w:tcW w:w="1701" w:type="dxa"/>
            <w:vAlign w:val="center"/>
          </w:tcPr>
          <w:p w:rsidR="002E1E82" w:rsidRDefault="00435EFF">
            <w:pPr>
              <w:jc w:val="center"/>
            </w:pPr>
            <w:r>
              <w:rPr>
                <w:rFonts w:eastAsiaTheme="minorEastAsia"/>
                <w:kern w:val="0"/>
                <w:szCs w:val="21"/>
              </w:rPr>
              <w:t>九华旅游</w:t>
            </w:r>
          </w:p>
        </w:tc>
        <w:tc>
          <w:tcPr>
            <w:tcW w:w="1276" w:type="dxa"/>
            <w:vAlign w:val="center"/>
          </w:tcPr>
          <w:p w:rsidR="002E1E82" w:rsidRDefault="00435EFF">
            <w:pPr>
              <w:jc w:val="right"/>
            </w:pPr>
            <w:r>
              <w:rPr>
                <w:rFonts w:eastAsiaTheme="minorEastAsia"/>
                <w:kern w:val="0"/>
                <w:szCs w:val="21"/>
              </w:rPr>
              <w:t>11,612.00</w:t>
            </w:r>
          </w:p>
        </w:tc>
        <w:tc>
          <w:tcPr>
            <w:tcW w:w="1842" w:type="dxa"/>
            <w:vAlign w:val="center"/>
          </w:tcPr>
          <w:p w:rsidR="002E1E82" w:rsidRDefault="00435EFF">
            <w:pPr>
              <w:jc w:val="right"/>
            </w:pPr>
            <w:r>
              <w:rPr>
                <w:rFonts w:eastAsiaTheme="minorEastAsia"/>
                <w:kern w:val="0"/>
                <w:szCs w:val="21"/>
              </w:rPr>
              <w:t>391,905.00</w:t>
            </w:r>
          </w:p>
        </w:tc>
        <w:tc>
          <w:tcPr>
            <w:tcW w:w="1616" w:type="dxa"/>
            <w:vAlign w:val="center"/>
          </w:tcPr>
          <w:p w:rsidR="002E1E82" w:rsidRDefault="00435EFF">
            <w:pPr>
              <w:jc w:val="right"/>
            </w:pPr>
            <w:r>
              <w:rPr>
                <w:rFonts w:eastAsiaTheme="minorEastAsia"/>
                <w:kern w:val="0"/>
                <w:szCs w:val="21"/>
              </w:rPr>
              <w:t>0.80</w:t>
            </w:r>
          </w:p>
        </w:tc>
      </w:tr>
      <w:tr w:rsidR="002E1E82">
        <w:tc>
          <w:tcPr>
            <w:tcW w:w="817" w:type="dxa"/>
            <w:vAlign w:val="center"/>
          </w:tcPr>
          <w:p w:rsidR="002E1E82" w:rsidRDefault="00435EFF">
            <w:pPr>
              <w:jc w:val="center"/>
            </w:pPr>
            <w:r>
              <w:rPr>
                <w:rFonts w:eastAsiaTheme="minorEastAsia"/>
                <w:kern w:val="0"/>
                <w:szCs w:val="21"/>
              </w:rPr>
              <w:t>7</w:t>
            </w:r>
          </w:p>
        </w:tc>
        <w:tc>
          <w:tcPr>
            <w:tcW w:w="1276" w:type="dxa"/>
            <w:vAlign w:val="center"/>
          </w:tcPr>
          <w:p w:rsidR="002E1E82" w:rsidRDefault="00435EFF">
            <w:pPr>
              <w:jc w:val="center"/>
            </w:pPr>
            <w:r>
              <w:rPr>
                <w:rFonts w:eastAsiaTheme="minorEastAsia"/>
                <w:kern w:val="0"/>
                <w:szCs w:val="21"/>
              </w:rPr>
              <w:t>603885</w:t>
            </w:r>
          </w:p>
        </w:tc>
        <w:tc>
          <w:tcPr>
            <w:tcW w:w="1701" w:type="dxa"/>
            <w:vAlign w:val="center"/>
          </w:tcPr>
          <w:p w:rsidR="002E1E82" w:rsidRDefault="00435EFF">
            <w:pPr>
              <w:jc w:val="center"/>
            </w:pPr>
            <w:r>
              <w:rPr>
                <w:rFonts w:eastAsiaTheme="minorEastAsia"/>
                <w:kern w:val="0"/>
                <w:szCs w:val="21"/>
              </w:rPr>
              <w:t>吉祥航空</w:t>
            </w:r>
          </w:p>
        </w:tc>
        <w:tc>
          <w:tcPr>
            <w:tcW w:w="1276" w:type="dxa"/>
            <w:vAlign w:val="center"/>
          </w:tcPr>
          <w:p w:rsidR="002E1E82" w:rsidRDefault="00435EFF">
            <w:pPr>
              <w:jc w:val="right"/>
            </w:pPr>
            <w:r>
              <w:rPr>
                <w:rFonts w:eastAsiaTheme="minorEastAsia"/>
                <w:kern w:val="0"/>
                <w:szCs w:val="21"/>
              </w:rPr>
              <w:t>25,850.00</w:t>
            </w:r>
          </w:p>
        </w:tc>
        <w:tc>
          <w:tcPr>
            <w:tcW w:w="1842" w:type="dxa"/>
            <w:vAlign w:val="center"/>
          </w:tcPr>
          <w:p w:rsidR="002E1E82" w:rsidRDefault="00435EFF">
            <w:pPr>
              <w:jc w:val="right"/>
            </w:pPr>
            <w:r>
              <w:rPr>
                <w:rFonts w:eastAsiaTheme="minorEastAsia"/>
                <w:kern w:val="0"/>
                <w:szCs w:val="21"/>
              </w:rPr>
              <w:t>354,145.00</w:t>
            </w:r>
          </w:p>
        </w:tc>
        <w:tc>
          <w:tcPr>
            <w:tcW w:w="1616" w:type="dxa"/>
            <w:vAlign w:val="center"/>
          </w:tcPr>
          <w:p w:rsidR="002E1E82" w:rsidRDefault="00435EFF">
            <w:pPr>
              <w:jc w:val="right"/>
            </w:pPr>
            <w:r>
              <w:rPr>
                <w:rFonts w:eastAsiaTheme="minorEastAsia"/>
                <w:kern w:val="0"/>
                <w:szCs w:val="21"/>
              </w:rPr>
              <w:t>0.72</w:t>
            </w:r>
          </w:p>
        </w:tc>
      </w:tr>
      <w:tr w:rsidR="002E1E82">
        <w:tc>
          <w:tcPr>
            <w:tcW w:w="817" w:type="dxa"/>
            <w:vAlign w:val="center"/>
          </w:tcPr>
          <w:p w:rsidR="002E1E82" w:rsidRDefault="00435EFF">
            <w:pPr>
              <w:jc w:val="center"/>
            </w:pPr>
            <w:r>
              <w:rPr>
                <w:rFonts w:eastAsiaTheme="minorEastAsia"/>
                <w:kern w:val="0"/>
                <w:szCs w:val="21"/>
              </w:rPr>
              <w:t>8</w:t>
            </w:r>
          </w:p>
        </w:tc>
        <w:tc>
          <w:tcPr>
            <w:tcW w:w="1276" w:type="dxa"/>
            <w:vAlign w:val="center"/>
          </w:tcPr>
          <w:p w:rsidR="002E1E82" w:rsidRDefault="00435EFF">
            <w:pPr>
              <w:jc w:val="center"/>
            </w:pPr>
            <w:r>
              <w:rPr>
                <w:rFonts w:eastAsiaTheme="minorEastAsia"/>
                <w:kern w:val="0"/>
                <w:szCs w:val="21"/>
              </w:rPr>
              <w:t>600008</w:t>
            </w:r>
          </w:p>
        </w:tc>
        <w:tc>
          <w:tcPr>
            <w:tcW w:w="1701" w:type="dxa"/>
            <w:vAlign w:val="center"/>
          </w:tcPr>
          <w:p w:rsidR="002E1E82" w:rsidRDefault="00435EFF">
            <w:pPr>
              <w:jc w:val="center"/>
            </w:pPr>
            <w:r>
              <w:rPr>
                <w:rFonts w:eastAsiaTheme="minorEastAsia"/>
                <w:kern w:val="0"/>
                <w:szCs w:val="21"/>
              </w:rPr>
              <w:t>首创环保</w:t>
            </w:r>
          </w:p>
        </w:tc>
        <w:tc>
          <w:tcPr>
            <w:tcW w:w="1276" w:type="dxa"/>
            <w:vAlign w:val="center"/>
          </w:tcPr>
          <w:p w:rsidR="002E1E82" w:rsidRDefault="00435EFF">
            <w:pPr>
              <w:jc w:val="right"/>
            </w:pPr>
            <w:r>
              <w:rPr>
                <w:rFonts w:eastAsiaTheme="minorEastAsia"/>
                <w:kern w:val="0"/>
                <w:szCs w:val="21"/>
              </w:rPr>
              <w:t>101,925.00</w:t>
            </w:r>
          </w:p>
        </w:tc>
        <w:tc>
          <w:tcPr>
            <w:tcW w:w="1842" w:type="dxa"/>
            <w:vAlign w:val="center"/>
          </w:tcPr>
          <w:p w:rsidR="002E1E82" w:rsidRDefault="00435EFF">
            <w:pPr>
              <w:jc w:val="right"/>
            </w:pPr>
            <w:r>
              <w:rPr>
                <w:rFonts w:eastAsiaTheme="minorEastAsia"/>
                <w:kern w:val="0"/>
                <w:szCs w:val="21"/>
              </w:rPr>
              <w:t>334,314.00</w:t>
            </w:r>
          </w:p>
        </w:tc>
        <w:tc>
          <w:tcPr>
            <w:tcW w:w="1616" w:type="dxa"/>
            <w:vAlign w:val="center"/>
          </w:tcPr>
          <w:p w:rsidR="002E1E82" w:rsidRDefault="00435EFF">
            <w:pPr>
              <w:jc w:val="right"/>
            </w:pPr>
            <w:r>
              <w:rPr>
                <w:rFonts w:eastAsiaTheme="minorEastAsia"/>
                <w:kern w:val="0"/>
                <w:szCs w:val="21"/>
              </w:rPr>
              <w:t>0.68</w:t>
            </w:r>
          </w:p>
        </w:tc>
      </w:tr>
      <w:tr w:rsidR="002E1E82">
        <w:tc>
          <w:tcPr>
            <w:tcW w:w="817" w:type="dxa"/>
            <w:vAlign w:val="center"/>
          </w:tcPr>
          <w:p w:rsidR="002E1E82" w:rsidRDefault="00435EFF">
            <w:pPr>
              <w:jc w:val="center"/>
            </w:pPr>
            <w:r>
              <w:rPr>
                <w:rFonts w:eastAsiaTheme="minorEastAsia"/>
                <w:kern w:val="0"/>
                <w:szCs w:val="21"/>
              </w:rPr>
              <w:t>9</w:t>
            </w:r>
          </w:p>
        </w:tc>
        <w:tc>
          <w:tcPr>
            <w:tcW w:w="1276" w:type="dxa"/>
            <w:vAlign w:val="center"/>
          </w:tcPr>
          <w:p w:rsidR="002E1E82" w:rsidRDefault="00435EFF">
            <w:pPr>
              <w:jc w:val="center"/>
            </w:pPr>
            <w:r>
              <w:rPr>
                <w:rFonts w:eastAsiaTheme="minorEastAsia"/>
                <w:kern w:val="0"/>
                <w:szCs w:val="21"/>
              </w:rPr>
              <w:t>688311</w:t>
            </w:r>
          </w:p>
        </w:tc>
        <w:tc>
          <w:tcPr>
            <w:tcW w:w="1701" w:type="dxa"/>
            <w:vAlign w:val="center"/>
          </w:tcPr>
          <w:p w:rsidR="002E1E82" w:rsidRDefault="00435EFF">
            <w:pPr>
              <w:jc w:val="center"/>
            </w:pPr>
            <w:r>
              <w:rPr>
                <w:rFonts w:eastAsiaTheme="minorEastAsia"/>
                <w:kern w:val="0"/>
                <w:szCs w:val="21"/>
              </w:rPr>
              <w:t>盟升电子</w:t>
            </w:r>
          </w:p>
        </w:tc>
        <w:tc>
          <w:tcPr>
            <w:tcW w:w="1276" w:type="dxa"/>
            <w:vAlign w:val="center"/>
          </w:tcPr>
          <w:p w:rsidR="002E1E82" w:rsidRDefault="00435EFF">
            <w:pPr>
              <w:jc w:val="right"/>
            </w:pPr>
            <w:r>
              <w:rPr>
                <w:rFonts w:eastAsiaTheme="minorEastAsia"/>
                <w:kern w:val="0"/>
                <w:szCs w:val="21"/>
              </w:rPr>
              <w:t>7,805.00</w:t>
            </w:r>
          </w:p>
        </w:tc>
        <w:tc>
          <w:tcPr>
            <w:tcW w:w="1842" w:type="dxa"/>
            <w:vAlign w:val="center"/>
          </w:tcPr>
          <w:p w:rsidR="002E1E82" w:rsidRDefault="00435EFF">
            <w:pPr>
              <w:jc w:val="right"/>
            </w:pPr>
            <w:r>
              <w:rPr>
                <w:rFonts w:eastAsiaTheme="minorEastAsia"/>
                <w:kern w:val="0"/>
                <w:szCs w:val="21"/>
              </w:rPr>
              <w:t>258,423.55</w:t>
            </w:r>
          </w:p>
        </w:tc>
        <w:tc>
          <w:tcPr>
            <w:tcW w:w="1616" w:type="dxa"/>
            <w:vAlign w:val="center"/>
          </w:tcPr>
          <w:p w:rsidR="002E1E82" w:rsidRDefault="00435EFF">
            <w:pPr>
              <w:jc w:val="right"/>
            </w:pPr>
            <w:r>
              <w:rPr>
                <w:rFonts w:eastAsiaTheme="minorEastAsia"/>
                <w:kern w:val="0"/>
                <w:szCs w:val="21"/>
              </w:rPr>
              <w:t>0.53</w:t>
            </w:r>
          </w:p>
        </w:tc>
      </w:tr>
      <w:tr w:rsidR="002E1E82">
        <w:tc>
          <w:tcPr>
            <w:tcW w:w="817" w:type="dxa"/>
            <w:vAlign w:val="center"/>
          </w:tcPr>
          <w:p w:rsidR="002E1E82" w:rsidRDefault="00435EFF">
            <w:pPr>
              <w:jc w:val="center"/>
            </w:pPr>
            <w:r>
              <w:rPr>
                <w:rFonts w:eastAsiaTheme="minorEastAsia"/>
                <w:kern w:val="0"/>
                <w:szCs w:val="21"/>
              </w:rPr>
              <w:t>10</w:t>
            </w:r>
          </w:p>
        </w:tc>
        <w:tc>
          <w:tcPr>
            <w:tcW w:w="1276" w:type="dxa"/>
            <w:vAlign w:val="center"/>
          </w:tcPr>
          <w:p w:rsidR="002E1E82" w:rsidRDefault="00435EFF">
            <w:pPr>
              <w:jc w:val="center"/>
            </w:pPr>
            <w:r>
              <w:rPr>
                <w:rFonts w:eastAsiaTheme="minorEastAsia"/>
                <w:kern w:val="0"/>
                <w:szCs w:val="21"/>
              </w:rPr>
              <w:t>002557</w:t>
            </w:r>
          </w:p>
        </w:tc>
        <w:tc>
          <w:tcPr>
            <w:tcW w:w="1701" w:type="dxa"/>
            <w:vAlign w:val="center"/>
          </w:tcPr>
          <w:p w:rsidR="002E1E82" w:rsidRDefault="00435EFF">
            <w:pPr>
              <w:jc w:val="center"/>
            </w:pPr>
            <w:r>
              <w:rPr>
                <w:rFonts w:eastAsiaTheme="minorEastAsia"/>
                <w:kern w:val="0"/>
                <w:szCs w:val="21"/>
              </w:rPr>
              <w:t>洽洽食品</w:t>
            </w:r>
          </w:p>
        </w:tc>
        <w:tc>
          <w:tcPr>
            <w:tcW w:w="1276" w:type="dxa"/>
            <w:vAlign w:val="center"/>
          </w:tcPr>
          <w:p w:rsidR="002E1E82" w:rsidRDefault="00435EFF">
            <w:pPr>
              <w:jc w:val="right"/>
            </w:pPr>
            <w:r>
              <w:rPr>
                <w:rFonts w:eastAsiaTheme="minorEastAsia"/>
                <w:kern w:val="0"/>
                <w:szCs w:val="21"/>
              </w:rPr>
              <w:t>8,244.00</w:t>
            </w:r>
          </w:p>
        </w:tc>
        <w:tc>
          <w:tcPr>
            <w:tcW w:w="1842" w:type="dxa"/>
            <w:vAlign w:val="center"/>
          </w:tcPr>
          <w:p w:rsidR="002E1E82" w:rsidRDefault="00435EFF">
            <w:pPr>
              <w:jc w:val="right"/>
            </w:pPr>
            <w:r>
              <w:rPr>
                <w:rFonts w:eastAsiaTheme="minorEastAsia"/>
                <w:kern w:val="0"/>
                <w:szCs w:val="21"/>
              </w:rPr>
              <w:t>239,488.20</w:t>
            </w:r>
          </w:p>
        </w:tc>
        <w:tc>
          <w:tcPr>
            <w:tcW w:w="1616" w:type="dxa"/>
            <w:vAlign w:val="center"/>
          </w:tcPr>
          <w:p w:rsidR="002E1E82" w:rsidRDefault="00435EFF">
            <w:pPr>
              <w:jc w:val="right"/>
            </w:pPr>
            <w:r>
              <w:rPr>
                <w:rFonts w:eastAsiaTheme="minorEastAsia"/>
                <w:kern w:val="0"/>
                <w:szCs w:val="21"/>
              </w:rPr>
              <w:t>0.49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10,169,791.07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16,211,421.26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6,043,815.67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7,096,853.54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2,321,611.74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41,843,493.28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E1E82">
        <w:tc>
          <w:tcPr>
            <w:tcW w:w="1504" w:type="dxa"/>
            <w:vAlign w:val="center"/>
          </w:tcPr>
          <w:p w:rsidR="002E1E82" w:rsidRDefault="00435EFF">
            <w:pPr>
              <w:jc w:val="center"/>
            </w:pPr>
            <w:r>
              <w:rPr>
                <w:rFonts w:eastAsiaTheme="minorEastAsia"/>
                <w:color w:val="000000" w:themeColor="text1"/>
                <w:szCs w:val="21"/>
              </w:rPr>
              <w:t>1</w:t>
            </w:r>
          </w:p>
        </w:tc>
        <w:tc>
          <w:tcPr>
            <w:tcW w:w="1504" w:type="dxa"/>
            <w:vAlign w:val="center"/>
          </w:tcPr>
          <w:p w:rsidR="002E1E82" w:rsidRDefault="00435EFF">
            <w:pPr>
              <w:jc w:val="center"/>
            </w:pPr>
            <w:r>
              <w:rPr>
                <w:rFonts w:eastAsiaTheme="minorEastAsia"/>
                <w:color w:val="000000" w:themeColor="text1"/>
                <w:szCs w:val="21"/>
              </w:rPr>
              <w:t>019749</w:t>
            </w:r>
          </w:p>
        </w:tc>
        <w:tc>
          <w:tcPr>
            <w:tcW w:w="1504" w:type="dxa"/>
            <w:vAlign w:val="center"/>
          </w:tcPr>
          <w:p w:rsidR="002E1E82" w:rsidRDefault="00435EFF">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503" w:type="dxa"/>
            <w:vAlign w:val="center"/>
          </w:tcPr>
          <w:p w:rsidR="002E1E82" w:rsidRDefault="00435EFF">
            <w:pPr>
              <w:jc w:val="right"/>
            </w:pPr>
            <w:r>
              <w:rPr>
                <w:rFonts w:eastAsiaTheme="minorEastAsia"/>
                <w:color w:val="000000" w:themeColor="text1"/>
                <w:szCs w:val="21"/>
              </w:rPr>
              <w:t>91,000</w:t>
            </w:r>
          </w:p>
        </w:tc>
        <w:tc>
          <w:tcPr>
            <w:tcW w:w="1503" w:type="dxa"/>
            <w:vAlign w:val="center"/>
          </w:tcPr>
          <w:p w:rsidR="002E1E82" w:rsidRDefault="00435EFF">
            <w:pPr>
              <w:jc w:val="right"/>
            </w:pPr>
            <w:r>
              <w:rPr>
                <w:rFonts w:eastAsiaTheme="minorEastAsia"/>
                <w:color w:val="000000" w:themeColor="text1"/>
                <w:szCs w:val="21"/>
              </w:rPr>
              <w:t>9,170,630.96</w:t>
            </w:r>
          </w:p>
        </w:tc>
        <w:tc>
          <w:tcPr>
            <w:tcW w:w="1503" w:type="dxa"/>
            <w:vAlign w:val="center"/>
          </w:tcPr>
          <w:p w:rsidR="002E1E82" w:rsidRDefault="00435EFF">
            <w:pPr>
              <w:jc w:val="right"/>
            </w:pPr>
            <w:r>
              <w:rPr>
                <w:rFonts w:eastAsiaTheme="minorEastAsia"/>
                <w:color w:val="000000" w:themeColor="text1"/>
                <w:szCs w:val="21"/>
              </w:rPr>
              <w:t>18.71</w:t>
            </w:r>
          </w:p>
        </w:tc>
      </w:tr>
      <w:tr w:rsidR="002E1E82">
        <w:tc>
          <w:tcPr>
            <w:tcW w:w="1504" w:type="dxa"/>
            <w:vAlign w:val="center"/>
          </w:tcPr>
          <w:p w:rsidR="002E1E82" w:rsidRDefault="00435EFF">
            <w:pPr>
              <w:jc w:val="center"/>
            </w:pPr>
            <w:r>
              <w:rPr>
                <w:rFonts w:eastAsiaTheme="minorEastAsia"/>
                <w:color w:val="000000" w:themeColor="text1"/>
                <w:szCs w:val="21"/>
              </w:rPr>
              <w:t>2</w:t>
            </w:r>
          </w:p>
        </w:tc>
        <w:tc>
          <w:tcPr>
            <w:tcW w:w="1504" w:type="dxa"/>
            <w:vAlign w:val="center"/>
          </w:tcPr>
          <w:p w:rsidR="002E1E82" w:rsidRDefault="00435EFF">
            <w:pPr>
              <w:jc w:val="center"/>
            </w:pPr>
            <w:r>
              <w:rPr>
                <w:rFonts w:eastAsiaTheme="minorEastAsia"/>
                <w:color w:val="000000" w:themeColor="text1"/>
                <w:szCs w:val="21"/>
              </w:rPr>
              <w:t>102281691</w:t>
            </w:r>
          </w:p>
        </w:tc>
        <w:tc>
          <w:tcPr>
            <w:tcW w:w="1504" w:type="dxa"/>
            <w:vAlign w:val="center"/>
          </w:tcPr>
          <w:p w:rsidR="002E1E82" w:rsidRDefault="00435EFF">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MTN023</w:t>
            </w:r>
          </w:p>
        </w:tc>
        <w:tc>
          <w:tcPr>
            <w:tcW w:w="1503" w:type="dxa"/>
            <w:vAlign w:val="center"/>
          </w:tcPr>
          <w:p w:rsidR="002E1E82" w:rsidRDefault="00435EFF">
            <w:pPr>
              <w:jc w:val="right"/>
            </w:pPr>
            <w:r>
              <w:rPr>
                <w:rFonts w:eastAsiaTheme="minorEastAsia"/>
                <w:color w:val="000000" w:themeColor="text1"/>
                <w:szCs w:val="21"/>
              </w:rPr>
              <w:t>30,000</w:t>
            </w:r>
          </w:p>
        </w:tc>
        <w:tc>
          <w:tcPr>
            <w:tcW w:w="1503" w:type="dxa"/>
            <w:vAlign w:val="center"/>
          </w:tcPr>
          <w:p w:rsidR="002E1E82" w:rsidRDefault="00435EFF">
            <w:pPr>
              <w:jc w:val="right"/>
            </w:pPr>
            <w:r>
              <w:rPr>
                <w:rFonts w:eastAsiaTheme="minorEastAsia"/>
                <w:color w:val="000000" w:themeColor="text1"/>
                <w:szCs w:val="21"/>
              </w:rPr>
              <w:t>3,048,215.51</w:t>
            </w:r>
          </w:p>
        </w:tc>
        <w:tc>
          <w:tcPr>
            <w:tcW w:w="1503" w:type="dxa"/>
            <w:vAlign w:val="center"/>
          </w:tcPr>
          <w:p w:rsidR="002E1E82" w:rsidRDefault="00435EFF">
            <w:pPr>
              <w:jc w:val="right"/>
            </w:pPr>
            <w:r>
              <w:rPr>
                <w:rFonts w:eastAsiaTheme="minorEastAsia"/>
                <w:color w:val="000000" w:themeColor="text1"/>
                <w:szCs w:val="21"/>
              </w:rPr>
              <w:t>6.22</w:t>
            </w:r>
          </w:p>
        </w:tc>
      </w:tr>
      <w:tr w:rsidR="002E1E82">
        <w:tc>
          <w:tcPr>
            <w:tcW w:w="1504" w:type="dxa"/>
            <w:vAlign w:val="center"/>
          </w:tcPr>
          <w:p w:rsidR="002E1E82" w:rsidRDefault="00435EFF">
            <w:pPr>
              <w:jc w:val="center"/>
            </w:pPr>
            <w:r>
              <w:rPr>
                <w:rFonts w:eastAsiaTheme="minorEastAsia"/>
                <w:color w:val="000000" w:themeColor="text1"/>
                <w:szCs w:val="21"/>
              </w:rPr>
              <w:t>3</w:t>
            </w:r>
          </w:p>
        </w:tc>
        <w:tc>
          <w:tcPr>
            <w:tcW w:w="1504" w:type="dxa"/>
            <w:vAlign w:val="center"/>
          </w:tcPr>
          <w:p w:rsidR="002E1E82" w:rsidRDefault="00435EFF">
            <w:pPr>
              <w:jc w:val="center"/>
            </w:pPr>
            <w:r>
              <w:rPr>
                <w:rFonts w:eastAsiaTheme="minorEastAsia"/>
                <w:color w:val="000000" w:themeColor="text1"/>
                <w:szCs w:val="21"/>
              </w:rPr>
              <w:t>137549</w:t>
            </w:r>
          </w:p>
        </w:tc>
        <w:tc>
          <w:tcPr>
            <w:tcW w:w="1504" w:type="dxa"/>
            <w:vAlign w:val="center"/>
          </w:tcPr>
          <w:p w:rsidR="002E1E82" w:rsidRDefault="00435EFF">
            <w:pPr>
              <w:jc w:val="center"/>
            </w:pPr>
            <w:r>
              <w:rPr>
                <w:rFonts w:eastAsiaTheme="minorEastAsia"/>
                <w:color w:val="000000" w:themeColor="text1"/>
                <w:szCs w:val="21"/>
              </w:rPr>
              <w:t>22</w:t>
            </w:r>
            <w:r>
              <w:rPr>
                <w:rFonts w:eastAsiaTheme="minorEastAsia"/>
                <w:color w:val="000000" w:themeColor="text1"/>
                <w:szCs w:val="21"/>
              </w:rPr>
              <w:t>华电</w:t>
            </w:r>
            <w:r>
              <w:rPr>
                <w:rFonts w:eastAsiaTheme="minorEastAsia"/>
                <w:color w:val="000000" w:themeColor="text1"/>
                <w:szCs w:val="21"/>
              </w:rPr>
              <w:t>03</w:t>
            </w:r>
          </w:p>
        </w:tc>
        <w:tc>
          <w:tcPr>
            <w:tcW w:w="1503" w:type="dxa"/>
            <w:vAlign w:val="center"/>
          </w:tcPr>
          <w:p w:rsidR="002E1E82" w:rsidRDefault="00435EFF">
            <w:pPr>
              <w:jc w:val="right"/>
            </w:pPr>
            <w:r>
              <w:rPr>
                <w:rFonts w:eastAsiaTheme="minorEastAsia"/>
                <w:color w:val="000000" w:themeColor="text1"/>
                <w:szCs w:val="21"/>
              </w:rPr>
              <w:t>20,000</w:t>
            </w:r>
          </w:p>
        </w:tc>
        <w:tc>
          <w:tcPr>
            <w:tcW w:w="1503" w:type="dxa"/>
            <w:vAlign w:val="center"/>
          </w:tcPr>
          <w:p w:rsidR="002E1E82" w:rsidRDefault="00435EFF">
            <w:pPr>
              <w:jc w:val="right"/>
            </w:pPr>
            <w:r>
              <w:rPr>
                <w:rFonts w:eastAsiaTheme="minorEastAsia"/>
                <w:color w:val="000000" w:themeColor="text1"/>
                <w:szCs w:val="21"/>
              </w:rPr>
              <w:t>2,031,483.73</w:t>
            </w:r>
          </w:p>
        </w:tc>
        <w:tc>
          <w:tcPr>
            <w:tcW w:w="1503" w:type="dxa"/>
            <w:vAlign w:val="center"/>
          </w:tcPr>
          <w:p w:rsidR="002E1E82" w:rsidRDefault="00435EFF">
            <w:pPr>
              <w:jc w:val="right"/>
            </w:pPr>
            <w:r>
              <w:rPr>
                <w:rFonts w:eastAsiaTheme="minorEastAsia"/>
                <w:color w:val="000000" w:themeColor="text1"/>
                <w:szCs w:val="21"/>
              </w:rPr>
              <w:t>4.15</w:t>
            </w:r>
          </w:p>
        </w:tc>
      </w:tr>
      <w:tr w:rsidR="002E1E82">
        <w:tc>
          <w:tcPr>
            <w:tcW w:w="1504" w:type="dxa"/>
            <w:vAlign w:val="center"/>
          </w:tcPr>
          <w:p w:rsidR="002E1E82" w:rsidRDefault="00435EFF">
            <w:pPr>
              <w:jc w:val="center"/>
            </w:pPr>
            <w:r>
              <w:rPr>
                <w:rFonts w:eastAsiaTheme="minorEastAsia"/>
                <w:color w:val="000000" w:themeColor="text1"/>
                <w:szCs w:val="21"/>
              </w:rPr>
              <w:t>4</w:t>
            </w:r>
          </w:p>
        </w:tc>
        <w:tc>
          <w:tcPr>
            <w:tcW w:w="1504" w:type="dxa"/>
            <w:vAlign w:val="center"/>
          </w:tcPr>
          <w:p w:rsidR="002E1E82" w:rsidRDefault="00435EFF">
            <w:pPr>
              <w:jc w:val="center"/>
            </w:pPr>
            <w:r>
              <w:rPr>
                <w:rFonts w:eastAsiaTheme="minorEastAsia"/>
                <w:color w:val="000000" w:themeColor="text1"/>
                <w:szCs w:val="21"/>
              </w:rPr>
              <w:t>115647</w:t>
            </w:r>
          </w:p>
        </w:tc>
        <w:tc>
          <w:tcPr>
            <w:tcW w:w="1504" w:type="dxa"/>
            <w:vAlign w:val="center"/>
          </w:tcPr>
          <w:p w:rsidR="002E1E82" w:rsidRDefault="00435EFF">
            <w:pPr>
              <w:jc w:val="center"/>
            </w:pPr>
            <w:r>
              <w:rPr>
                <w:rFonts w:eastAsiaTheme="minorEastAsia"/>
                <w:color w:val="000000" w:themeColor="text1"/>
                <w:szCs w:val="21"/>
              </w:rPr>
              <w:t>23</w:t>
            </w:r>
            <w:r>
              <w:rPr>
                <w:rFonts w:eastAsiaTheme="minorEastAsia"/>
                <w:color w:val="000000" w:themeColor="text1"/>
                <w:szCs w:val="21"/>
              </w:rPr>
              <w:t>招证</w:t>
            </w:r>
            <w:r>
              <w:rPr>
                <w:rFonts w:eastAsiaTheme="minorEastAsia"/>
                <w:color w:val="000000" w:themeColor="text1"/>
                <w:szCs w:val="21"/>
              </w:rPr>
              <w:t>G5</w:t>
            </w:r>
          </w:p>
        </w:tc>
        <w:tc>
          <w:tcPr>
            <w:tcW w:w="1503" w:type="dxa"/>
            <w:vAlign w:val="center"/>
          </w:tcPr>
          <w:p w:rsidR="002E1E82" w:rsidRDefault="00435EFF">
            <w:pPr>
              <w:jc w:val="right"/>
            </w:pPr>
            <w:r>
              <w:rPr>
                <w:rFonts w:eastAsiaTheme="minorEastAsia"/>
                <w:color w:val="000000" w:themeColor="text1"/>
                <w:szCs w:val="21"/>
              </w:rPr>
              <w:t>20,000</w:t>
            </w:r>
          </w:p>
        </w:tc>
        <w:tc>
          <w:tcPr>
            <w:tcW w:w="1503" w:type="dxa"/>
            <w:vAlign w:val="center"/>
          </w:tcPr>
          <w:p w:rsidR="002E1E82" w:rsidRDefault="00435EFF">
            <w:pPr>
              <w:jc w:val="right"/>
            </w:pPr>
            <w:r>
              <w:rPr>
                <w:rFonts w:eastAsiaTheme="minorEastAsia"/>
                <w:color w:val="000000" w:themeColor="text1"/>
                <w:szCs w:val="21"/>
              </w:rPr>
              <w:t>2,029,052.49</w:t>
            </w:r>
          </w:p>
        </w:tc>
        <w:tc>
          <w:tcPr>
            <w:tcW w:w="1503" w:type="dxa"/>
            <w:vAlign w:val="center"/>
          </w:tcPr>
          <w:p w:rsidR="002E1E82" w:rsidRDefault="00435EFF">
            <w:pPr>
              <w:jc w:val="right"/>
            </w:pPr>
            <w:r>
              <w:rPr>
                <w:rFonts w:eastAsiaTheme="minorEastAsia"/>
                <w:color w:val="000000" w:themeColor="text1"/>
                <w:szCs w:val="21"/>
              </w:rPr>
              <w:t>4.14</w:t>
            </w:r>
          </w:p>
        </w:tc>
      </w:tr>
      <w:tr w:rsidR="002E1E82">
        <w:tc>
          <w:tcPr>
            <w:tcW w:w="1504" w:type="dxa"/>
            <w:vAlign w:val="center"/>
          </w:tcPr>
          <w:p w:rsidR="002E1E82" w:rsidRDefault="00435EFF">
            <w:pPr>
              <w:jc w:val="center"/>
            </w:pPr>
            <w:r>
              <w:rPr>
                <w:rFonts w:eastAsiaTheme="minorEastAsia"/>
                <w:color w:val="000000" w:themeColor="text1"/>
                <w:szCs w:val="21"/>
              </w:rPr>
              <w:t>5</w:t>
            </w:r>
          </w:p>
        </w:tc>
        <w:tc>
          <w:tcPr>
            <w:tcW w:w="1504" w:type="dxa"/>
            <w:vAlign w:val="center"/>
          </w:tcPr>
          <w:p w:rsidR="002E1E82" w:rsidRDefault="00435EFF">
            <w:pPr>
              <w:jc w:val="center"/>
            </w:pPr>
            <w:r>
              <w:rPr>
                <w:rFonts w:eastAsiaTheme="minorEastAsia"/>
                <w:color w:val="000000" w:themeColor="text1"/>
                <w:szCs w:val="21"/>
              </w:rPr>
              <w:t>137654</w:t>
            </w:r>
          </w:p>
        </w:tc>
        <w:tc>
          <w:tcPr>
            <w:tcW w:w="1504" w:type="dxa"/>
            <w:vAlign w:val="center"/>
          </w:tcPr>
          <w:p w:rsidR="002E1E82" w:rsidRDefault="00435EFF">
            <w:pPr>
              <w:jc w:val="center"/>
            </w:pPr>
            <w:r>
              <w:rPr>
                <w:rFonts w:eastAsiaTheme="minorEastAsia"/>
                <w:color w:val="000000" w:themeColor="text1"/>
                <w:szCs w:val="21"/>
              </w:rPr>
              <w:t>22</w:t>
            </w:r>
            <w:r>
              <w:rPr>
                <w:rFonts w:eastAsiaTheme="minorEastAsia"/>
                <w:color w:val="000000" w:themeColor="text1"/>
                <w:szCs w:val="21"/>
              </w:rPr>
              <w:t>招证</w:t>
            </w:r>
            <w:r>
              <w:rPr>
                <w:rFonts w:eastAsiaTheme="minorEastAsia"/>
                <w:color w:val="000000" w:themeColor="text1"/>
                <w:szCs w:val="21"/>
              </w:rPr>
              <w:t>G4</w:t>
            </w:r>
          </w:p>
        </w:tc>
        <w:tc>
          <w:tcPr>
            <w:tcW w:w="1503" w:type="dxa"/>
            <w:vAlign w:val="center"/>
          </w:tcPr>
          <w:p w:rsidR="002E1E82" w:rsidRDefault="00435EFF">
            <w:pPr>
              <w:jc w:val="right"/>
            </w:pPr>
            <w:r>
              <w:rPr>
                <w:rFonts w:eastAsiaTheme="minorEastAsia"/>
                <w:color w:val="000000" w:themeColor="text1"/>
                <w:szCs w:val="21"/>
              </w:rPr>
              <w:t>20,000</w:t>
            </w:r>
          </w:p>
        </w:tc>
        <w:tc>
          <w:tcPr>
            <w:tcW w:w="1503" w:type="dxa"/>
            <w:vAlign w:val="center"/>
          </w:tcPr>
          <w:p w:rsidR="002E1E82" w:rsidRDefault="00435EFF">
            <w:pPr>
              <w:jc w:val="right"/>
            </w:pPr>
            <w:r>
              <w:rPr>
                <w:rFonts w:eastAsiaTheme="minorEastAsia"/>
                <w:color w:val="000000" w:themeColor="text1"/>
                <w:szCs w:val="21"/>
              </w:rPr>
              <w:t>2,027,435.40</w:t>
            </w:r>
          </w:p>
        </w:tc>
        <w:tc>
          <w:tcPr>
            <w:tcW w:w="1503" w:type="dxa"/>
            <w:vAlign w:val="center"/>
          </w:tcPr>
          <w:p w:rsidR="002E1E82" w:rsidRDefault="00435EFF">
            <w:pPr>
              <w:jc w:val="right"/>
            </w:pPr>
            <w:r>
              <w:rPr>
                <w:rFonts w:eastAsiaTheme="minorEastAsia"/>
                <w:color w:val="000000" w:themeColor="text1"/>
                <w:szCs w:val="21"/>
              </w:rPr>
              <w:t>4.14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w:t>
      </w:r>
    </w:p>
    <w:p w:rsidR="002E1E82" w:rsidRDefault="00435EFF">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14,768.33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389.11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15,157.44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2E1E82">
        <w:tc>
          <w:tcPr>
            <w:tcW w:w="1181" w:type="dxa"/>
            <w:vAlign w:val="center"/>
          </w:tcPr>
          <w:p w:rsidR="002E1E82" w:rsidRDefault="00435EFF">
            <w:pPr>
              <w:jc w:val="center"/>
            </w:pPr>
            <w:r>
              <w:rPr>
                <w:rFonts w:eastAsiaTheme="minorEastAsia"/>
                <w:color w:val="000000" w:themeColor="text1"/>
                <w:szCs w:val="21"/>
              </w:rPr>
              <w:t>1</w:t>
            </w:r>
          </w:p>
        </w:tc>
        <w:tc>
          <w:tcPr>
            <w:tcW w:w="2497" w:type="dxa"/>
            <w:vAlign w:val="center"/>
          </w:tcPr>
          <w:p w:rsidR="002E1E82" w:rsidRDefault="00435EFF">
            <w:pPr>
              <w:jc w:val="center"/>
            </w:pPr>
            <w:r>
              <w:rPr>
                <w:rFonts w:eastAsiaTheme="minorEastAsia"/>
                <w:color w:val="000000" w:themeColor="text1"/>
                <w:szCs w:val="21"/>
              </w:rPr>
              <w:t>127045</w:t>
            </w:r>
          </w:p>
        </w:tc>
        <w:tc>
          <w:tcPr>
            <w:tcW w:w="1746" w:type="dxa"/>
            <w:vAlign w:val="center"/>
          </w:tcPr>
          <w:p w:rsidR="002E1E82" w:rsidRDefault="00435EFF">
            <w:pPr>
              <w:jc w:val="center"/>
            </w:pPr>
            <w:r>
              <w:rPr>
                <w:rFonts w:eastAsiaTheme="minorEastAsia"/>
                <w:color w:val="000000" w:themeColor="text1"/>
                <w:szCs w:val="21"/>
              </w:rPr>
              <w:t>牧原转债</w:t>
            </w:r>
          </w:p>
        </w:tc>
        <w:tc>
          <w:tcPr>
            <w:tcW w:w="1825" w:type="dxa"/>
            <w:vAlign w:val="center"/>
          </w:tcPr>
          <w:p w:rsidR="002E1E82" w:rsidRDefault="00435EFF">
            <w:pPr>
              <w:jc w:val="right"/>
            </w:pPr>
            <w:r>
              <w:rPr>
                <w:rFonts w:eastAsiaTheme="minorEastAsia"/>
                <w:color w:val="000000" w:themeColor="text1"/>
                <w:szCs w:val="21"/>
              </w:rPr>
              <w:t>1,320,315.14</w:t>
            </w:r>
          </w:p>
        </w:tc>
        <w:tc>
          <w:tcPr>
            <w:tcW w:w="1679" w:type="dxa"/>
            <w:vAlign w:val="center"/>
          </w:tcPr>
          <w:p w:rsidR="002E1E82" w:rsidRDefault="00435EFF">
            <w:pPr>
              <w:jc w:val="right"/>
            </w:pPr>
            <w:r>
              <w:rPr>
                <w:rFonts w:eastAsiaTheme="minorEastAsia"/>
                <w:color w:val="000000" w:themeColor="text1"/>
                <w:szCs w:val="21"/>
              </w:rPr>
              <w:t>2.69</w:t>
            </w:r>
          </w:p>
        </w:tc>
      </w:tr>
      <w:tr w:rsidR="002E1E82">
        <w:tc>
          <w:tcPr>
            <w:tcW w:w="1181" w:type="dxa"/>
            <w:vAlign w:val="center"/>
          </w:tcPr>
          <w:p w:rsidR="002E1E82" w:rsidRDefault="00435EFF">
            <w:pPr>
              <w:jc w:val="center"/>
            </w:pPr>
            <w:r>
              <w:rPr>
                <w:rFonts w:eastAsiaTheme="minorEastAsia"/>
                <w:color w:val="000000" w:themeColor="text1"/>
                <w:szCs w:val="21"/>
              </w:rPr>
              <w:t>2</w:t>
            </w:r>
          </w:p>
        </w:tc>
        <w:tc>
          <w:tcPr>
            <w:tcW w:w="2497" w:type="dxa"/>
            <w:vAlign w:val="center"/>
          </w:tcPr>
          <w:p w:rsidR="002E1E82" w:rsidRDefault="00435EFF">
            <w:pPr>
              <w:jc w:val="center"/>
            </w:pPr>
            <w:r>
              <w:rPr>
                <w:rFonts w:eastAsiaTheme="minorEastAsia"/>
                <w:color w:val="000000" w:themeColor="text1"/>
                <w:szCs w:val="21"/>
              </w:rPr>
              <w:t>113685</w:t>
            </w:r>
          </w:p>
        </w:tc>
        <w:tc>
          <w:tcPr>
            <w:tcW w:w="1746" w:type="dxa"/>
            <w:vAlign w:val="center"/>
          </w:tcPr>
          <w:p w:rsidR="002E1E82" w:rsidRDefault="00435EFF">
            <w:pPr>
              <w:jc w:val="center"/>
            </w:pPr>
            <w:r>
              <w:rPr>
                <w:rFonts w:eastAsiaTheme="minorEastAsia"/>
                <w:color w:val="000000" w:themeColor="text1"/>
                <w:szCs w:val="21"/>
              </w:rPr>
              <w:t>升</w:t>
            </w:r>
            <w:r>
              <w:rPr>
                <w:rFonts w:eastAsiaTheme="minorEastAsia"/>
                <w:color w:val="000000" w:themeColor="text1"/>
                <w:szCs w:val="21"/>
              </w:rPr>
              <w:t>24</w:t>
            </w:r>
            <w:r>
              <w:rPr>
                <w:rFonts w:eastAsiaTheme="minorEastAsia"/>
                <w:color w:val="000000" w:themeColor="text1"/>
                <w:szCs w:val="21"/>
              </w:rPr>
              <w:t>转债</w:t>
            </w:r>
          </w:p>
        </w:tc>
        <w:tc>
          <w:tcPr>
            <w:tcW w:w="1825" w:type="dxa"/>
            <w:vAlign w:val="center"/>
          </w:tcPr>
          <w:p w:rsidR="002E1E82" w:rsidRDefault="00435EFF">
            <w:pPr>
              <w:jc w:val="right"/>
            </w:pPr>
            <w:r>
              <w:rPr>
                <w:rFonts w:eastAsiaTheme="minorEastAsia"/>
                <w:color w:val="000000" w:themeColor="text1"/>
                <w:szCs w:val="21"/>
              </w:rPr>
              <w:t>436,088.57</w:t>
            </w:r>
          </w:p>
        </w:tc>
        <w:tc>
          <w:tcPr>
            <w:tcW w:w="1679" w:type="dxa"/>
            <w:vAlign w:val="center"/>
          </w:tcPr>
          <w:p w:rsidR="002E1E82" w:rsidRDefault="00435EFF">
            <w:pPr>
              <w:jc w:val="right"/>
            </w:pPr>
            <w:r>
              <w:rPr>
                <w:rFonts w:eastAsiaTheme="minorEastAsia"/>
                <w:color w:val="000000" w:themeColor="text1"/>
                <w:szCs w:val="21"/>
              </w:rPr>
              <w:t>0.89</w:t>
            </w:r>
          </w:p>
        </w:tc>
      </w:tr>
      <w:tr w:rsidR="002E1E82">
        <w:tc>
          <w:tcPr>
            <w:tcW w:w="1181" w:type="dxa"/>
            <w:vAlign w:val="center"/>
          </w:tcPr>
          <w:p w:rsidR="002E1E82" w:rsidRDefault="00435EFF">
            <w:pPr>
              <w:jc w:val="center"/>
            </w:pPr>
            <w:r>
              <w:rPr>
                <w:rFonts w:eastAsiaTheme="minorEastAsia"/>
                <w:color w:val="000000" w:themeColor="text1"/>
                <w:szCs w:val="21"/>
              </w:rPr>
              <w:t>3</w:t>
            </w:r>
          </w:p>
        </w:tc>
        <w:tc>
          <w:tcPr>
            <w:tcW w:w="2497" w:type="dxa"/>
            <w:vAlign w:val="center"/>
          </w:tcPr>
          <w:p w:rsidR="002E1E82" w:rsidRDefault="00435EFF">
            <w:pPr>
              <w:jc w:val="center"/>
            </w:pPr>
            <w:r>
              <w:rPr>
                <w:rFonts w:eastAsiaTheme="minorEastAsia"/>
                <w:color w:val="000000" w:themeColor="text1"/>
                <w:szCs w:val="21"/>
              </w:rPr>
              <w:t>113666</w:t>
            </w:r>
          </w:p>
        </w:tc>
        <w:tc>
          <w:tcPr>
            <w:tcW w:w="1746" w:type="dxa"/>
            <w:vAlign w:val="center"/>
          </w:tcPr>
          <w:p w:rsidR="002E1E82" w:rsidRDefault="00435EFF">
            <w:pPr>
              <w:jc w:val="center"/>
            </w:pPr>
            <w:r>
              <w:rPr>
                <w:rFonts w:eastAsiaTheme="minorEastAsia"/>
                <w:color w:val="000000" w:themeColor="text1"/>
                <w:szCs w:val="21"/>
              </w:rPr>
              <w:t>爱玛转债</w:t>
            </w:r>
          </w:p>
        </w:tc>
        <w:tc>
          <w:tcPr>
            <w:tcW w:w="1825" w:type="dxa"/>
            <w:vAlign w:val="center"/>
          </w:tcPr>
          <w:p w:rsidR="002E1E82" w:rsidRDefault="00435EFF">
            <w:pPr>
              <w:jc w:val="right"/>
            </w:pPr>
            <w:r>
              <w:rPr>
                <w:rFonts w:eastAsiaTheme="minorEastAsia"/>
                <w:color w:val="000000" w:themeColor="text1"/>
                <w:szCs w:val="21"/>
              </w:rPr>
              <w:t>295,874.09</w:t>
            </w:r>
          </w:p>
        </w:tc>
        <w:tc>
          <w:tcPr>
            <w:tcW w:w="1679" w:type="dxa"/>
            <w:vAlign w:val="center"/>
          </w:tcPr>
          <w:p w:rsidR="002E1E82" w:rsidRDefault="00435EFF">
            <w:pPr>
              <w:jc w:val="right"/>
            </w:pPr>
            <w:r>
              <w:rPr>
                <w:rFonts w:eastAsiaTheme="minorEastAsia"/>
                <w:color w:val="000000" w:themeColor="text1"/>
                <w:szCs w:val="21"/>
              </w:rPr>
              <w:t>0.60</w:t>
            </w:r>
          </w:p>
        </w:tc>
      </w:tr>
      <w:tr w:rsidR="002E1E82">
        <w:tc>
          <w:tcPr>
            <w:tcW w:w="1181" w:type="dxa"/>
            <w:vAlign w:val="center"/>
          </w:tcPr>
          <w:p w:rsidR="002E1E82" w:rsidRDefault="00435EFF">
            <w:pPr>
              <w:jc w:val="center"/>
            </w:pPr>
            <w:r>
              <w:rPr>
                <w:rFonts w:eastAsiaTheme="minorEastAsia"/>
                <w:color w:val="000000" w:themeColor="text1"/>
                <w:szCs w:val="21"/>
              </w:rPr>
              <w:t>4</w:t>
            </w:r>
          </w:p>
        </w:tc>
        <w:tc>
          <w:tcPr>
            <w:tcW w:w="2497" w:type="dxa"/>
            <w:vAlign w:val="center"/>
          </w:tcPr>
          <w:p w:rsidR="002E1E82" w:rsidRDefault="00435EFF">
            <w:pPr>
              <w:jc w:val="center"/>
            </w:pPr>
            <w:r>
              <w:rPr>
                <w:rFonts w:eastAsiaTheme="minorEastAsia"/>
                <w:color w:val="000000" w:themeColor="text1"/>
                <w:szCs w:val="21"/>
              </w:rPr>
              <w:t>123107</w:t>
            </w:r>
          </w:p>
        </w:tc>
        <w:tc>
          <w:tcPr>
            <w:tcW w:w="1746" w:type="dxa"/>
            <w:vAlign w:val="center"/>
          </w:tcPr>
          <w:p w:rsidR="002E1E82" w:rsidRDefault="00435EFF">
            <w:pPr>
              <w:jc w:val="center"/>
            </w:pPr>
            <w:r>
              <w:rPr>
                <w:rFonts w:eastAsiaTheme="minorEastAsia"/>
                <w:color w:val="000000" w:themeColor="text1"/>
                <w:szCs w:val="21"/>
              </w:rPr>
              <w:t>温氏转债</w:t>
            </w:r>
          </w:p>
        </w:tc>
        <w:tc>
          <w:tcPr>
            <w:tcW w:w="1825" w:type="dxa"/>
            <w:vAlign w:val="center"/>
          </w:tcPr>
          <w:p w:rsidR="002E1E82" w:rsidRDefault="00435EFF">
            <w:pPr>
              <w:jc w:val="right"/>
            </w:pPr>
            <w:r>
              <w:rPr>
                <w:rFonts w:eastAsiaTheme="minorEastAsia"/>
                <w:color w:val="000000" w:themeColor="text1"/>
                <w:szCs w:val="21"/>
              </w:rPr>
              <w:t>269,333.94</w:t>
            </w:r>
          </w:p>
        </w:tc>
        <w:tc>
          <w:tcPr>
            <w:tcW w:w="1679" w:type="dxa"/>
            <w:vAlign w:val="center"/>
          </w:tcPr>
          <w:p w:rsidR="002E1E82" w:rsidRDefault="00435EFF">
            <w:pPr>
              <w:jc w:val="right"/>
            </w:pPr>
            <w:r>
              <w:rPr>
                <w:rFonts w:eastAsiaTheme="minorEastAsia"/>
                <w:color w:val="000000" w:themeColor="text1"/>
                <w:szCs w:val="21"/>
              </w:rPr>
              <w:t>0.55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49,746,539.54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30,448.50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2,687,383.92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17,534.36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6,587,005.96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126.28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45,846,917.50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47,856.58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摩根安享回报一年持有期债券型证券投资基金基金合同</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摩根安享回报一年持有期债券型证券投资基金托管协议</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2E1E82" w:rsidRDefault="00435EF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35EF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35EF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35EFF">
      <w:rPr>
        <w:rStyle w:val="af6"/>
        <w:noProof/>
      </w:rPr>
      <w:t>14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摩根安享回报一年持有期债券型证券投资基金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127A"/>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1E82"/>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5E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65463-1CF8-466C-8D38-9EB163B4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14</Pages>
  <Words>1225</Words>
  <Characters>6983</Characters>
  <Application>Microsoft Office Word</Application>
  <DocSecurity>0</DocSecurity>
  <Lines>58</Lines>
  <Paragraphs>16</Paragraphs>
  <ScaleCrop>false</ScaleCrop>
  <Company>TRT. Ltd. Co.</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2025-01-21T06:15:00Z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