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568F" w:rsidRDefault="00426C64">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rsidR="0062568F" w:rsidRDefault="00426C64">
      <w:pPr>
        <w:spacing w:line="360" w:lineRule="auto"/>
        <w:rPr>
          <w:rFonts w:ascii="宋体" w:hAnsi="宋体"/>
          <w:sz w:val="48"/>
        </w:rPr>
      </w:pPr>
      <w:r>
        <w:rPr>
          <w:rFonts w:ascii="宋体" w:hAnsi="宋体" w:hint="eastAsia"/>
          <w:sz w:val="48"/>
        </w:rPr>
        <w:t xml:space="preserve">　 </w:t>
      </w:r>
    </w:p>
    <w:p w:rsidR="0062568F" w:rsidRDefault="00426C64">
      <w:pPr>
        <w:spacing w:line="360" w:lineRule="auto"/>
        <w:jc w:val="center"/>
      </w:pPr>
      <w:r>
        <w:rPr>
          <w:rFonts w:ascii="宋体" w:hAnsi="宋体" w:hint="eastAsia"/>
          <w:b/>
          <w:bCs/>
          <w:color w:val="000000" w:themeColor="text1"/>
          <w:sz w:val="48"/>
          <w:szCs w:val="30"/>
        </w:rPr>
        <w:t>摩根安享回报一年持有期债券型证券投资基金</w:t>
      </w:r>
      <w:r>
        <w:rPr>
          <w:rFonts w:ascii="宋体" w:hAnsi="宋体" w:hint="eastAsia"/>
          <w:b/>
          <w:bCs/>
          <w:color w:val="000000" w:themeColor="text1"/>
          <w:sz w:val="48"/>
          <w:szCs w:val="30"/>
        </w:rPr>
        <w:br/>
        <w:t>2025年第1季度报告</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jc w:val="center"/>
      </w:pPr>
      <w:r>
        <w:rPr>
          <w:rFonts w:ascii="宋体" w:hAnsi="宋体" w:hint="eastAsia"/>
          <w:b/>
          <w:bCs/>
          <w:sz w:val="28"/>
          <w:szCs w:val="30"/>
        </w:rPr>
        <w:t>2025年3月31日</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bookmarkStart w:id="7" w:name="_GoBack"/>
      <w:bookmarkEnd w:id="7"/>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jc w:val="center"/>
        <w:rPr>
          <w:rFonts w:ascii="宋体" w:hAnsi="宋体"/>
          <w:sz w:val="28"/>
          <w:szCs w:val="30"/>
        </w:rPr>
      </w:pPr>
      <w:r>
        <w:rPr>
          <w:rFonts w:ascii="宋体" w:hAnsi="宋体" w:hint="eastAsia"/>
          <w:sz w:val="28"/>
          <w:szCs w:val="30"/>
        </w:rPr>
        <w:t xml:space="preserve">　 </w:t>
      </w:r>
    </w:p>
    <w:p w:rsidR="0062568F" w:rsidRDefault="00426C64">
      <w:pPr>
        <w:spacing w:line="360" w:lineRule="auto"/>
        <w:ind w:firstLineChars="800" w:firstLine="2249"/>
        <w:jc w:val="left"/>
      </w:pPr>
      <w:r>
        <w:rPr>
          <w:rFonts w:ascii="宋体" w:hAnsi="宋体" w:hint="eastAsia"/>
          <w:b/>
          <w:bCs/>
          <w:sz w:val="28"/>
          <w:szCs w:val="30"/>
        </w:rPr>
        <w:t>基金管理人：摩根基金管理（中国）有限公司</w:t>
      </w:r>
    </w:p>
    <w:p w:rsidR="0062568F" w:rsidRDefault="00426C64">
      <w:pPr>
        <w:spacing w:line="360" w:lineRule="auto"/>
        <w:ind w:firstLineChars="800" w:firstLine="2249"/>
        <w:jc w:val="left"/>
      </w:pPr>
      <w:r>
        <w:rPr>
          <w:rFonts w:ascii="宋体" w:hAnsi="宋体" w:hint="eastAsia"/>
          <w:b/>
          <w:bCs/>
          <w:sz w:val="28"/>
          <w:szCs w:val="30"/>
        </w:rPr>
        <w:t>基金托管人：中国邮政储蓄银行股份有限公司</w:t>
      </w:r>
    </w:p>
    <w:p w:rsidR="0062568F" w:rsidRDefault="00426C64">
      <w:pPr>
        <w:spacing w:line="360" w:lineRule="auto"/>
        <w:ind w:firstLineChars="800" w:firstLine="2249"/>
        <w:jc w:val="left"/>
      </w:pPr>
      <w:r>
        <w:rPr>
          <w:rFonts w:ascii="宋体" w:hAnsi="宋体" w:hint="eastAsia"/>
          <w:b/>
          <w:bCs/>
          <w:sz w:val="28"/>
          <w:szCs w:val="30"/>
        </w:rPr>
        <w:t>报告送出日期：2025年4月22日</w:t>
      </w:r>
    </w:p>
    <w:p w:rsidR="0062568F" w:rsidRDefault="00426C64">
      <w:pPr>
        <w:pStyle w:val="XBRLTitle1"/>
        <w:spacing w:before="156" w:line="360" w:lineRule="auto"/>
        <w:ind w:left="425"/>
      </w:pPr>
      <w:r>
        <w:rPr>
          <w:rFonts w:hAnsi="宋体" w:cs="宋体" w:hint="eastAsia"/>
          <w:color w:val="404040"/>
          <w:kern w:val="0"/>
        </w:rPr>
        <w:br w:type="page"/>
      </w:r>
      <w:bookmarkStart w:id="8" w:name="_Toc17898178"/>
      <w:bookmarkStart w:id="9" w:name="_Toc17897936"/>
      <w:bookmarkStart w:id="10" w:name="_Toc512519480"/>
      <w:bookmarkStart w:id="11" w:name="_Toc481075046"/>
      <w:bookmarkStart w:id="12" w:name="_Toc438646451"/>
      <w:bookmarkStart w:id="13" w:name="_Toc490050000"/>
      <w:bookmarkStart w:id="14" w:name="_Toc513295846"/>
      <w:bookmarkStart w:id="15" w:name="_Toc513295892"/>
      <w:bookmarkStart w:id="16" w:name="m101"/>
      <w:bookmarkStart w:id="17" w:name="m01_01"/>
      <w:bookmarkStart w:id="18" w:name="_Toc194311890"/>
      <w:proofErr w:type="spellStart"/>
      <w:r>
        <w:rPr>
          <w:rFonts w:hAnsi="宋体" w:hint="eastAsia"/>
        </w:rPr>
        <w:lastRenderedPageBreak/>
        <w:t>重要提示</w:t>
      </w:r>
      <w:bookmarkEnd w:id="8"/>
      <w:bookmarkEnd w:id="9"/>
      <w:bookmarkEnd w:id="10"/>
      <w:bookmarkEnd w:id="11"/>
      <w:bookmarkEnd w:id="12"/>
      <w:bookmarkEnd w:id="13"/>
      <w:bookmarkEnd w:id="14"/>
      <w:bookmarkEnd w:id="15"/>
      <w:proofErr w:type="spellEnd"/>
      <w:r>
        <w:rPr>
          <w:rFonts w:hAnsi="宋体" w:hint="eastAsia"/>
        </w:rPr>
        <w:t xml:space="preserve"> </w:t>
      </w:r>
    </w:p>
    <w:p w:rsidR="0062568F" w:rsidRDefault="00426C64">
      <w:pPr>
        <w:spacing w:line="360" w:lineRule="auto"/>
        <w:ind w:firstLineChars="200" w:firstLine="420"/>
      </w:pPr>
      <w:bookmarkStart w:id="19" w:name="m502"/>
      <w:bookmarkStart w:id="20" w:name="_Toc438646470"/>
      <w:bookmarkStart w:id="21" w:name="m504"/>
      <w:bookmarkStart w:id="22" w:name="m08QD_01"/>
      <w:bookmarkStart w:id="23" w:name="m201"/>
      <w:bookmarkStart w:id="24"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基金托管人中国邮政储蓄银行股份有限公司根据本基金合同规定，于2025年4月21日复核了本报告中的财务指标、净值表现和投资组合报告等内容，保证复核内容不存在虚假记载、误导性陈述或者重大遗漏。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62568F" w:rsidRDefault="00426C64">
      <w:pPr>
        <w:pStyle w:val="XBRLTitle1"/>
        <w:spacing w:before="156" w:line="360" w:lineRule="auto"/>
        <w:ind w:left="425"/>
      </w:pPr>
      <w:bookmarkStart w:id="25" w:name="_Toc17898179"/>
      <w:bookmarkStart w:id="26" w:name="_Toc17897937"/>
      <w:bookmarkStart w:id="27" w:name="_Toc512519481"/>
      <w:bookmarkStart w:id="28" w:name="_Toc481075047"/>
      <w:bookmarkStart w:id="29" w:name="_Toc438646452"/>
      <w:bookmarkStart w:id="30" w:name="_Toc490050001"/>
      <w:bookmarkStart w:id="31" w:name="_Toc513295847"/>
      <w:bookmarkStart w:id="32" w:name="_Toc513295893"/>
      <w:proofErr w:type="spellStart"/>
      <w:r>
        <w:rPr>
          <w:rFonts w:hAnsi="宋体" w:hint="eastAsia"/>
        </w:rPr>
        <w:t>基金产品概况</w:t>
      </w:r>
      <w:bookmarkEnd w:id="25"/>
      <w:bookmarkEnd w:id="26"/>
      <w:bookmarkEnd w:id="27"/>
      <w:bookmarkEnd w:id="28"/>
      <w:bookmarkEnd w:id="29"/>
      <w:bookmarkEnd w:id="30"/>
      <w:bookmarkEnd w:id="31"/>
      <w:bookmarkEnd w:id="32"/>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62568F">
        <w:trPr>
          <w:divId w:val="787352655"/>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6"/>
          <w:p w:rsidR="0062568F" w:rsidRDefault="00426C64">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szCs w:val="24"/>
                <w:lang w:eastAsia="zh-Hans"/>
              </w:rPr>
              <w:t>摩根安享回报一年持有期债券</w:t>
            </w:r>
            <w:r>
              <w:rPr>
                <w:rFonts w:ascii="宋体" w:hAnsi="宋体" w:hint="eastAsia"/>
                <w:lang w:eastAsia="zh-Hans"/>
              </w:rPr>
              <w:t xml:space="preserve"> </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010475</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bookmarkStart w:id="33"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契约型开放式</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2021年2月8日</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43,373,488.15</w:t>
            </w:r>
            <w:r>
              <w:rPr>
                <w:rFonts w:hint="eastAsia"/>
              </w:rPr>
              <w:t>份</w:t>
            </w:r>
            <w:r>
              <w:rPr>
                <w:rFonts w:ascii="宋体" w:hAnsi="宋体" w:hint="eastAsia"/>
                <w:lang w:eastAsia="zh-Hans"/>
              </w:rPr>
              <w:t xml:space="preserve"> </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本基金以追求稳健收益作为基金的投资目标，通过严格的风险控制，力争实现基金资产的稳健增值。</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1、资产配置策略</w:t>
            </w:r>
            <w:r>
              <w:rPr>
                <w:rFonts w:ascii="宋体" w:hAnsi="宋体" w:hint="eastAsia"/>
                <w:lang w:eastAsia="zh-Hans"/>
              </w:rPr>
              <w:b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r>
              <w:rPr>
                <w:rFonts w:ascii="宋体" w:hAnsi="宋体" w:hint="eastAsia"/>
                <w:lang w:eastAsia="zh-Hans"/>
              </w:rPr>
              <w:br/>
              <w:t>2、债券投资策略</w:t>
            </w:r>
            <w:r>
              <w:rPr>
                <w:rFonts w:ascii="宋体" w:hAnsi="宋体" w:hint="eastAsia"/>
                <w:lang w:eastAsia="zh-Hans"/>
              </w:rPr>
              <w:br/>
              <w:t>本基金将采取久期管理策略、期限结构配置策略、类属配置策略等积极投资策略，在严格控制风险的前提下，发掘市场投资机会，实现债券组合增值，提高组合综合收益。</w:t>
            </w:r>
            <w:r>
              <w:rPr>
                <w:rFonts w:ascii="宋体" w:hAnsi="宋体" w:hint="eastAsia"/>
                <w:lang w:eastAsia="zh-Hans"/>
              </w:rPr>
              <w:br/>
              <w:t>其他投资策略包括：股票投资策略、国债期货投资策略、资产支持证券投资策略、存托凭证投资策略。</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中证800指数收益率×10%+中证政策性金融债1-3年指数收益率×90%</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本基金为债券型基金，一般而言，其长期平均风险和预期收益率低于股票型基金、混合型基金，高于货币</w:t>
            </w:r>
            <w:r>
              <w:rPr>
                <w:rFonts w:ascii="宋体" w:hAnsi="宋体" w:hint="eastAsia"/>
                <w:lang w:eastAsia="zh-Hans"/>
              </w:rPr>
              <w:lastRenderedPageBreak/>
              <w:t>市场基金。</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lastRenderedPageBreak/>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摩根基金管理（中国）有限公司</w:t>
            </w:r>
          </w:p>
        </w:tc>
      </w:tr>
      <w:tr w:rsidR="0062568F">
        <w:trPr>
          <w:divId w:val="787352655"/>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lang w:eastAsia="zh-Hans"/>
              </w:rPr>
              <w:t>中国邮政储蓄银行股份有限公司</w:t>
            </w:r>
          </w:p>
        </w:tc>
      </w:tr>
      <w:tr w:rsidR="0062568F">
        <w:trPr>
          <w:divId w:val="78735265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bookmarkStart w:id="34"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lang w:eastAsia="zh-Hans"/>
              </w:rPr>
              <w:t>摩根安享回报一年持有期债券A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lang w:eastAsia="zh-Hans"/>
              </w:rPr>
              <w:t>摩根安享回报一年持有期债券C</w:t>
            </w:r>
            <w:r>
              <w:rPr>
                <w:rFonts w:ascii="宋体" w:hAnsi="宋体" w:hint="eastAsia"/>
                <w:kern w:val="0"/>
                <w:sz w:val="20"/>
                <w:lang w:eastAsia="zh-Hans"/>
              </w:rPr>
              <w:t xml:space="preserve"> </w:t>
            </w:r>
          </w:p>
        </w:tc>
      </w:tr>
      <w:tr w:rsidR="0062568F">
        <w:trPr>
          <w:divId w:val="78735265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lang w:eastAsia="zh-Hans"/>
              </w:rPr>
              <w:t>010475</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lang w:eastAsia="zh-Hans"/>
              </w:rPr>
              <w:t>015055</w:t>
            </w:r>
            <w:r>
              <w:rPr>
                <w:rFonts w:ascii="宋体" w:hAnsi="宋体" w:hint="eastAsia"/>
                <w:kern w:val="0"/>
                <w:sz w:val="20"/>
                <w:lang w:eastAsia="zh-Hans"/>
              </w:rPr>
              <w:t xml:space="preserve"> </w:t>
            </w:r>
          </w:p>
        </w:tc>
      </w:tr>
      <w:bookmarkEnd w:id="34"/>
      <w:bookmarkEnd w:id="33"/>
      <w:tr w:rsidR="0062568F">
        <w:trPr>
          <w:divId w:val="787352655"/>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62568F" w:rsidRDefault="00426C64">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lang w:eastAsia="zh-Hans"/>
              </w:rPr>
              <w:t>43,325,176.69</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lang w:eastAsia="zh-Hans"/>
              </w:rPr>
              <w:t>48,311.46</w:t>
            </w:r>
            <w:r>
              <w:rPr>
                <w:rFonts w:hint="eastAsia"/>
              </w:rPr>
              <w:t>份</w:t>
            </w:r>
            <w:r>
              <w:rPr>
                <w:rFonts w:ascii="宋体" w:hAnsi="宋体" w:hint="eastAsia"/>
                <w:lang w:eastAsia="zh-Hans"/>
              </w:rPr>
              <w:t xml:space="preserve"> </w:t>
            </w:r>
          </w:p>
        </w:tc>
      </w:tr>
    </w:tbl>
    <w:p w:rsidR="0062568F" w:rsidRDefault="00426C64">
      <w:pPr>
        <w:pStyle w:val="XBRLTitle1"/>
        <w:spacing w:before="156" w:line="360" w:lineRule="auto"/>
        <w:ind w:left="425"/>
      </w:pPr>
      <w:bookmarkStart w:id="35" w:name="_Toc17898180"/>
      <w:bookmarkStart w:id="36" w:name="_Toc17897938"/>
      <w:bookmarkStart w:id="37" w:name="_Toc512519482"/>
      <w:bookmarkStart w:id="38" w:name="_Toc481075049"/>
      <w:bookmarkStart w:id="39" w:name="_Toc438646455"/>
      <w:bookmarkStart w:id="40" w:name="_Toc490050003"/>
      <w:bookmarkStart w:id="41" w:name="_Toc513295848"/>
      <w:bookmarkStart w:id="42" w:name="_Toc513295894"/>
      <w:bookmarkStart w:id="43" w:name="m401_tab"/>
      <w:bookmarkStart w:id="44" w:name="m401"/>
      <w:proofErr w:type="spellStart"/>
      <w:r>
        <w:rPr>
          <w:rFonts w:hAnsi="宋体" w:hint="eastAsia"/>
        </w:rPr>
        <w:t>主要财务指标和基金净值表现</w:t>
      </w:r>
      <w:bookmarkEnd w:id="35"/>
      <w:bookmarkEnd w:id="36"/>
      <w:bookmarkEnd w:id="37"/>
      <w:bookmarkEnd w:id="38"/>
      <w:bookmarkEnd w:id="39"/>
      <w:bookmarkEnd w:id="40"/>
      <w:bookmarkEnd w:id="41"/>
      <w:bookmarkEnd w:id="42"/>
      <w:proofErr w:type="spellEnd"/>
      <w:r>
        <w:rPr>
          <w:rFonts w:hAnsi="宋体" w:hint="eastAsia"/>
        </w:rPr>
        <w:t xml:space="preserve"> </w:t>
      </w:r>
    </w:p>
    <w:p w:rsidR="0062568F" w:rsidRDefault="00426C64">
      <w:pPr>
        <w:pStyle w:val="XBRLTitle2"/>
        <w:spacing w:before="156" w:line="360" w:lineRule="auto"/>
        <w:ind w:left="454"/>
      </w:pPr>
      <w:bookmarkStart w:id="45" w:name="_Toc17898181"/>
      <w:bookmarkStart w:id="46" w:name="_Toc17897939"/>
      <w:bookmarkStart w:id="47" w:name="_Toc512519483"/>
      <w:bookmarkStart w:id="48" w:name="_Toc481075050"/>
      <w:bookmarkStart w:id="49" w:name="_Toc438646456"/>
      <w:bookmarkStart w:id="50" w:name="_Toc490050004"/>
      <w:bookmarkStart w:id="51" w:name="_Toc513295849"/>
      <w:bookmarkStart w:id="52" w:name="_Toc513295895"/>
      <w:proofErr w:type="spellStart"/>
      <w:r>
        <w:rPr>
          <w:rFonts w:hAnsi="宋体" w:hint="eastAsia"/>
        </w:rPr>
        <w:t>主要财务指标</w:t>
      </w:r>
      <w:bookmarkEnd w:id="45"/>
      <w:bookmarkEnd w:id="46"/>
      <w:bookmarkEnd w:id="47"/>
      <w:bookmarkEnd w:id="48"/>
      <w:bookmarkEnd w:id="49"/>
      <w:bookmarkEnd w:id="50"/>
      <w:bookmarkEnd w:id="51"/>
      <w:bookmarkEnd w:id="52"/>
      <w:proofErr w:type="spellEnd"/>
      <w:r>
        <w:rPr>
          <w:rFonts w:hAnsi="宋体" w:hint="eastAsia"/>
        </w:rPr>
        <w:t xml:space="preserve"> </w:t>
      </w:r>
    </w:p>
    <w:p w:rsidR="0062568F" w:rsidRDefault="00426C64">
      <w:pPr>
        <w:jc w:val="right"/>
        <w:divId w:val="16078185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3000"/>
        <w:gridCol w:w="3000"/>
      </w:tblGrid>
      <w:tr w:rsidR="0062568F">
        <w:trPr>
          <w:divId w:val="160781855"/>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62568F" w:rsidRDefault="00426C64">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62568F" w:rsidRDefault="00426C64">
            <w:pPr>
              <w:pStyle w:val="a5"/>
              <w:jc w:val="center"/>
            </w:pPr>
            <w:r>
              <w:rPr>
                <w:rFonts w:hint="eastAsia"/>
                <w:kern w:val="2"/>
                <w:sz w:val="21"/>
                <w:szCs w:val="24"/>
                <w:lang w:eastAsia="zh-Hans"/>
              </w:rPr>
              <w:t xml:space="preserve">报告期（2025年1月1日-2025年3月31日） </w:t>
            </w:r>
          </w:p>
        </w:tc>
      </w:tr>
      <w:tr w:rsidR="0062568F">
        <w:trPr>
          <w:divId w:val="160781855"/>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68F" w:rsidRDefault="0062568F">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62568F" w:rsidRDefault="00426C64">
            <w:pPr>
              <w:jc w:val="center"/>
            </w:pPr>
            <w:r>
              <w:rPr>
                <w:rFonts w:ascii="宋体" w:hAnsi="宋体" w:hint="eastAsia"/>
                <w:szCs w:val="24"/>
                <w:lang w:eastAsia="zh-Hans"/>
              </w:rPr>
              <w:t>摩根安享回报一年持有期债券A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62568F" w:rsidRDefault="00426C64">
            <w:pPr>
              <w:jc w:val="center"/>
            </w:pPr>
            <w:r>
              <w:rPr>
                <w:rFonts w:ascii="宋体" w:hAnsi="宋体" w:hint="eastAsia"/>
                <w:szCs w:val="24"/>
                <w:lang w:eastAsia="zh-Hans"/>
              </w:rPr>
              <w:t>摩根安享回报一年持有期债券C</w:t>
            </w:r>
          </w:p>
        </w:tc>
      </w:tr>
      <w:tr w:rsidR="0062568F">
        <w:trPr>
          <w:divId w:val="1607818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605,020.15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573.91</w:t>
            </w:r>
          </w:p>
        </w:tc>
      </w:tr>
      <w:tr w:rsidR="0062568F">
        <w:trPr>
          <w:divId w:val="1607818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57,730.13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-6.29</w:t>
            </w:r>
          </w:p>
        </w:tc>
      </w:tr>
      <w:tr w:rsidR="0062568F">
        <w:trPr>
          <w:divId w:val="1607818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0.0012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-0.0001</w:t>
            </w:r>
          </w:p>
        </w:tc>
      </w:tr>
      <w:tr w:rsidR="0062568F">
        <w:trPr>
          <w:divId w:val="1607818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46,296,273.37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51,065.98</w:t>
            </w:r>
          </w:p>
        </w:tc>
      </w:tr>
      <w:tr w:rsidR="0062568F">
        <w:trPr>
          <w:divId w:val="160781855"/>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1.0686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62568F" w:rsidRDefault="00426C64">
            <w:pPr>
              <w:jc w:val="right"/>
            </w:pPr>
            <w:r>
              <w:rPr>
                <w:rFonts w:ascii="宋体" w:hAnsi="宋体" w:hint="eastAsia"/>
                <w:szCs w:val="24"/>
                <w:lang w:eastAsia="zh-Hans"/>
              </w:rPr>
              <w:t>1.0570</w:t>
            </w:r>
          </w:p>
        </w:tc>
      </w:tr>
    </w:tbl>
    <w:p w:rsidR="0062568F" w:rsidRDefault="00426C64">
      <w:pPr>
        <w:wordWrap w:val="0"/>
        <w:spacing w:line="360" w:lineRule="auto"/>
        <w:jc w:val="left"/>
        <w:divId w:val="1930001513"/>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62568F" w:rsidRDefault="00426C64">
      <w:pPr>
        <w:pStyle w:val="XBRLTitle2"/>
        <w:spacing w:before="156" w:line="360" w:lineRule="auto"/>
        <w:ind w:left="454"/>
      </w:pPr>
      <w:bookmarkStart w:id="53" w:name="_Toc17898182"/>
      <w:bookmarkStart w:id="54" w:name="_Toc17897940"/>
      <w:bookmarkStart w:id="55" w:name="_Toc512519484"/>
      <w:bookmarkStart w:id="56" w:name="_Toc481075051"/>
      <w:bookmarkStart w:id="57" w:name="_Toc438646457"/>
      <w:bookmarkStart w:id="58" w:name="_Toc490050005"/>
      <w:bookmarkStart w:id="59" w:name="_Toc513295850"/>
      <w:bookmarkStart w:id="60" w:name="_Toc513295896"/>
      <w:proofErr w:type="spellStart"/>
      <w:r>
        <w:rPr>
          <w:rFonts w:hAnsi="宋体" w:hint="eastAsia"/>
        </w:rPr>
        <w:t>基金净值表现</w:t>
      </w:r>
      <w:bookmarkEnd w:id="53"/>
      <w:bookmarkEnd w:id="54"/>
      <w:bookmarkEnd w:id="55"/>
      <w:bookmarkEnd w:id="56"/>
      <w:bookmarkEnd w:id="57"/>
      <w:bookmarkEnd w:id="58"/>
      <w:bookmarkEnd w:id="59"/>
      <w:bookmarkEnd w:id="60"/>
      <w:proofErr w:type="spellEnd"/>
      <w:r>
        <w:rPr>
          <w:rFonts w:hAnsi="宋体" w:hint="eastAsia"/>
        </w:rPr>
        <w:t xml:space="preserve"> </w:t>
      </w:r>
    </w:p>
    <w:p w:rsidR="0062568F" w:rsidRDefault="00426C64">
      <w:pPr>
        <w:pStyle w:val="XBRLTitle3"/>
        <w:spacing w:before="156"/>
        <w:ind w:left="0"/>
      </w:pPr>
      <w:bookmarkStart w:id="61" w:name="_Toc17898183"/>
      <w:bookmarkStart w:id="62" w:name="_Toc512519485"/>
      <w:bookmarkStart w:id="63" w:name="_Toc481075052"/>
      <w:bookmarkStart w:id="64" w:name="_Toc490050006"/>
      <w:bookmarkStart w:id="65" w:name="_Toc513295897"/>
      <w:proofErr w:type="spellStart"/>
      <w:r>
        <w:rPr>
          <w:rFonts w:hint="eastAsia"/>
        </w:rPr>
        <w:t>基金份额净值增长率及其与同期业绩比较基准收益率的比较</w:t>
      </w:r>
      <w:bookmarkEnd w:id="61"/>
      <w:bookmarkEnd w:id="62"/>
      <w:bookmarkEnd w:id="63"/>
      <w:bookmarkEnd w:id="64"/>
      <w:bookmarkEnd w:id="65"/>
      <w:proofErr w:type="spellEnd"/>
      <w:r>
        <w:rPr>
          <w:rFonts w:hint="eastAsia"/>
          <w:lang w:eastAsia="zh-CN"/>
        </w:rPr>
        <w:t xml:space="preserve"> </w:t>
      </w:r>
    </w:p>
    <w:p w:rsidR="0062568F" w:rsidRDefault="00426C64">
      <w:pPr>
        <w:spacing w:line="360" w:lineRule="auto"/>
        <w:jc w:val="center"/>
        <w:divId w:val="1273706642"/>
      </w:pPr>
      <w:r>
        <w:rPr>
          <w:rFonts w:ascii="宋体" w:hAnsi="宋体" w:hint="eastAsia"/>
        </w:rPr>
        <w:t>摩根安享回报一年持有期债券A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2568F">
        <w:trPr>
          <w:divId w:val="127370664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②－④ </w:t>
            </w:r>
          </w:p>
        </w:tc>
      </w:tr>
      <w:tr w:rsidR="0062568F">
        <w:trPr>
          <w:divId w:val="12737066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0.08%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0.30%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0.08% </w:t>
            </w:r>
          </w:p>
        </w:tc>
      </w:tr>
      <w:tr w:rsidR="0062568F">
        <w:trPr>
          <w:divId w:val="12737066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0.76%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0.15%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0.05%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0.06% </w:t>
            </w:r>
          </w:p>
        </w:tc>
      </w:tr>
      <w:tr w:rsidR="0062568F">
        <w:trPr>
          <w:divId w:val="12737066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5.07%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3.30%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1.77%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0.10% </w:t>
            </w:r>
          </w:p>
        </w:tc>
      </w:tr>
      <w:tr w:rsidR="0062568F">
        <w:trPr>
          <w:divId w:val="12737066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5.21%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7.14%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-1.93%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0.10% </w:t>
            </w:r>
          </w:p>
        </w:tc>
      </w:tr>
      <w:tr w:rsidR="0062568F">
        <w:trPr>
          <w:divId w:val="127370664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自基金合同</w:t>
            </w:r>
            <w:r>
              <w:rPr>
                <w:rFonts w:ascii="宋体" w:hAnsi="宋体" w:hint="eastAsia"/>
              </w:rPr>
              <w:lastRenderedPageBreak/>
              <w:t>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lastRenderedPageBreak/>
              <w:t xml:space="preserve">6.86%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9.94%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-3.08%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0.08% </w:t>
            </w:r>
          </w:p>
        </w:tc>
      </w:tr>
    </w:tbl>
    <w:p w:rsidR="0062568F" w:rsidRDefault="00426C64">
      <w:pPr>
        <w:spacing w:line="360" w:lineRule="auto"/>
        <w:jc w:val="center"/>
        <w:divId w:val="1338072888"/>
      </w:pPr>
      <w:r>
        <w:rPr>
          <w:rFonts w:ascii="宋体" w:hAnsi="宋体" w:hint="eastAsia"/>
        </w:rPr>
        <w:t>摩根安享回报一年持有期债券C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62568F">
        <w:trPr>
          <w:divId w:val="1338072888"/>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 xml:space="preserve">②－④ </w:t>
            </w:r>
          </w:p>
        </w:tc>
      </w:tr>
      <w:tr w:rsidR="0062568F">
        <w:trPr>
          <w:divId w:val="13380728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0.20%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0.08% </w:t>
            </w:r>
          </w:p>
        </w:tc>
      </w:tr>
      <w:tr w:rsidR="0062568F">
        <w:trPr>
          <w:divId w:val="13380728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0.56%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0.71%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0.15%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-0.15%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0.06% </w:t>
            </w:r>
          </w:p>
        </w:tc>
      </w:tr>
      <w:tr w:rsidR="0062568F">
        <w:trPr>
          <w:divId w:val="13380728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4.67%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3.30%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0.14%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1.37%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0.10% </w:t>
            </w:r>
          </w:p>
        </w:tc>
      </w:tr>
      <w:tr w:rsidR="0062568F">
        <w:trPr>
          <w:divId w:val="13380728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过去三年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3.94%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7.14%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-3.20%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0.10% </w:t>
            </w:r>
          </w:p>
        </w:tc>
      </w:tr>
      <w:tr w:rsidR="0062568F">
        <w:trPr>
          <w:divId w:val="1338072888"/>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2.56%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0.23%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6.33%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vAlign w:val="center"/>
            <w:hideMark/>
          </w:tcPr>
          <w:p w:rsidR="0062568F" w:rsidRDefault="00426C64">
            <w:pPr>
              <w:spacing w:line="360" w:lineRule="auto"/>
              <w:jc w:val="right"/>
            </w:pPr>
            <w:r>
              <w:rPr>
                <w:rFonts w:ascii="宋体" w:hAnsi="宋体" w:hint="eastAsia"/>
              </w:rPr>
              <w:t xml:space="preserve">-3.77%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spacing w:line="360" w:lineRule="auto"/>
              <w:jc w:val="right"/>
            </w:pPr>
            <w:r>
              <w:rPr>
                <w:rFonts w:ascii="宋体" w:hAnsi="宋体" w:hint="eastAsia"/>
              </w:rPr>
              <w:t xml:space="preserve">0.11% </w:t>
            </w:r>
          </w:p>
        </w:tc>
      </w:tr>
    </w:tbl>
    <w:p w:rsidR="0062568F" w:rsidRDefault="00426C64">
      <w:pPr>
        <w:pStyle w:val="XBRLTitle3"/>
        <w:spacing w:before="156"/>
        <w:ind w:left="0"/>
      </w:pPr>
      <w:bookmarkStart w:id="66" w:name="_Toc17898184"/>
      <w:bookmarkStart w:id="67" w:name="_Toc512519486"/>
      <w:bookmarkStart w:id="68" w:name="_Toc481075053"/>
      <w:bookmarkStart w:id="69" w:name="_Toc490050007"/>
      <w:bookmarkStart w:id="70" w:name="_Toc513295898"/>
      <w:proofErr w:type="spellStart"/>
      <w:r>
        <w:rPr>
          <w:rFonts w:hint="eastAsia"/>
        </w:rPr>
        <w:t>自基金合同生效以来基金累计净值增长率变动及其与同期业绩比较基准收益率变动的比较</w:t>
      </w:r>
      <w:bookmarkEnd w:id="66"/>
      <w:bookmarkEnd w:id="67"/>
      <w:bookmarkEnd w:id="68"/>
      <w:bookmarkEnd w:id="69"/>
      <w:bookmarkEnd w:id="70"/>
      <w:proofErr w:type="spellEnd"/>
    </w:p>
    <w:p w:rsidR="0062568F" w:rsidRDefault="00426C64">
      <w:pPr>
        <w:spacing w:line="360" w:lineRule="auto"/>
        <w:jc w:val="left"/>
        <w:divId w:val="1998653520"/>
      </w:pPr>
      <w:bookmarkStart w:id="71" w:name="m07_04_07_09"/>
      <w:bookmarkStart w:id="72" w:name="m07_04_07_09_tab"/>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62568F" w:rsidRDefault="00426C64">
      <w:pPr>
        <w:spacing w:line="360" w:lineRule="auto"/>
        <w:jc w:val="left"/>
        <w:divId w:val="2068604017"/>
      </w:pPr>
      <w:r>
        <w:rPr>
          <w:rFonts w:ascii="宋体" w:hAnsi="宋体"/>
          <w:noProof/>
        </w:rPr>
        <w:lastRenderedPageBreak/>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62568F" w:rsidRDefault="00426C64">
      <w:pPr>
        <w:spacing w:line="360" w:lineRule="auto"/>
      </w:pPr>
      <w:r>
        <w:rPr>
          <w:rFonts w:ascii="宋体" w:hAnsi="宋体" w:hint="eastAsia"/>
        </w:rPr>
        <w:t>注：</w:t>
      </w:r>
      <w:r>
        <w:rPr>
          <w:rFonts w:ascii="宋体" w:hAnsi="宋体" w:hint="eastAsia"/>
          <w:lang w:eastAsia="zh-Hans"/>
        </w:rPr>
        <w:t>本基金合同生效日为2021年2月8日，图示的时间段为合同生效日至本报告期末。</w:t>
      </w:r>
      <w:r>
        <w:rPr>
          <w:rFonts w:ascii="宋体" w:hAnsi="宋体" w:hint="eastAsia"/>
          <w:lang w:eastAsia="zh-Hans"/>
        </w:rPr>
        <w:br/>
        <w:t xml:space="preserve">　　本基金自 2022年2月9日起增加C类份额，相关数据按实际存续期计算。</w:t>
      </w:r>
      <w:r>
        <w:rPr>
          <w:rFonts w:ascii="宋体" w:hAnsi="宋体" w:hint="eastAsia"/>
          <w:lang w:eastAsia="zh-Hans"/>
        </w:rPr>
        <w:br/>
        <w:t xml:space="preserve">　　本基金建仓期为本基金合同生效日起6个月，建仓期结束时资产配置比例符合本基金基金合同规定。</w:t>
      </w:r>
      <w:r>
        <w:rPr>
          <w:rFonts w:ascii="宋体" w:hAnsi="宋体" w:hint="eastAsia"/>
          <w:kern w:val="0"/>
          <w:lang w:eastAsia="zh-Hans"/>
        </w:rPr>
        <w:t xml:space="preserve"> </w:t>
      </w:r>
    </w:p>
    <w:p w:rsidR="0062568F" w:rsidRDefault="00426C64">
      <w:pPr>
        <w:pStyle w:val="XBRLTitle1"/>
        <w:spacing w:before="156" w:line="360" w:lineRule="auto"/>
        <w:ind w:left="425"/>
      </w:pPr>
      <w:bookmarkStart w:id="73" w:name="_Toc17898186"/>
      <w:bookmarkStart w:id="74" w:name="_Toc17897942"/>
      <w:bookmarkStart w:id="75" w:name="_Toc481075054"/>
      <w:bookmarkStart w:id="76" w:name="_Toc438646458"/>
      <w:bookmarkStart w:id="77" w:name="_Toc490050008"/>
      <w:bookmarkStart w:id="78" w:name="_Toc512519487"/>
      <w:bookmarkStart w:id="79" w:name="_Toc513295851"/>
      <w:bookmarkStart w:id="80" w:name="_Toc513295899"/>
      <w:proofErr w:type="spellStart"/>
      <w:r>
        <w:rPr>
          <w:rFonts w:hAnsi="宋体" w:hint="eastAsia"/>
        </w:rPr>
        <w:t>管理人报告</w:t>
      </w:r>
      <w:bookmarkEnd w:id="73"/>
      <w:bookmarkEnd w:id="74"/>
      <w:bookmarkEnd w:id="75"/>
      <w:bookmarkEnd w:id="76"/>
      <w:bookmarkEnd w:id="77"/>
      <w:bookmarkEnd w:id="78"/>
      <w:bookmarkEnd w:id="79"/>
      <w:bookmarkEnd w:id="80"/>
      <w:proofErr w:type="spellEnd"/>
      <w:r>
        <w:rPr>
          <w:rFonts w:hAnsi="宋体" w:hint="eastAsia"/>
        </w:rPr>
        <w:t xml:space="preserve"> </w:t>
      </w:r>
    </w:p>
    <w:p w:rsidR="0062568F" w:rsidRDefault="00426C64">
      <w:pPr>
        <w:pStyle w:val="XBRLTitle2"/>
        <w:spacing w:before="156" w:line="360" w:lineRule="auto"/>
        <w:ind w:left="454"/>
      </w:pPr>
      <w:bookmarkStart w:id="81" w:name="_Toc17898187"/>
      <w:bookmarkStart w:id="82" w:name="_Toc17897943"/>
      <w:bookmarkStart w:id="83" w:name="_Toc481075055"/>
      <w:bookmarkStart w:id="84" w:name="_Toc438646459"/>
      <w:bookmarkStart w:id="85" w:name="_Toc490050009"/>
      <w:bookmarkStart w:id="86" w:name="_Toc512519488"/>
      <w:bookmarkStart w:id="87" w:name="_Toc513295852"/>
      <w:bookmarkStart w:id="88" w:name="_Toc513295900"/>
      <w:proofErr w:type="spellStart"/>
      <w:r>
        <w:rPr>
          <w:rFonts w:hAnsi="宋体" w:hint="eastAsia"/>
        </w:rPr>
        <w:t>基金经理（或基金经理小组）简介</w:t>
      </w:r>
      <w:bookmarkEnd w:id="81"/>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62568F">
        <w:trPr>
          <w:divId w:val="991255733"/>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62568F">
        <w:trPr>
          <w:divId w:val="991255733"/>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568F" w:rsidRDefault="0062568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68F" w:rsidRDefault="0062568F">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68F" w:rsidRDefault="0062568F">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568F" w:rsidRDefault="0062568F">
            <w:pPr>
              <w:widowControl/>
              <w:jc w:val="left"/>
            </w:pPr>
          </w:p>
        </w:tc>
      </w:tr>
      <w:tr w:rsidR="0062568F">
        <w:trPr>
          <w:divId w:val="99125573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王娟</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2022年11月25日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12年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szCs w:val="24"/>
                <w:lang w:eastAsia="zh-Hans"/>
              </w:rPr>
              <w:t xml:space="preserve">王娟女士曾任海通期货有限公司研究所金融期货部经理，中国农业银行金融市场部投资经理，尚腾资本管理有限公司投资经理；自2020年8月加入摩根基金管理(中国)有限公司(原上投摩根基金管理有限公司)，历任绝对收益投资部基金经理助理，现任基金经理。 </w:t>
            </w:r>
          </w:p>
        </w:tc>
      </w:tr>
      <w:tr w:rsidR="0062568F">
        <w:trPr>
          <w:divId w:val="99125573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杨鹏</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2023年9月15日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szCs w:val="24"/>
                <w:lang w:eastAsia="zh-Hans"/>
              </w:rPr>
              <w:t>杨鹏先生曾就职于华泰柏瑞基金管理有限公司和华金证券，曾任建信人寿保险股份有限公司FOF投资经理，鹏华基金管理有限公司绝对收益投资部投资经理，太平养老保险股份有限公司年金和养老金投资经理。自2023年5月加入摩根基金管理(中国)有限公司(原上投摩根基金管理有限公司)，现任绝对收益投资部高级基金经理。</w:t>
            </w:r>
          </w:p>
        </w:tc>
      </w:tr>
      <w:tr w:rsidR="0062568F">
        <w:trPr>
          <w:divId w:val="991255733"/>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lastRenderedPageBreak/>
              <w:t>陈圆明</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szCs w:val="24"/>
                <w:lang w:eastAsia="zh-Hans"/>
              </w:rPr>
              <w:t>本基金基金经理、绝对收益投资部总监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2021年2月8日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2025年1月16日</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16年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szCs w:val="24"/>
                <w:lang w:eastAsia="zh-Hans"/>
              </w:rPr>
              <w:t>陈圆明先生曾任东海证券有限责任公司研究员，国联安基金管理有限公司研究员，国投瑞银基金管理有限公司研究员、投资经理，鹏华基金管理有限公司投资经理、绝对收益副总监。2019年2月起加入摩根基金管理（中国）有限公司（原上投摩根基金管理有限公司），任绝对收益投资部总监兼资深基金经理。</w:t>
            </w:r>
          </w:p>
        </w:tc>
      </w:tr>
    </w:tbl>
    <w:p w:rsidR="0062568F" w:rsidRDefault="00426C64">
      <w:pPr>
        <w:wordWrap w:val="0"/>
        <w:spacing w:line="360" w:lineRule="auto"/>
        <w:jc w:val="left"/>
        <w:divId w:val="639194878"/>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62568F" w:rsidRDefault="00426C64">
      <w:pPr>
        <w:pStyle w:val="XBRLTitle2"/>
        <w:spacing w:before="156" w:line="360" w:lineRule="auto"/>
        <w:ind w:left="454"/>
      </w:pPr>
      <w:bookmarkStart w:id="90" w:name="_Toc17898188"/>
      <w:bookmarkStart w:id="91" w:name="_Toc17897944"/>
      <w:bookmarkStart w:id="92" w:name="_Toc481075056"/>
      <w:bookmarkStart w:id="93" w:name="_Toc438646460"/>
      <w:bookmarkStart w:id="94" w:name="_Toc490050010"/>
      <w:bookmarkStart w:id="95" w:name="_Toc512519489"/>
      <w:bookmarkStart w:id="96" w:name="_Toc513295853"/>
      <w:bookmarkStart w:id="97" w:name="_Toc513295901"/>
      <w:bookmarkStart w:id="98" w:name="m402"/>
      <w:proofErr w:type="spellStart"/>
      <w:r>
        <w:rPr>
          <w:rFonts w:hAnsi="宋体" w:hint="eastAsia"/>
        </w:rPr>
        <w:t>管理人对报告期内本基金运作遵规守信情况的说明</w:t>
      </w:r>
      <w:bookmarkEnd w:id="90"/>
      <w:bookmarkEnd w:id="91"/>
      <w:bookmarkEnd w:id="92"/>
      <w:bookmarkEnd w:id="93"/>
      <w:bookmarkEnd w:id="94"/>
      <w:bookmarkEnd w:id="95"/>
      <w:bookmarkEnd w:id="96"/>
      <w:bookmarkEnd w:id="97"/>
      <w:proofErr w:type="spellEnd"/>
      <w:r>
        <w:rPr>
          <w:rFonts w:hAnsi="宋体" w:hint="eastAsia"/>
        </w:rPr>
        <w:t xml:space="preserve"> </w:t>
      </w:r>
    </w:p>
    <w:p w:rsidR="0062568F" w:rsidRDefault="00426C64">
      <w:pPr>
        <w:spacing w:line="360" w:lineRule="auto"/>
        <w:ind w:firstLineChars="200" w:firstLine="420"/>
        <w:jc w:val="left"/>
      </w:pPr>
      <w:bookmarkStart w:id="99" w:name="m403"/>
      <w:bookmarkEnd w:id="98"/>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rsidR="0062568F" w:rsidRDefault="00426C64">
      <w:pPr>
        <w:pStyle w:val="XBRLTitle2"/>
        <w:spacing w:before="156" w:line="360" w:lineRule="auto"/>
        <w:ind w:left="454"/>
      </w:pPr>
      <w:bookmarkStart w:id="100" w:name="_Toc17898189"/>
      <w:bookmarkStart w:id="101" w:name="_Toc17897945"/>
      <w:bookmarkStart w:id="102" w:name="_Toc481075057"/>
      <w:bookmarkStart w:id="103" w:name="_Toc438646462"/>
      <w:bookmarkStart w:id="104" w:name="_Toc490050011"/>
      <w:bookmarkStart w:id="105" w:name="_Toc512519490"/>
      <w:bookmarkStart w:id="106" w:name="_Toc513295854"/>
      <w:bookmarkStart w:id="107" w:name="_Toc513295902"/>
      <w:bookmarkEnd w:id="99"/>
      <w:proofErr w:type="spellStart"/>
      <w:r>
        <w:rPr>
          <w:rFonts w:hAnsi="宋体" w:hint="eastAsia"/>
        </w:rPr>
        <w:t>公平交易专项说明</w:t>
      </w:r>
      <w:bookmarkEnd w:id="100"/>
      <w:bookmarkEnd w:id="101"/>
      <w:bookmarkEnd w:id="102"/>
      <w:bookmarkEnd w:id="103"/>
      <w:bookmarkEnd w:id="104"/>
      <w:bookmarkEnd w:id="105"/>
      <w:bookmarkEnd w:id="106"/>
      <w:bookmarkEnd w:id="107"/>
      <w:proofErr w:type="spellEnd"/>
      <w:r>
        <w:rPr>
          <w:rFonts w:hAnsi="宋体" w:hint="eastAsia"/>
        </w:rPr>
        <w:t xml:space="preserve"> </w:t>
      </w:r>
    </w:p>
    <w:p w:rsidR="0062568F" w:rsidRDefault="00426C64">
      <w:pPr>
        <w:pStyle w:val="XBRLTitle3"/>
        <w:spacing w:before="156"/>
        <w:ind w:left="0"/>
      </w:pPr>
      <w:bookmarkStart w:id="108" w:name="_Toc17898190"/>
      <w:bookmarkStart w:id="109" w:name="_Toc481075058"/>
      <w:bookmarkStart w:id="110" w:name="_Toc490050012"/>
      <w:bookmarkStart w:id="111" w:name="_Toc512519491"/>
      <w:bookmarkStart w:id="112" w:name="_Toc513295903"/>
      <w:bookmarkStart w:id="113" w:name="m404_01_0570"/>
      <w:proofErr w:type="spellStart"/>
      <w:r>
        <w:rPr>
          <w:rFonts w:hint="eastAsia"/>
        </w:rPr>
        <w:t>公平交易制度的执行情况</w:t>
      </w:r>
      <w:bookmarkEnd w:id="108"/>
      <w:bookmarkEnd w:id="109"/>
      <w:bookmarkEnd w:id="110"/>
      <w:bookmarkEnd w:id="111"/>
      <w:bookmarkEnd w:id="112"/>
      <w:proofErr w:type="spellEnd"/>
    </w:p>
    <w:p w:rsidR="0062568F" w:rsidRDefault="00426C64">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62568F" w:rsidRDefault="00426C64">
      <w:pPr>
        <w:pStyle w:val="XBRLTitle3"/>
        <w:spacing w:before="156"/>
        <w:ind w:left="0"/>
      </w:pPr>
      <w:bookmarkStart w:id="114" w:name="_Toc17898191"/>
      <w:bookmarkStart w:id="115" w:name="_Toc481075059"/>
      <w:bookmarkStart w:id="116" w:name="_Toc490050013"/>
      <w:bookmarkStart w:id="117" w:name="_Toc512519492"/>
      <w:bookmarkStart w:id="118" w:name="_Toc513295904"/>
      <w:bookmarkStart w:id="119" w:name="m404_01_0578"/>
      <w:bookmarkEnd w:id="113"/>
      <w:proofErr w:type="spellStart"/>
      <w:r>
        <w:rPr>
          <w:rFonts w:hint="eastAsia"/>
        </w:rPr>
        <w:t>异常交易行为的专项说明</w:t>
      </w:r>
      <w:bookmarkEnd w:id="114"/>
      <w:bookmarkEnd w:id="115"/>
      <w:bookmarkEnd w:id="116"/>
      <w:bookmarkEnd w:id="117"/>
      <w:bookmarkEnd w:id="118"/>
      <w:proofErr w:type="spellEnd"/>
    </w:p>
    <w:p w:rsidR="0062568F" w:rsidRDefault="00426C64">
      <w:pPr>
        <w:spacing w:line="360" w:lineRule="auto"/>
        <w:ind w:firstLineChars="200" w:firstLine="420"/>
        <w:jc w:val="left"/>
      </w:pPr>
      <w:r>
        <w:rPr>
          <w:rFonts w:ascii="宋体" w:hAnsi="宋体" w:cs="宋体" w:hint="eastAsia"/>
          <w:color w:val="000000"/>
          <w:kern w:val="0"/>
        </w:rPr>
        <w:lastRenderedPageBreak/>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62568F" w:rsidRDefault="00426C64">
      <w:pPr>
        <w:pStyle w:val="XBRLTitle2"/>
        <w:spacing w:before="156" w:line="360" w:lineRule="auto"/>
        <w:ind w:left="454"/>
      </w:pPr>
      <w:bookmarkStart w:id="120" w:name="_Toc17898192"/>
      <w:bookmarkStart w:id="121" w:name="_Toc17897946"/>
      <w:bookmarkStart w:id="122" w:name="_Toc481075061"/>
      <w:bookmarkStart w:id="123" w:name="_Toc490050014"/>
      <w:bookmarkStart w:id="124" w:name="_Toc512519493"/>
      <w:bookmarkStart w:id="125" w:name="_Toc513295855"/>
      <w:bookmarkStart w:id="126" w:name="_Toc513295905"/>
      <w:bookmarkStart w:id="127" w:name="m405_01_2550"/>
      <w:bookmarkEnd w:id="119"/>
      <w:proofErr w:type="spellStart"/>
      <w:r>
        <w:rPr>
          <w:rFonts w:hAnsi="宋体" w:hint="eastAsia"/>
        </w:rPr>
        <w:t>报告期内基金的投资策略和运作分析</w:t>
      </w:r>
      <w:bookmarkEnd w:id="120"/>
      <w:bookmarkEnd w:id="121"/>
      <w:bookmarkEnd w:id="122"/>
      <w:bookmarkEnd w:id="123"/>
      <w:bookmarkEnd w:id="124"/>
      <w:bookmarkEnd w:id="125"/>
      <w:bookmarkEnd w:id="126"/>
      <w:proofErr w:type="spellEnd"/>
      <w:r>
        <w:rPr>
          <w:rFonts w:hAnsi="宋体" w:hint="eastAsia"/>
        </w:rPr>
        <w:t xml:space="preserve"> </w:t>
      </w:r>
    </w:p>
    <w:p w:rsidR="0062568F" w:rsidRDefault="00426C64">
      <w:pPr>
        <w:spacing w:line="360" w:lineRule="auto"/>
        <w:ind w:firstLineChars="200" w:firstLine="420"/>
        <w:jc w:val="left"/>
      </w:pPr>
      <w:r>
        <w:rPr>
          <w:rFonts w:ascii="宋体" w:hAnsi="宋体" w:cs="宋体" w:hint="eastAsia"/>
          <w:color w:val="000000"/>
          <w:kern w:val="0"/>
        </w:rPr>
        <w:t>回顾一季度，我们采取了核心+卫星策略的多策略投资体系。其中，在保持核心配置处于整体中性的配置下，积极使用卫星策略</w:t>
      </w:r>
      <w:proofErr w:type="gramStart"/>
      <w:r>
        <w:rPr>
          <w:rFonts w:ascii="宋体" w:hAnsi="宋体" w:cs="宋体" w:hint="eastAsia"/>
          <w:color w:val="000000"/>
          <w:kern w:val="0"/>
        </w:rPr>
        <w:t>仓位</w:t>
      </w:r>
      <w:proofErr w:type="gramEnd"/>
      <w:r>
        <w:rPr>
          <w:rFonts w:ascii="宋体" w:hAnsi="宋体" w:cs="宋体" w:hint="eastAsia"/>
          <w:color w:val="000000"/>
          <w:kern w:val="0"/>
        </w:rPr>
        <w:t>参与了</w:t>
      </w:r>
      <w:proofErr w:type="gramStart"/>
      <w:r>
        <w:rPr>
          <w:rFonts w:ascii="宋体" w:hAnsi="宋体" w:cs="宋体" w:hint="eastAsia"/>
          <w:color w:val="000000"/>
          <w:kern w:val="0"/>
        </w:rPr>
        <w:t>智驾和</w:t>
      </w:r>
      <w:proofErr w:type="gramEnd"/>
      <w:r>
        <w:rPr>
          <w:rFonts w:ascii="宋体" w:hAnsi="宋体" w:cs="宋体" w:hint="eastAsia"/>
          <w:color w:val="000000"/>
          <w:kern w:val="0"/>
        </w:rPr>
        <w:t>AI等机会，期间在</w:t>
      </w:r>
      <w:proofErr w:type="gramStart"/>
      <w:r>
        <w:rPr>
          <w:rFonts w:ascii="宋体" w:hAnsi="宋体" w:cs="宋体" w:hint="eastAsia"/>
          <w:color w:val="000000"/>
          <w:kern w:val="0"/>
        </w:rPr>
        <w:t>左侧对</w:t>
      </w:r>
      <w:proofErr w:type="gramEnd"/>
      <w:r>
        <w:rPr>
          <w:rFonts w:ascii="宋体" w:hAnsi="宋体" w:cs="宋体" w:hint="eastAsia"/>
          <w:color w:val="000000"/>
          <w:kern w:val="0"/>
        </w:rPr>
        <w:t>估值透支过多的个股进行了减仓操作。债券方面，以</w:t>
      </w:r>
      <w:proofErr w:type="gramStart"/>
      <w:r>
        <w:rPr>
          <w:rFonts w:ascii="宋体" w:hAnsi="宋体" w:cs="宋体" w:hint="eastAsia"/>
          <w:color w:val="000000"/>
          <w:kern w:val="0"/>
        </w:rPr>
        <w:t>短久期</w:t>
      </w:r>
      <w:proofErr w:type="gramEnd"/>
      <w:r>
        <w:rPr>
          <w:rFonts w:ascii="宋体" w:hAnsi="宋体" w:cs="宋体" w:hint="eastAsia"/>
          <w:color w:val="000000"/>
          <w:kern w:val="0"/>
        </w:rPr>
        <w:t>债券配置为主，并择机进行</w:t>
      </w:r>
      <w:proofErr w:type="gramStart"/>
      <w:r>
        <w:rPr>
          <w:rFonts w:ascii="宋体" w:hAnsi="宋体" w:cs="宋体" w:hint="eastAsia"/>
          <w:color w:val="000000"/>
          <w:kern w:val="0"/>
        </w:rPr>
        <w:t>组合久期的</w:t>
      </w:r>
      <w:proofErr w:type="gramEnd"/>
      <w:r>
        <w:rPr>
          <w:rFonts w:ascii="宋体" w:hAnsi="宋体" w:cs="宋体" w:hint="eastAsia"/>
          <w:color w:val="000000"/>
          <w:kern w:val="0"/>
        </w:rPr>
        <w:t>调整。</w:t>
      </w:r>
      <w:r>
        <w:rPr>
          <w:rFonts w:ascii="宋体" w:hAnsi="宋体" w:cs="宋体" w:hint="eastAsia"/>
          <w:color w:val="000000"/>
          <w:kern w:val="0"/>
        </w:rPr>
        <w:br/>
        <w:t xml:space="preserve">　　从目前的国内基本面来看，宏观经济总体平稳，但结构分化。支撑在于基建重大项目推进较快，以旧换新支撑家电、汽车销售，出口</w:t>
      </w:r>
      <w:proofErr w:type="gramStart"/>
      <w:r>
        <w:rPr>
          <w:rFonts w:ascii="宋体" w:hAnsi="宋体" w:cs="宋体" w:hint="eastAsia"/>
          <w:color w:val="000000"/>
          <w:kern w:val="0"/>
        </w:rPr>
        <w:t>货运受低基数</w:t>
      </w:r>
      <w:proofErr w:type="gramEnd"/>
      <w:r>
        <w:rPr>
          <w:rFonts w:ascii="宋体" w:hAnsi="宋体" w:cs="宋体" w:hint="eastAsia"/>
          <w:color w:val="000000"/>
          <w:kern w:val="0"/>
        </w:rPr>
        <w:t>推升，且地产销售“金三”成色尚可。拖累在于家电、汽车等中下游行业生产增速放缓，房地产销售的恢复尚未充分传导至房建施工，企业预期和信心有待巩固和提升。财政维持收入小幅放缓但支出继续扩张的状态，PMI等情绪数据延续边际小幅改善。</w:t>
      </w:r>
      <w:r>
        <w:rPr>
          <w:rFonts w:ascii="宋体" w:hAnsi="宋体" w:cs="宋体" w:hint="eastAsia"/>
          <w:color w:val="000000"/>
          <w:kern w:val="0"/>
        </w:rPr>
        <w:br/>
        <w:t xml:space="preserve">　　从股票市场来看，整体处于区间震荡中。从全市场整体EPS边际变化来看，本轮周期相对前两轮弹性较弱，市场的整体估值处于中性略贵的状态，核心</w:t>
      </w:r>
      <w:proofErr w:type="gramStart"/>
      <w:r>
        <w:rPr>
          <w:rFonts w:ascii="宋体" w:hAnsi="宋体" w:cs="宋体" w:hint="eastAsia"/>
          <w:color w:val="000000"/>
          <w:kern w:val="0"/>
        </w:rPr>
        <w:t>在于略被透支</w:t>
      </w:r>
      <w:proofErr w:type="gramEnd"/>
      <w:r>
        <w:rPr>
          <w:rFonts w:ascii="宋体" w:hAnsi="宋体" w:cs="宋体" w:hint="eastAsia"/>
          <w:color w:val="000000"/>
          <w:kern w:val="0"/>
        </w:rPr>
        <w:t>的估值是否能够被预期业绩消化。具体来看，1、中短期市场交易的焦点在于美国对等关税及其连锁事件落地过程的预期。2、两会后增量财政政策落地，基本符合预期。国常会部署加快加力清理拖欠企业账款工作，</w:t>
      </w:r>
      <w:proofErr w:type="gramStart"/>
      <w:r>
        <w:rPr>
          <w:rFonts w:ascii="宋体" w:hAnsi="宋体" w:cs="宋体" w:hint="eastAsia"/>
          <w:color w:val="000000"/>
          <w:kern w:val="0"/>
        </w:rPr>
        <w:t>全国碳排放权</w:t>
      </w:r>
      <w:proofErr w:type="gramEnd"/>
      <w:r>
        <w:rPr>
          <w:rFonts w:ascii="宋体" w:hAnsi="宋体" w:cs="宋体" w:hint="eastAsia"/>
          <w:color w:val="000000"/>
          <w:kern w:val="0"/>
        </w:rPr>
        <w:t>交易市场</w:t>
      </w:r>
      <w:proofErr w:type="gramStart"/>
      <w:r>
        <w:rPr>
          <w:rFonts w:ascii="宋体" w:hAnsi="宋体" w:cs="宋体" w:hint="eastAsia"/>
          <w:color w:val="000000"/>
          <w:kern w:val="0"/>
        </w:rPr>
        <w:t>首次扩围至</w:t>
      </w:r>
      <w:proofErr w:type="gramEnd"/>
      <w:r>
        <w:rPr>
          <w:rFonts w:ascii="宋体" w:hAnsi="宋体" w:cs="宋体" w:hint="eastAsia"/>
          <w:color w:val="000000"/>
          <w:kern w:val="0"/>
        </w:rPr>
        <w:t>钢铁、水泥、铝冶炼行业，财政部2025年财政政策要更加积极，提高财政赤字率、安排更大规模政府债券。国内应对潜在贸易摩擦超预期压力，增量政策已有储备且预计会对冲落地。3、中美关系处于平淡期，暂未展开有效地谈判，前期已施压情况下很难继续加码。4、从周期思维观察市场，需密切</w:t>
      </w:r>
      <w:proofErr w:type="gramStart"/>
      <w:r>
        <w:rPr>
          <w:rFonts w:ascii="宋体" w:hAnsi="宋体" w:cs="宋体" w:hint="eastAsia"/>
          <w:color w:val="000000"/>
          <w:kern w:val="0"/>
        </w:rPr>
        <w:t>注意全</w:t>
      </w:r>
      <w:proofErr w:type="gramEnd"/>
      <w:r>
        <w:rPr>
          <w:rFonts w:ascii="宋体" w:hAnsi="宋体" w:cs="宋体" w:hint="eastAsia"/>
          <w:color w:val="000000"/>
          <w:kern w:val="0"/>
        </w:rPr>
        <w:t>市场业绩的边际变化。因此我们会根据中微观业绩趋势周期和流动性所反映出的市场节奏和动态估值水平，对组合进行平衡调节。</w:t>
      </w:r>
      <w:r>
        <w:rPr>
          <w:rFonts w:ascii="宋体" w:hAnsi="宋体" w:cs="宋体" w:hint="eastAsia"/>
          <w:color w:val="000000"/>
          <w:kern w:val="0"/>
        </w:rPr>
        <w:br/>
        <w:t xml:space="preserve">　　债券方面：一季度利率</w:t>
      </w:r>
      <w:proofErr w:type="gramStart"/>
      <w:r>
        <w:rPr>
          <w:rFonts w:ascii="宋体" w:hAnsi="宋体" w:cs="宋体" w:hint="eastAsia"/>
          <w:color w:val="000000"/>
          <w:kern w:val="0"/>
        </w:rPr>
        <w:t>债出现</w:t>
      </w:r>
      <w:proofErr w:type="gramEnd"/>
      <w:r>
        <w:rPr>
          <w:rFonts w:ascii="宋体" w:hAnsi="宋体" w:cs="宋体" w:hint="eastAsia"/>
          <w:color w:val="000000"/>
          <w:kern w:val="0"/>
        </w:rPr>
        <w:t>了一定程度的调整，是否出现有吸引力的机会，我们认为在取决于前经济复苏的节奏和银行资产端信贷投放情况。如果经济复苏低于预期，信贷投放较弱，那么利率债作为优质生息资产或再次被配置方银行端所关注。反之则利率</w:t>
      </w:r>
      <w:proofErr w:type="gramStart"/>
      <w:r>
        <w:rPr>
          <w:rFonts w:ascii="宋体" w:hAnsi="宋体" w:cs="宋体" w:hint="eastAsia"/>
          <w:color w:val="000000"/>
          <w:kern w:val="0"/>
        </w:rPr>
        <w:t>债可能</w:t>
      </w:r>
      <w:proofErr w:type="gramEnd"/>
      <w:r>
        <w:rPr>
          <w:rFonts w:ascii="宋体" w:hAnsi="宋体" w:cs="宋体" w:hint="eastAsia"/>
          <w:color w:val="000000"/>
          <w:kern w:val="0"/>
        </w:rPr>
        <w:t>继续区间震荡。一方面我们会时刻跟踪高频数据，渐进调节组合结构；另一方面，也会在市场遭遇情绪或流动性冲击的时候，进行区间波段操作。</w:t>
      </w:r>
    </w:p>
    <w:p w:rsidR="0062568F" w:rsidRDefault="00426C64">
      <w:pPr>
        <w:pStyle w:val="XBRLTitle2"/>
        <w:spacing w:before="156" w:line="360" w:lineRule="auto"/>
        <w:ind w:left="454"/>
      </w:pPr>
      <w:bookmarkStart w:id="128" w:name="_Toc17898193"/>
      <w:bookmarkStart w:id="129" w:name="_Toc17897947"/>
      <w:bookmarkStart w:id="130" w:name="_Toc490050015"/>
      <w:bookmarkStart w:id="131" w:name="_Toc481075062"/>
      <w:bookmarkStart w:id="132" w:name="_Toc512519494"/>
      <w:bookmarkStart w:id="133" w:name="_Toc513295856"/>
      <w:bookmarkStart w:id="134" w:name="_Toc513295906"/>
      <w:bookmarkStart w:id="135" w:name="m405_01_2549"/>
      <w:bookmarkEnd w:id="127"/>
      <w:proofErr w:type="spellStart"/>
      <w:r>
        <w:rPr>
          <w:rFonts w:hAnsi="宋体" w:hint="eastAsia"/>
        </w:rPr>
        <w:t>报告期内基金的业绩表现</w:t>
      </w:r>
      <w:bookmarkEnd w:id="128"/>
      <w:bookmarkEnd w:id="129"/>
      <w:bookmarkEnd w:id="130"/>
      <w:bookmarkEnd w:id="131"/>
      <w:bookmarkEnd w:id="132"/>
      <w:bookmarkEnd w:id="133"/>
      <w:bookmarkEnd w:id="134"/>
      <w:proofErr w:type="spellEnd"/>
      <w:r>
        <w:rPr>
          <w:rFonts w:hAnsi="宋体" w:hint="eastAsia"/>
        </w:rPr>
        <w:t xml:space="preserve"> </w:t>
      </w:r>
      <w:bookmarkEnd w:id="135"/>
    </w:p>
    <w:p w:rsidR="0062568F" w:rsidRDefault="00426C64">
      <w:pPr>
        <w:spacing w:line="360" w:lineRule="auto"/>
        <w:ind w:firstLineChars="200" w:firstLine="420"/>
      </w:pPr>
      <w:r>
        <w:rPr>
          <w:rFonts w:ascii="宋体" w:hAnsi="宋体" w:hint="eastAsia"/>
        </w:rPr>
        <w:t>本报告期摩根安享回报一年持有期债券A份额净值增长率为：0.08%，同期业绩比较基准收益</w:t>
      </w:r>
      <w:r>
        <w:rPr>
          <w:rFonts w:ascii="宋体" w:hAnsi="宋体" w:hint="eastAsia"/>
        </w:rPr>
        <w:lastRenderedPageBreak/>
        <w:t>率为：-0.22%；</w:t>
      </w:r>
      <w:r>
        <w:rPr>
          <w:rFonts w:ascii="宋体" w:hAnsi="宋体" w:hint="eastAsia"/>
        </w:rPr>
        <w:br/>
        <w:t xml:space="preserve">　　摩根安享回报一年持有期债券C份额净值增长率为：-0.02%，同期业绩比较基准收益率为：-0.22%。</w:t>
      </w:r>
    </w:p>
    <w:p w:rsidR="0062568F" w:rsidRDefault="00426C64">
      <w:pPr>
        <w:pStyle w:val="XBRLTitle2"/>
        <w:spacing w:before="156" w:line="360" w:lineRule="auto"/>
        <w:ind w:left="454"/>
      </w:pPr>
      <w:bookmarkStart w:id="136" w:name="m406"/>
      <w:bookmarkStart w:id="137" w:name="_Toc17898194"/>
      <w:bookmarkStart w:id="138" w:name="_Toc17897948"/>
      <w:bookmarkStart w:id="139" w:name="_Toc490050016"/>
      <w:bookmarkStart w:id="140" w:name="_Toc481075063"/>
      <w:bookmarkStart w:id="141" w:name="_Toc438646465"/>
      <w:bookmarkStart w:id="142" w:name="_Toc512519495"/>
      <w:bookmarkStart w:id="143" w:name="_Toc513295857"/>
      <w:bookmarkStart w:id="144" w:name="_Toc513295907"/>
      <w:bookmarkStart w:id="145" w:name="m407"/>
      <w:bookmarkEnd w:id="136"/>
      <w:proofErr w:type="spellStart"/>
      <w:r>
        <w:rPr>
          <w:rFonts w:hAnsi="宋体" w:hint="eastAsia"/>
        </w:rPr>
        <w:t>报告期内基金持有人数或基金资产净值预警说明</w:t>
      </w:r>
      <w:bookmarkEnd w:id="137"/>
      <w:bookmarkEnd w:id="138"/>
      <w:bookmarkEnd w:id="139"/>
      <w:bookmarkEnd w:id="140"/>
      <w:bookmarkEnd w:id="141"/>
      <w:bookmarkEnd w:id="142"/>
      <w:bookmarkEnd w:id="143"/>
      <w:bookmarkEnd w:id="144"/>
      <w:proofErr w:type="spellEnd"/>
      <w:r>
        <w:rPr>
          <w:rFonts w:hAnsi="宋体" w:hint="eastAsia"/>
        </w:rPr>
        <w:t xml:space="preserve"> </w:t>
      </w:r>
    </w:p>
    <w:p w:rsidR="0062568F" w:rsidRDefault="00426C64">
      <w:pPr>
        <w:spacing w:line="360" w:lineRule="auto"/>
        <w:ind w:firstLineChars="200" w:firstLine="420"/>
        <w:jc w:val="left"/>
      </w:pPr>
      <w:r>
        <w:rPr>
          <w:rFonts w:ascii="宋体" w:hAnsi="宋体" w:hint="eastAsia"/>
        </w:rPr>
        <w:t>截至本报告期末,本基金已连续超过二十个工作日出现基金资产净值低于五千万元的情形，相应解决方案已报送中国证监会。</w:t>
      </w:r>
    </w:p>
    <w:p w:rsidR="0062568F" w:rsidRDefault="00426C64">
      <w:pPr>
        <w:pStyle w:val="XBRLTitle1"/>
        <w:spacing w:before="156" w:line="360" w:lineRule="auto"/>
        <w:ind w:left="425"/>
      </w:pPr>
      <w:bookmarkStart w:id="146" w:name="_Toc17898195"/>
      <w:bookmarkStart w:id="147" w:name="_Toc17897949"/>
      <w:bookmarkStart w:id="148" w:name="_Toc512519496"/>
      <w:bookmarkStart w:id="149" w:name="_Toc481075064"/>
      <w:bookmarkStart w:id="150" w:name="_Toc438646466"/>
      <w:bookmarkStart w:id="151" w:name="_Toc490050017"/>
      <w:bookmarkStart w:id="152" w:name="_Toc513295858"/>
      <w:bookmarkStart w:id="153" w:name="_Toc513295908"/>
      <w:bookmarkEnd w:id="145"/>
      <w:proofErr w:type="spellStart"/>
      <w:r>
        <w:rPr>
          <w:rFonts w:hAnsi="宋体" w:hint="eastAsia"/>
        </w:rPr>
        <w:t>投资组合报告</w:t>
      </w:r>
      <w:bookmarkEnd w:id="146"/>
      <w:bookmarkEnd w:id="147"/>
      <w:bookmarkEnd w:id="148"/>
      <w:bookmarkEnd w:id="149"/>
      <w:bookmarkEnd w:id="150"/>
      <w:bookmarkEnd w:id="151"/>
      <w:bookmarkEnd w:id="152"/>
      <w:bookmarkEnd w:id="153"/>
      <w:proofErr w:type="spellEnd"/>
      <w:r>
        <w:rPr>
          <w:rFonts w:hAnsi="宋体" w:hint="eastAsia"/>
        </w:rPr>
        <w:t xml:space="preserve"> </w:t>
      </w:r>
    </w:p>
    <w:p w:rsidR="0062568F" w:rsidRDefault="00426C64">
      <w:pPr>
        <w:pStyle w:val="XBRLTitle2"/>
        <w:spacing w:before="156" w:line="360" w:lineRule="auto"/>
        <w:ind w:left="454"/>
      </w:pPr>
      <w:bookmarkStart w:id="154" w:name="_Toc17898196"/>
      <w:bookmarkStart w:id="155" w:name="_Toc17897950"/>
      <w:bookmarkStart w:id="156" w:name="_Toc481075065"/>
      <w:bookmarkStart w:id="157" w:name="_Toc438646467"/>
      <w:bookmarkStart w:id="158" w:name="_Toc490050018"/>
      <w:bookmarkStart w:id="159" w:name="_Toc512519497"/>
      <w:bookmarkStart w:id="160" w:name="_Toc513295859"/>
      <w:bookmarkStart w:id="161" w:name="_Toc513295909"/>
      <w:bookmarkStart w:id="162" w:name="m501"/>
      <w:proofErr w:type="spellStart"/>
      <w:r>
        <w:rPr>
          <w:rFonts w:hAnsi="宋体" w:hint="eastAsia"/>
        </w:rPr>
        <w:t>报告期末基金资产组合情况</w:t>
      </w:r>
      <w:bookmarkEnd w:id="154"/>
      <w:bookmarkEnd w:id="155"/>
      <w:bookmarkEnd w:id="156"/>
      <w:bookmarkEnd w:id="157"/>
      <w:bookmarkEnd w:id="158"/>
      <w:bookmarkEnd w:id="159"/>
      <w:bookmarkEnd w:id="160"/>
      <w:bookmarkEnd w:id="161"/>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bookmarkStart w:id="163" w:name="m08QD_01_tab"/>
            <w:bookmarkEnd w:id="163"/>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8,214,063.31</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17.45</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8,214,063.31</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17.45</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38,048,383.04</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80.84</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38,048,383.04</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80.84</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429,912.96</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0.91</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373,724.47</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0.79</w:t>
            </w:r>
          </w:p>
        </w:tc>
      </w:tr>
      <w:tr w:rsidR="0062568F">
        <w:trPr>
          <w:divId w:val="160414379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rsidR="0062568F" w:rsidRDefault="00426C64">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47,066,083.78</w:t>
            </w:r>
          </w:p>
        </w:tc>
        <w:tc>
          <w:tcPr>
            <w:tcW w:w="1333" w:type="pct"/>
            <w:tcBorders>
              <w:top w:val="single" w:sz="4" w:space="0" w:color="auto"/>
              <w:left w:val="nil"/>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100.00</w:t>
            </w:r>
          </w:p>
        </w:tc>
      </w:tr>
    </w:tbl>
    <w:p w:rsidR="0062568F" w:rsidRDefault="00426C64">
      <w:pPr>
        <w:pStyle w:val="XBRLTitle2"/>
        <w:spacing w:before="156" w:line="360" w:lineRule="auto"/>
        <w:ind w:left="454"/>
      </w:pPr>
      <w:bookmarkStart w:id="164" w:name="_Toc17898197"/>
      <w:bookmarkStart w:id="165" w:name="_Toc17897951"/>
      <w:bookmarkStart w:id="166" w:name="_Toc512519498"/>
      <w:bookmarkStart w:id="167" w:name="_Toc481075066"/>
      <w:bookmarkStart w:id="168" w:name="_Toc438646468"/>
      <w:bookmarkStart w:id="169" w:name="_Toc490050019"/>
      <w:bookmarkStart w:id="170" w:name="_Toc513295860"/>
      <w:bookmarkStart w:id="171" w:name="_Toc513295910"/>
      <w:bookmarkEnd w:id="162"/>
      <w:proofErr w:type="spellStart"/>
      <w:r>
        <w:rPr>
          <w:rFonts w:hAnsi="宋体" w:hint="eastAsia"/>
        </w:rPr>
        <w:t>报告期末按行业分类的股票投资组合</w:t>
      </w:r>
      <w:bookmarkEnd w:id="164"/>
      <w:bookmarkEnd w:id="165"/>
      <w:bookmarkEnd w:id="166"/>
      <w:bookmarkEnd w:id="167"/>
      <w:bookmarkEnd w:id="168"/>
      <w:bookmarkEnd w:id="169"/>
      <w:bookmarkEnd w:id="170"/>
      <w:bookmarkEnd w:id="171"/>
      <w:proofErr w:type="spellEnd"/>
      <w:r>
        <w:rPr>
          <w:rFonts w:hAnsi="宋体" w:hint="eastAsia"/>
          <w:lang w:eastAsia="zh-CN"/>
        </w:rPr>
        <w:t xml:space="preserve"> </w:t>
      </w:r>
    </w:p>
    <w:p w:rsidR="0062568F" w:rsidRDefault="00426C64">
      <w:pPr>
        <w:pStyle w:val="XBRLTitle3"/>
        <w:spacing w:before="156"/>
        <w:ind w:left="0"/>
      </w:pPr>
      <w:bookmarkStart w:id="172" w:name="_Toc17898198"/>
      <w:bookmarkStart w:id="173" w:name="_Toc481075067"/>
      <w:bookmarkStart w:id="174" w:name="_Toc490050020"/>
      <w:bookmarkStart w:id="175" w:name="_Toc512519499"/>
      <w:bookmarkStart w:id="176" w:name="_Toc513295911"/>
      <w:proofErr w:type="spellStart"/>
      <w:r>
        <w:rPr>
          <w:rFonts w:hint="eastAsia"/>
        </w:rPr>
        <w:t>报告期末按行业分类的境内股票投资组合</w:t>
      </w:r>
      <w:bookmarkEnd w:id="172"/>
      <w:bookmarkEnd w:id="173"/>
      <w:bookmarkEnd w:id="174"/>
      <w:bookmarkEnd w:id="175"/>
      <w:bookmarkEnd w:id="176"/>
      <w:proofErr w:type="spellEnd"/>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57"/>
        <w:gridCol w:w="3068"/>
        <w:gridCol w:w="3186"/>
        <w:gridCol w:w="1824"/>
      </w:tblGrid>
      <w:tr w:rsidR="0062568F">
        <w:trPr>
          <w:divId w:val="386026454"/>
          <w:trHeight w:val="390"/>
        </w:trPr>
        <w:tc>
          <w:tcPr>
            <w:tcW w:w="42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62568F" w:rsidRDefault="00426C64">
            <w:pPr>
              <w:jc w:val="center"/>
            </w:pPr>
            <w:r>
              <w:rPr>
                <w:rFonts w:ascii="宋体" w:hAnsi="宋体" w:hint="eastAsia"/>
                <w:color w:val="000000"/>
              </w:rPr>
              <w:t xml:space="preserve">代码 </w:t>
            </w:r>
          </w:p>
        </w:tc>
        <w:tc>
          <w:tcPr>
            <w:tcW w:w="1736"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Mar>
              <w:top w:w="15" w:type="dxa"/>
              <w:left w:w="15" w:type="dxa"/>
              <w:bottom w:w="0" w:type="dxa"/>
              <w:right w:w="15" w:type="dxa"/>
            </w:tcMar>
            <w:vAlign w:val="center"/>
            <w:hideMark/>
          </w:tcPr>
          <w:p w:rsidR="0062568F" w:rsidRDefault="00426C64">
            <w:pPr>
              <w:jc w:val="center"/>
            </w:pPr>
            <w:r>
              <w:rPr>
                <w:rFonts w:ascii="宋体" w:hAnsi="宋体" w:hint="eastAsia"/>
                <w:color w:val="000000"/>
              </w:rPr>
              <w:t xml:space="preserve">行业类别 </w:t>
            </w:r>
          </w:p>
        </w:tc>
        <w:tc>
          <w:tcPr>
            <w:tcW w:w="1803" w:type="pct"/>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rsidR="0062568F" w:rsidRDefault="00426C64">
            <w:pPr>
              <w:jc w:val="center"/>
            </w:pPr>
            <w:r>
              <w:rPr>
                <w:rFonts w:ascii="宋体" w:hAnsi="宋体" w:hint="eastAsia"/>
                <w:color w:val="000000"/>
              </w:rPr>
              <w:t xml:space="preserve">公允价值（元） </w:t>
            </w: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15" w:type="dxa"/>
              <w:left w:w="15" w:type="dxa"/>
              <w:bottom w:w="0" w:type="dxa"/>
              <w:right w:w="15" w:type="dxa"/>
            </w:tcMar>
            <w:vAlign w:val="center"/>
            <w:hideMark/>
          </w:tcPr>
          <w:p w:rsidR="0062568F" w:rsidRDefault="00426C64">
            <w:pPr>
              <w:jc w:val="center"/>
            </w:pPr>
            <w:r>
              <w:rPr>
                <w:rFonts w:ascii="宋体" w:hAnsi="宋体" w:hint="eastAsia"/>
                <w:color w:val="000000"/>
              </w:rPr>
              <w:t xml:space="preserve">占基金资产净值比例（%） </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A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农、林、牧、渔业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54,531.84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0.12</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B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采矿业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392,435.57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0.85</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C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制造业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4,161,817.48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8.98</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D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电力、热力、燃气及水生产和供应业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221,577.51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0.48</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建筑业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184,299.88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0.40</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F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批发和零售业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229,061.27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0.49</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G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交通运输、仓储和邮政业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465,706.85</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1.00</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lastRenderedPageBreak/>
              <w:t xml:space="preserve">H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住宿和餐饮业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I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信息传输、软件和信息技术服务业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802,700.27</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1.73</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J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金融业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1,407,364.81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3.04</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K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房地产业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40,746.58</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0.09</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L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租赁和商务服务业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110,757.79</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0.24</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M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科学研究和技术服务业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N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水利、环境和公共设施管理业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O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居民服务、修理和其他服务业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P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教育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Q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卫生和社会工作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63,664.32</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0.14</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R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文化、体育和娱乐业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79,399.14</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0.17</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pPr>
            <w:r>
              <w:rPr>
                <w:rFonts w:ascii="宋体" w:hAnsi="宋体" w:hint="eastAsia"/>
                <w:color w:val="000000"/>
              </w:rPr>
              <w:t xml:space="preserve">S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综合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w:t>
            </w:r>
          </w:p>
        </w:tc>
      </w:tr>
      <w:tr w:rsidR="0062568F">
        <w:trPr>
          <w:divId w:val="386026454"/>
          <w:trHeight w:val="285"/>
        </w:trPr>
        <w:tc>
          <w:tcPr>
            <w:tcW w:w="429"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62568F" w:rsidRDefault="00426C64">
            <w:pPr>
              <w:jc w:val="center"/>
              <w:rPr>
                <w:rFonts w:ascii="宋体" w:hAnsi="宋体"/>
                <w:color w:val="000000"/>
              </w:rPr>
            </w:pPr>
            <w:r>
              <w:rPr>
                <w:rFonts w:ascii="宋体" w:hAnsi="宋体" w:hint="eastAsia"/>
                <w:color w:val="000000"/>
              </w:rPr>
              <w:t xml:space="preserve">　 </w:t>
            </w:r>
          </w:p>
        </w:tc>
        <w:tc>
          <w:tcPr>
            <w:tcW w:w="936" w:type="pct"/>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hideMark/>
          </w:tcPr>
          <w:p w:rsidR="0062568F" w:rsidRDefault="00426C64">
            <w:pPr>
              <w:jc w:val="left"/>
            </w:pPr>
            <w:r>
              <w:rPr>
                <w:rFonts w:ascii="宋体" w:hAnsi="宋体" w:hint="eastAsia"/>
                <w:color w:val="000000"/>
              </w:rPr>
              <w:t xml:space="preserve">合计 </w:t>
            </w:r>
          </w:p>
        </w:tc>
        <w:tc>
          <w:tcPr>
            <w:tcW w:w="1703" w:type="pct"/>
            <w:tcBorders>
              <w:top w:val="single" w:sz="4" w:space="0" w:color="000000"/>
              <w:left w:val="single" w:sz="4" w:space="0" w:color="auto"/>
              <w:bottom w:val="single" w:sz="4" w:space="0" w:color="000000"/>
              <w:right w:val="single" w:sz="4" w:space="0" w:color="000000"/>
            </w:tcBorders>
            <w:vAlign w:val="bottom"/>
            <w:hideMark/>
          </w:tcPr>
          <w:p w:rsidR="0062568F" w:rsidRDefault="00426C64">
            <w:pPr>
              <w:jc w:val="right"/>
            </w:pPr>
            <w:r>
              <w:rPr>
                <w:rFonts w:ascii="宋体" w:hAnsi="宋体" w:hint="eastAsia"/>
                <w:szCs w:val="24"/>
                <w:lang w:eastAsia="zh-Hans"/>
              </w:rPr>
              <w:t>8,214,063.31</w:t>
            </w:r>
          </w:p>
        </w:tc>
        <w:tc>
          <w:tcPr>
            <w:tcW w:w="1932" w:type="pc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62568F" w:rsidRDefault="00426C64">
            <w:pPr>
              <w:jc w:val="right"/>
            </w:pPr>
            <w:r>
              <w:rPr>
                <w:rFonts w:ascii="宋体" w:hAnsi="宋体" w:hint="eastAsia"/>
                <w:szCs w:val="24"/>
                <w:lang w:eastAsia="zh-Hans"/>
              </w:rPr>
              <w:t>17.72</w:t>
            </w:r>
          </w:p>
        </w:tc>
      </w:tr>
    </w:tbl>
    <w:p w:rsidR="0062568F" w:rsidRDefault="00426C64">
      <w:pPr>
        <w:pStyle w:val="XBRLTitle3"/>
        <w:spacing w:before="156"/>
        <w:ind w:left="0"/>
      </w:pPr>
      <w:bookmarkStart w:id="177" w:name="_Toc17898199"/>
      <w:bookmarkStart w:id="178" w:name="_Toc481075068"/>
      <w:bookmarkStart w:id="179" w:name="_Toc490050021"/>
      <w:bookmarkStart w:id="180" w:name="_Toc512519500"/>
      <w:bookmarkStart w:id="181" w:name="_Toc513295912"/>
      <w:bookmarkStart w:id="182" w:name="m502_tab"/>
      <w:proofErr w:type="spellStart"/>
      <w:r>
        <w:rPr>
          <w:rFonts w:hint="eastAsia"/>
        </w:rPr>
        <w:t>报告期末按行业分类的港股通投资股票投资组合</w:t>
      </w:r>
      <w:bookmarkEnd w:id="177"/>
      <w:bookmarkEnd w:id="178"/>
      <w:bookmarkEnd w:id="179"/>
      <w:bookmarkEnd w:id="180"/>
      <w:bookmarkEnd w:id="181"/>
      <w:proofErr w:type="spellEnd"/>
      <w:r>
        <w:rPr>
          <w:rFonts w:hint="eastAsia"/>
          <w:szCs w:val="24"/>
        </w:rPr>
        <w:t xml:space="preserve"> </w:t>
      </w:r>
    </w:p>
    <w:p w:rsidR="0062568F" w:rsidRDefault="00426C64">
      <w:pPr>
        <w:spacing w:line="360" w:lineRule="auto"/>
        <w:ind w:firstLineChars="200" w:firstLine="420"/>
        <w:divId w:val="1279023274"/>
      </w:pPr>
      <w:r>
        <w:rPr>
          <w:rFonts w:ascii="宋体" w:hAnsi="宋体" w:hint="eastAsia"/>
          <w:szCs w:val="21"/>
          <w:lang w:eastAsia="zh-Hans"/>
        </w:rPr>
        <w:t>本基金本报告期末未持有港股通股票 。</w:t>
      </w:r>
    </w:p>
    <w:p w:rsidR="0062568F" w:rsidRDefault="00426C64">
      <w:pPr>
        <w:pStyle w:val="XBRLTitle2"/>
        <w:spacing w:before="156"/>
        <w:ind w:left="454"/>
      </w:pPr>
      <w:bookmarkStart w:id="183" w:name="_Toc178982961"/>
      <w:bookmarkStart w:id="184" w:name="_Toc17897958"/>
      <w:bookmarkStart w:id="185" w:name="_Toc485300375"/>
      <w:bookmarkStart w:id="186" w:name="_Toc453852755"/>
      <w:bookmarkStart w:id="187" w:name="_Toc452398761"/>
      <w:bookmarkStart w:id="188" w:name="_Toc454983410"/>
      <w:bookmarkStart w:id="189" w:name="_Toc497398255"/>
      <w:bookmarkStart w:id="190" w:name="_Toc506208451"/>
      <w:bookmarkStart w:id="191" w:name="m08QD_10"/>
      <w:proofErr w:type="spellStart"/>
      <w:r>
        <w:rPr>
          <w:rFonts w:hint="eastAsia"/>
        </w:rPr>
        <w:t>期末按公允价值占基金资产净值比例大小排序的股票投资明细</w:t>
      </w:r>
      <w:bookmarkEnd w:id="183"/>
      <w:bookmarkEnd w:id="184"/>
      <w:bookmarkEnd w:id="185"/>
      <w:bookmarkEnd w:id="186"/>
      <w:bookmarkEnd w:id="187"/>
      <w:bookmarkEnd w:id="188"/>
      <w:bookmarkEnd w:id="189"/>
      <w:bookmarkEnd w:id="190"/>
      <w:proofErr w:type="spellEnd"/>
    </w:p>
    <w:p w:rsidR="0062568F" w:rsidRDefault="00426C64">
      <w:pPr>
        <w:pStyle w:val="XBRLTitle3"/>
        <w:spacing w:before="156"/>
        <w:ind w:left="0"/>
      </w:pPr>
      <w:bookmarkStart w:id="192" w:name="_Toc178982962"/>
      <w:bookmarkStart w:id="193" w:name="_Toc485300376"/>
      <w:bookmarkStart w:id="194" w:name="_Toc497398256"/>
      <w:bookmarkStart w:id="195" w:name="_Toc453852756"/>
      <w:bookmarkStart w:id="196" w:name="_Toc454983411"/>
      <w:proofErr w:type="spellStart"/>
      <w:r>
        <w:rPr>
          <w:rFonts w:hAnsi="宋体" w:hint="eastAsia"/>
        </w:rPr>
        <w:t>报告期末按公允价值占基金资产净值比例大小排序的前十名股票投资明细</w:t>
      </w:r>
      <w:bookmarkEnd w:id="192"/>
      <w:bookmarkEnd w:id="193"/>
      <w:bookmarkEnd w:id="194"/>
      <w:bookmarkEnd w:id="195"/>
      <w:bookmarkEnd w:id="196"/>
      <w:bookmarkEnd w:id="191"/>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62568F">
        <w:trPr>
          <w:divId w:val="22167345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股票代码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股票名称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数量（股） </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公允价值（元） </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占基金资产净值比例（%） </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601288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农业银行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65,917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341,450.06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0.74</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002594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比亚迪</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812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304,418.80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0.66</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600036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招商银行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5,936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256,969.44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0.55</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000858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五 粮 液</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1,811</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237,874.85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0.51</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300750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宁德时代</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893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225,875.42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0.49</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6</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300760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迈瑞医疗</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923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215,982.00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0.47</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7</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688981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中芯国际</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2,352</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210,104.16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0.45</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8</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300059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东方财富</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9,296</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209,903.68</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0.45</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9</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600030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中信证券</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7,703</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204,283.56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0.44</w:t>
            </w:r>
          </w:p>
        </w:tc>
      </w:tr>
      <w:tr w:rsidR="0062568F">
        <w:trPr>
          <w:divId w:val="22167345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10</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002475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立讯精密</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4,827</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197,376.03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0.43</w:t>
            </w:r>
          </w:p>
        </w:tc>
      </w:tr>
    </w:tbl>
    <w:p w:rsidR="0062568F" w:rsidRDefault="00426C64">
      <w:pPr>
        <w:pStyle w:val="XBRLTitle2"/>
        <w:spacing w:before="156" w:line="360" w:lineRule="auto"/>
        <w:ind w:left="454"/>
      </w:pPr>
      <w:bookmarkStart w:id="197" w:name="_Toc17898201"/>
      <w:bookmarkStart w:id="198" w:name="_Toc17897953"/>
      <w:bookmarkStart w:id="199" w:name="_Toc481075070"/>
      <w:bookmarkStart w:id="200" w:name="_Toc438646471"/>
      <w:bookmarkStart w:id="201" w:name="_Toc490050023"/>
      <w:bookmarkStart w:id="202" w:name="_Toc512519502"/>
      <w:bookmarkStart w:id="203" w:name="_Toc513295862"/>
      <w:bookmarkStart w:id="204" w:name="_Toc513295914"/>
      <w:bookmarkStart w:id="205" w:name="m505"/>
      <w:proofErr w:type="spellStart"/>
      <w:r>
        <w:rPr>
          <w:rFonts w:hAnsi="宋体" w:hint="eastAsia"/>
        </w:rPr>
        <w:t>报告期末按债券品种分类的债券投资组合</w:t>
      </w:r>
      <w:bookmarkEnd w:id="197"/>
      <w:bookmarkEnd w:id="198"/>
      <w:bookmarkEnd w:id="199"/>
      <w:bookmarkEnd w:id="200"/>
      <w:bookmarkEnd w:id="201"/>
      <w:bookmarkEnd w:id="202"/>
      <w:bookmarkEnd w:id="203"/>
      <w:bookmarkEnd w:id="204"/>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占基金资产净值比例（%） </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2,420,676.16</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5.22</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10,252,073.97</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22.12</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10,252,073.97</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22.12</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14,213,459.17</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30.67</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4,039,406.36</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8.72</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7,118,367.23</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15.36</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4,400.15</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0.01</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rPr>
              <w:lastRenderedPageBreak/>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w:t>
            </w:r>
          </w:p>
        </w:tc>
      </w:tr>
      <w:tr w:rsidR="0062568F">
        <w:trPr>
          <w:divId w:val="721438457"/>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rsidR="0062568F" w:rsidRDefault="00426C64">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38,048,383.04</w:t>
            </w:r>
          </w:p>
        </w:tc>
        <w:tc>
          <w:tcPr>
            <w:tcW w:w="1932" w:type="pct"/>
            <w:tcBorders>
              <w:top w:val="single" w:sz="4" w:space="0" w:color="auto"/>
              <w:left w:val="single" w:sz="4" w:space="0" w:color="auto"/>
              <w:bottom w:val="single" w:sz="4" w:space="0" w:color="auto"/>
              <w:right w:val="single" w:sz="4" w:space="0" w:color="auto"/>
            </w:tcBorders>
            <w:vAlign w:val="center"/>
            <w:hideMark/>
          </w:tcPr>
          <w:p w:rsidR="0062568F" w:rsidRDefault="00426C64">
            <w:pPr>
              <w:jc w:val="right"/>
            </w:pPr>
            <w:r>
              <w:rPr>
                <w:rFonts w:ascii="宋体" w:hAnsi="宋体" w:hint="eastAsia"/>
                <w:szCs w:val="24"/>
                <w:lang w:eastAsia="zh-Hans"/>
              </w:rPr>
              <w:t>82.09</w:t>
            </w:r>
          </w:p>
        </w:tc>
      </w:tr>
    </w:tbl>
    <w:p w:rsidR="0062568F" w:rsidRDefault="00426C64">
      <w:pPr>
        <w:pStyle w:val="XBRLTitle2"/>
        <w:spacing w:before="156" w:line="360" w:lineRule="auto"/>
        <w:ind w:left="454"/>
      </w:pPr>
      <w:bookmarkStart w:id="206" w:name="_Toc17898202"/>
      <w:bookmarkStart w:id="207" w:name="_Toc17897954"/>
      <w:bookmarkStart w:id="208" w:name="_Toc481075071"/>
      <w:bookmarkStart w:id="209" w:name="_Toc438646472"/>
      <w:bookmarkStart w:id="210" w:name="_Toc490050024"/>
      <w:bookmarkStart w:id="211" w:name="_Toc512519503"/>
      <w:bookmarkStart w:id="212" w:name="_Toc513295863"/>
      <w:bookmarkStart w:id="213" w:name="_Toc513295915"/>
      <w:bookmarkStart w:id="214" w:name="m506"/>
      <w:bookmarkEnd w:id="205"/>
      <w:proofErr w:type="spellStart"/>
      <w:r>
        <w:rPr>
          <w:rFonts w:hAnsi="宋体" w:hint="eastAsia"/>
        </w:rPr>
        <w:t>报告期末按公允价值占基金资产净值比例大小排序的前五名债券投资明细</w:t>
      </w:r>
      <w:bookmarkEnd w:id="206"/>
      <w:bookmarkEnd w:id="207"/>
      <w:bookmarkEnd w:id="208"/>
      <w:bookmarkEnd w:id="209"/>
      <w:bookmarkEnd w:id="210"/>
      <w:bookmarkEnd w:id="211"/>
      <w:bookmarkEnd w:id="212"/>
      <w:bookmarkEnd w:id="21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62568F">
        <w:trPr>
          <w:divId w:val="790590011"/>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jc w:val="center"/>
            </w:pPr>
            <w:r>
              <w:rPr>
                <w:rFonts w:ascii="宋体" w:hAnsi="宋体" w:hint="eastAsia"/>
                <w:color w:val="000000"/>
              </w:rPr>
              <w:t xml:space="preserve">占基金资产净值比例（%） </w:t>
            </w:r>
          </w:p>
        </w:tc>
      </w:tr>
      <w:tr w:rsidR="0062568F">
        <w:trPr>
          <w:divId w:val="7905900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200208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20国开08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10,252,073.97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22.12</w:t>
            </w:r>
          </w:p>
        </w:tc>
      </w:tr>
      <w:tr w:rsidR="0062568F">
        <w:trPr>
          <w:divId w:val="7905900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102281691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22中电投MTN023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30,000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3,057,842.63</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6.60</w:t>
            </w:r>
          </w:p>
        </w:tc>
      </w:tr>
      <w:tr w:rsidR="0062568F">
        <w:trPr>
          <w:divId w:val="7905900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2,420,676.16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5.22</w:t>
            </w:r>
          </w:p>
        </w:tc>
      </w:tr>
      <w:tr w:rsidR="0062568F">
        <w:trPr>
          <w:divId w:val="7905900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137549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22华电03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2,035,572.49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4.39</w:t>
            </w:r>
          </w:p>
        </w:tc>
      </w:tr>
      <w:tr w:rsidR="0062568F">
        <w:trPr>
          <w:divId w:val="790590011"/>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115647</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szCs w:val="24"/>
                <w:lang w:eastAsia="zh-Hans"/>
              </w:rPr>
              <w:t>23招证G5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2,033,031.12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szCs w:val="24"/>
                <w:lang w:eastAsia="zh-Hans"/>
              </w:rPr>
              <w:t>4.39</w:t>
            </w:r>
          </w:p>
        </w:tc>
      </w:tr>
    </w:tbl>
    <w:p w:rsidR="0062568F" w:rsidRDefault="00426C64">
      <w:pPr>
        <w:pStyle w:val="XBRLTitle2"/>
        <w:spacing w:before="156" w:line="360" w:lineRule="auto"/>
        <w:ind w:left="454"/>
      </w:pPr>
      <w:bookmarkStart w:id="215" w:name="_Toc17898203"/>
      <w:bookmarkStart w:id="216" w:name="_Toc17897955"/>
      <w:bookmarkStart w:id="217" w:name="_Toc481075072"/>
      <w:bookmarkStart w:id="218" w:name="_Toc438646473"/>
      <w:bookmarkStart w:id="219" w:name="_Toc490050025"/>
      <w:bookmarkStart w:id="220" w:name="_Toc512519504"/>
      <w:bookmarkStart w:id="221" w:name="_Toc513295864"/>
      <w:bookmarkStart w:id="222" w:name="_Toc513295916"/>
      <w:bookmarkStart w:id="223" w:name="m507"/>
      <w:bookmarkEnd w:id="214"/>
      <w:proofErr w:type="spellStart"/>
      <w:r>
        <w:rPr>
          <w:rFonts w:hAnsi="宋体" w:hint="eastAsia"/>
        </w:rPr>
        <w:t>报告期末按公允价值占基金资产净值比例大小排序的前十名资产支持证券投资明细</w:t>
      </w:r>
      <w:bookmarkEnd w:id="215"/>
      <w:bookmarkEnd w:id="216"/>
      <w:bookmarkEnd w:id="217"/>
      <w:bookmarkEnd w:id="218"/>
      <w:bookmarkEnd w:id="219"/>
      <w:bookmarkEnd w:id="220"/>
      <w:bookmarkEnd w:id="221"/>
      <w:bookmarkEnd w:id="222"/>
      <w:proofErr w:type="spellEnd"/>
      <w:r>
        <w:rPr>
          <w:rFonts w:hAnsi="宋体" w:hint="eastAsia"/>
        </w:rPr>
        <w:t xml:space="preserve"> </w:t>
      </w:r>
    </w:p>
    <w:p w:rsidR="0062568F" w:rsidRDefault="00426C64">
      <w:pPr>
        <w:spacing w:line="360" w:lineRule="auto"/>
        <w:ind w:firstLineChars="200" w:firstLine="420"/>
        <w:jc w:val="left"/>
      </w:pPr>
      <w:r>
        <w:rPr>
          <w:rFonts w:ascii="宋体" w:hAnsi="宋体" w:hint="eastAsia"/>
          <w:color w:val="000000"/>
          <w:szCs w:val="21"/>
          <w:lang w:eastAsia="zh-Hans"/>
        </w:rPr>
        <w:t>本基金本报告期末未持有资产支持证券。</w:t>
      </w:r>
    </w:p>
    <w:p w:rsidR="0062568F" w:rsidRDefault="00426C64">
      <w:pPr>
        <w:pStyle w:val="XBRLTitle2"/>
        <w:spacing w:before="156" w:line="360" w:lineRule="auto"/>
        <w:ind w:left="454"/>
      </w:pPr>
      <w:bookmarkStart w:id="224" w:name="_Toc17898204"/>
      <w:bookmarkStart w:id="225" w:name="_Toc17897956"/>
      <w:bookmarkStart w:id="226" w:name="_Toc481075073"/>
      <w:bookmarkStart w:id="227" w:name="_Toc438646474"/>
      <w:bookmarkStart w:id="228" w:name="_Toc490050026"/>
      <w:bookmarkStart w:id="229" w:name="_Toc512519505"/>
      <w:bookmarkStart w:id="230" w:name="_Toc513295865"/>
      <w:bookmarkStart w:id="231" w:name="_Toc513295917"/>
      <w:bookmarkStart w:id="232" w:name="m508"/>
      <w:bookmarkEnd w:id="223"/>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4"/>
      <w:bookmarkEnd w:id="225"/>
      <w:bookmarkEnd w:id="226"/>
      <w:bookmarkEnd w:id="227"/>
      <w:bookmarkEnd w:id="228"/>
      <w:bookmarkEnd w:id="229"/>
      <w:bookmarkEnd w:id="230"/>
      <w:bookmarkEnd w:id="231"/>
      <w:proofErr w:type="spellEnd"/>
      <w:r>
        <w:rPr>
          <w:rFonts w:hAnsi="宋体" w:hint="eastAsia"/>
        </w:rPr>
        <w:t xml:space="preserve"> </w:t>
      </w:r>
    </w:p>
    <w:p w:rsidR="0062568F" w:rsidRDefault="00426C64">
      <w:pPr>
        <w:spacing w:line="360" w:lineRule="auto"/>
        <w:ind w:firstLineChars="200" w:firstLine="420"/>
        <w:divId w:val="1824539118"/>
      </w:pPr>
      <w:r>
        <w:rPr>
          <w:rFonts w:ascii="宋体" w:hAnsi="宋体" w:hint="eastAsia"/>
          <w:szCs w:val="21"/>
          <w:lang w:eastAsia="zh-Hans"/>
        </w:rPr>
        <w:t>本基金本报告期末未持有贵金属。</w:t>
      </w:r>
    </w:p>
    <w:p w:rsidR="0062568F" w:rsidRDefault="00426C64">
      <w:pPr>
        <w:pStyle w:val="XBRLTitle2"/>
        <w:spacing w:before="156" w:line="360" w:lineRule="auto"/>
        <w:ind w:left="454"/>
      </w:pPr>
      <w:bookmarkStart w:id="233" w:name="_Toc17898205"/>
      <w:bookmarkStart w:id="234" w:name="_Toc17897957"/>
      <w:bookmarkStart w:id="235" w:name="_Toc481075074"/>
      <w:bookmarkStart w:id="236" w:name="_Toc438646475"/>
      <w:bookmarkStart w:id="237" w:name="_Toc490050027"/>
      <w:bookmarkStart w:id="238" w:name="_Toc512519506"/>
      <w:bookmarkStart w:id="239" w:name="_Toc513295866"/>
      <w:bookmarkStart w:id="240" w:name="_Toc513295918"/>
      <w:bookmarkStart w:id="241" w:name="m509"/>
      <w:bookmarkEnd w:id="232"/>
      <w:proofErr w:type="spellStart"/>
      <w:r>
        <w:rPr>
          <w:rFonts w:hAnsi="宋体" w:hint="eastAsia"/>
        </w:rPr>
        <w:t>报告期末按公允价值占基金资产净值比例大小排序的前五名权证投资明细</w:t>
      </w:r>
      <w:bookmarkEnd w:id="233"/>
      <w:bookmarkEnd w:id="234"/>
      <w:bookmarkEnd w:id="235"/>
      <w:bookmarkEnd w:id="236"/>
      <w:bookmarkEnd w:id="237"/>
      <w:bookmarkEnd w:id="238"/>
      <w:bookmarkEnd w:id="239"/>
      <w:bookmarkEnd w:id="240"/>
      <w:proofErr w:type="spellEnd"/>
      <w:r>
        <w:rPr>
          <w:rFonts w:hAnsi="宋体" w:hint="eastAsia"/>
        </w:rPr>
        <w:t xml:space="preserve"> </w:t>
      </w:r>
      <w:bookmarkEnd w:id="241"/>
      <w:bookmarkEnd w:id="71"/>
      <w:bookmarkEnd w:id="72"/>
      <w:bookmarkEnd w:id="17"/>
    </w:p>
    <w:p w:rsidR="0062568F" w:rsidRDefault="00426C64">
      <w:pPr>
        <w:spacing w:line="360" w:lineRule="auto"/>
        <w:ind w:firstLineChars="200" w:firstLine="420"/>
        <w:divId w:val="1908954146"/>
      </w:pPr>
      <w:r>
        <w:rPr>
          <w:rFonts w:ascii="宋体" w:hAnsi="宋体" w:hint="eastAsia"/>
          <w:szCs w:val="21"/>
          <w:lang w:eastAsia="zh-Hans"/>
        </w:rPr>
        <w:t>本基金本报告期末未持有权证。</w:t>
      </w:r>
    </w:p>
    <w:p w:rsidR="0062568F" w:rsidRDefault="00426C64">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rsidR="0062568F" w:rsidRDefault="00426C64">
      <w:pPr>
        <w:spacing w:line="360" w:lineRule="auto"/>
        <w:ind w:firstLineChars="200" w:firstLine="420"/>
        <w:divId w:val="854466042"/>
      </w:pPr>
      <w:bookmarkStart w:id="250" w:name="m510_01_1597"/>
      <w:bookmarkStart w:id="251" w:name="m510_01_1598"/>
      <w:bookmarkEnd w:id="250"/>
      <w:r>
        <w:rPr>
          <w:rFonts w:ascii="宋体" w:hAnsi="宋体" w:hint="eastAsia"/>
          <w:szCs w:val="21"/>
          <w:lang w:eastAsia="zh-Hans"/>
        </w:rPr>
        <w:t>本基金本报告期末未持有国债期货。</w:t>
      </w:r>
    </w:p>
    <w:p w:rsidR="0062568F" w:rsidRDefault="00426C64">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rsidR="0062568F" w:rsidRDefault="00426C64">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rsidR="0062568F" w:rsidRDefault="00426C64">
      <w:pPr>
        <w:spacing w:line="360" w:lineRule="auto"/>
        <w:ind w:firstLineChars="200" w:firstLine="420"/>
      </w:pPr>
      <w:r>
        <w:rPr>
          <w:rFonts w:ascii="宋体" w:hAnsi="宋体" w:hint="eastAsia"/>
        </w:rPr>
        <w:t>本基金投资的前十名证券的发行主体中，国家开发银行报告编制日前一年内曾受到国家金融监督管理总局北京监管局的处罚。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rsidR="0062568F" w:rsidRDefault="00426C64">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rsidR="0062568F" w:rsidRDefault="00426C64">
      <w:pPr>
        <w:spacing w:line="360" w:lineRule="auto"/>
        <w:ind w:firstLineChars="200" w:firstLine="420"/>
      </w:pPr>
      <w:r>
        <w:rPr>
          <w:rFonts w:ascii="宋体" w:hAnsi="宋体" w:hint="eastAsia"/>
        </w:rPr>
        <w:t>报告期内本基金投资的前十名股票中没有在基金合同规定备选股票库之外的股票。</w:t>
      </w:r>
    </w:p>
    <w:p w:rsidR="0062568F" w:rsidRDefault="00426C64">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62568F">
        <w:trPr>
          <w:divId w:val="548885885"/>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jc w:val="center"/>
            </w:pPr>
            <w:r>
              <w:rPr>
                <w:rFonts w:ascii="宋体" w:hAnsi="宋体" w:hint="eastAsia"/>
              </w:rPr>
              <w:lastRenderedPageBreak/>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2568F" w:rsidRDefault="00426C64">
            <w:pPr>
              <w:jc w:val="center"/>
            </w:pPr>
            <w:r>
              <w:rPr>
                <w:rFonts w:ascii="宋体" w:hAnsi="宋体" w:hint="eastAsia"/>
              </w:rPr>
              <w:t>金额（元）</w:t>
            </w:r>
            <w:r>
              <w:t xml:space="preserve"> </w:t>
            </w:r>
          </w:p>
        </w:tc>
      </w:tr>
      <w:tr w:rsidR="0062568F">
        <w:trPr>
          <w:divId w:val="54888588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rPr>
              <w:t>18,271.48</w:t>
            </w:r>
          </w:p>
        </w:tc>
      </w:tr>
      <w:tr w:rsidR="0062568F">
        <w:trPr>
          <w:divId w:val="54888588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rPr>
              <w:t>350,000.00</w:t>
            </w:r>
          </w:p>
        </w:tc>
      </w:tr>
      <w:tr w:rsidR="0062568F">
        <w:trPr>
          <w:divId w:val="54888588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rPr>
              <w:t>-</w:t>
            </w:r>
          </w:p>
        </w:tc>
      </w:tr>
      <w:tr w:rsidR="0062568F">
        <w:trPr>
          <w:divId w:val="54888588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rPr>
              <w:t>-</w:t>
            </w:r>
          </w:p>
        </w:tc>
      </w:tr>
      <w:tr w:rsidR="0062568F">
        <w:trPr>
          <w:divId w:val="54888588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rPr>
              <w:t>5,452.99</w:t>
            </w:r>
          </w:p>
        </w:tc>
      </w:tr>
      <w:tr w:rsidR="0062568F">
        <w:trPr>
          <w:divId w:val="54888588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rPr>
              <w:t>-</w:t>
            </w:r>
          </w:p>
        </w:tc>
      </w:tr>
      <w:tr w:rsidR="0062568F">
        <w:trPr>
          <w:divId w:val="54888588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rPr>
              <w:t>-</w:t>
            </w:r>
          </w:p>
        </w:tc>
      </w:tr>
      <w:tr w:rsidR="0062568F">
        <w:trPr>
          <w:divId w:val="548885885"/>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62568F" w:rsidRDefault="00426C64">
            <w:pPr>
              <w:jc w:val="right"/>
            </w:pPr>
            <w:r>
              <w:rPr>
                <w:rFonts w:ascii="宋体" w:hAnsi="宋体" w:hint="eastAsia"/>
              </w:rPr>
              <w:t>373,724.47</w:t>
            </w:r>
          </w:p>
        </w:tc>
      </w:tr>
    </w:tbl>
    <w:p w:rsidR="0062568F" w:rsidRDefault="00426C64">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t>报告期末持有的处于转股期的可转换债券明细</w:t>
      </w:r>
      <w:bookmarkEnd w:id="275"/>
      <w:bookmarkEnd w:id="276"/>
      <w:bookmarkEnd w:id="277"/>
      <w:bookmarkEnd w:id="278"/>
      <w:bookmarkEnd w:id="279"/>
      <w:proofErr w:type="spellEnd"/>
    </w:p>
    <w:p w:rsidR="0062568F" w:rsidRDefault="00426C64">
      <w:pPr>
        <w:spacing w:line="360" w:lineRule="auto"/>
        <w:ind w:firstLineChars="200" w:firstLine="420"/>
        <w:jc w:val="left"/>
      </w:pPr>
      <w:r>
        <w:rPr>
          <w:rFonts w:ascii="宋体" w:hAnsi="宋体" w:hint="eastAsia"/>
        </w:rPr>
        <w:t xml:space="preserve">本基金本报告期末未持有处于转股期的可转换债券。 </w:t>
      </w:r>
    </w:p>
    <w:p w:rsidR="0062568F" w:rsidRDefault="00426C64">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rsidR="0062568F" w:rsidRDefault="00426C64">
      <w:pPr>
        <w:spacing w:line="360" w:lineRule="auto"/>
        <w:ind w:firstLineChars="200" w:firstLine="420"/>
        <w:jc w:val="left"/>
        <w:divId w:val="998845365"/>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9"/>
      <w:bookmarkEnd w:id="20"/>
      <w:bookmarkEnd w:id="21"/>
      <w:bookmarkEnd w:id="22"/>
      <w:bookmarkEnd w:id="18"/>
    </w:p>
    <w:p w:rsidR="0062568F" w:rsidRDefault="00426C64">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rsidR="0062568F" w:rsidRDefault="00426C64">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rsidR="0062568F" w:rsidRDefault="00426C64">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2"/>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rsidR="0062568F" w:rsidRDefault="00426C64">
      <w:pPr>
        <w:wordWrap w:val="0"/>
        <w:spacing w:line="360" w:lineRule="auto"/>
        <w:jc w:val="right"/>
        <w:divId w:val="878125125"/>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756"/>
        <w:gridCol w:w="2465"/>
      </w:tblGrid>
      <w:tr w:rsidR="0062568F">
        <w:trPr>
          <w:divId w:val="87812512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62568F" w:rsidRDefault="00426C64">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ind w:right="3"/>
              <w:jc w:val="center"/>
            </w:pPr>
            <w:r>
              <w:rPr>
                <w:rFonts w:ascii="宋体" w:hAnsi="宋体" w:hint="eastAsia"/>
                <w:lang w:eastAsia="zh-Hans"/>
              </w:rPr>
              <w:t>摩根安享回报一年持有期债券A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2568F" w:rsidRDefault="00426C64">
            <w:pPr>
              <w:ind w:right="3"/>
              <w:jc w:val="center"/>
            </w:pPr>
            <w:r>
              <w:rPr>
                <w:rFonts w:ascii="宋体" w:hAnsi="宋体" w:hint="eastAsia"/>
                <w:lang w:eastAsia="zh-Hans"/>
              </w:rPr>
              <w:t>摩根安享回报一年持有期债券C</w:t>
            </w:r>
            <w:r>
              <w:rPr>
                <w:rFonts w:ascii="宋体" w:hAnsi="宋体" w:hint="eastAsia"/>
                <w:kern w:val="0"/>
                <w:szCs w:val="24"/>
                <w:lang w:eastAsia="zh-Hans"/>
              </w:rPr>
              <w:t xml:space="preserve"> </w:t>
            </w:r>
          </w:p>
        </w:tc>
      </w:tr>
      <w:tr w:rsidR="0062568F">
        <w:trPr>
          <w:divId w:val="87812512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45,846,917.50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47,856.58</w:t>
            </w:r>
          </w:p>
        </w:tc>
      </w:tr>
      <w:tr w:rsidR="0062568F">
        <w:trPr>
          <w:divId w:val="87812512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2,311,222.70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475.42</w:t>
            </w:r>
          </w:p>
        </w:tc>
      </w:tr>
      <w:tr w:rsidR="0062568F">
        <w:trPr>
          <w:divId w:val="87812512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4,832,963.51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20.54</w:t>
            </w:r>
          </w:p>
        </w:tc>
      </w:tr>
      <w:tr w:rsidR="0062568F">
        <w:trPr>
          <w:divId w:val="87812512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w:t>
            </w:r>
          </w:p>
        </w:tc>
      </w:tr>
      <w:tr w:rsidR="0062568F">
        <w:trPr>
          <w:divId w:val="87812512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43,325,176.69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62568F" w:rsidRDefault="00426C64">
            <w:pPr>
              <w:jc w:val="right"/>
            </w:pPr>
            <w:r>
              <w:rPr>
                <w:rFonts w:ascii="宋体" w:hAnsi="宋体" w:hint="eastAsia"/>
              </w:rPr>
              <w:t>48,311.46</w:t>
            </w:r>
          </w:p>
        </w:tc>
      </w:tr>
    </w:tbl>
    <w:p w:rsidR="0062568F" w:rsidRDefault="00426C64">
      <w:pPr>
        <w:spacing w:line="360" w:lineRule="auto"/>
        <w:jc w:val="left"/>
        <w:divId w:val="878125125"/>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rsidR="0062568F" w:rsidRDefault="00426C64">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rsidR="0062568F" w:rsidRDefault="00426C64">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rsidR="0062568F" w:rsidRDefault="00426C64">
      <w:pPr>
        <w:spacing w:line="360" w:lineRule="auto"/>
        <w:ind w:firstLineChars="200" w:firstLine="420"/>
        <w:jc w:val="left"/>
        <w:divId w:val="132604640"/>
      </w:pPr>
      <w:r>
        <w:rPr>
          <w:rFonts w:ascii="宋体" w:hAnsi="宋体" w:hint="eastAsia"/>
          <w:szCs w:val="21"/>
          <w:lang w:eastAsia="zh-Hans"/>
        </w:rPr>
        <w:t>无。</w:t>
      </w:r>
      <w:r>
        <w:rPr>
          <w:rFonts w:ascii="宋体" w:hAnsi="宋体" w:hint="eastAsia"/>
          <w:szCs w:val="21"/>
        </w:rPr>
        <w:t xml:space="preserve"> </w:t>
      </w:r>
    </w:p>
    <w:p w:rsidR="0062568F" w:rsidRDefault="00426C64">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p w:rsidR="0062568F" w:rsidRDefault="00426C64">
      <w:pPr>
        <w:spacing w:line="360" w:lineRule="auto"/>
        <w:ind w:firstLineChars="200" w:firstLine="420"/>
        <w:jc w:val="left"/>
        <w:divId w:val="1310286509"/>
      </w:pPr>
      <w:r>
        <w:rPr>
          <w:rFonts w:ascii="宋体" w:hAnsi="宋体" w:hint="eastAsia"/>
          <w:lang w:eastAsia="zh-Hans"/>
        </w:rPr>
        <w:t>无。</w:t>
      </w:r>
      <w:r>
        <w:rPr>
          <w:rFonts w:ascii="宋体" w:hAnsi="宋体" w:hint="eastAsia"/>
        </w:rPr>
        <w:t xml:space="preserve"> </w:t>
      </w:r>
    </w:p>
    <w:p w:rsidR="0062568F" w:rsidRDefault="00426C64">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lastRenderedPageBreak/>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rsidR="0062568F" w:rsidRDefault="00426C64">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bookmarkEnd w:id="23"/>
    <w:bookmarkEnd w:id="43"/>
    <w:bookmarkEnd w:id="44"/>
    <w:p w:rsidR="0062568F" w:rsidRDefault="00426C64">
      <w:pPr>
        <w:spacing w:line="360" w:lineRule="auto"/>
        <w:ind w:firstLineChars="200" w:firstLine="420"/>
        <w:divId w:val="1041125354"/>
        <w:rPr>
          <w:rFonts w:ascii="宋体" w:hAnsi="宋体"/>
          <w:szCs w:val="21"/>
          <w:lang w:eastAsia="zh-Hans"/>
        </w:rPr>
      </w:pPr>
      <w:r>
        <w:rPr>
          <w:rFonts w:ascii="宋体" w:hAnsi="宋体" w:hint="eastAsia"/>
          <w:szCs w:val="21"/>
          <w:lang w:eastAsia="zh-Hans"/>
        </w:rPr>
        <w:t>无。</w:t>
      </w:r>
    </w:p>
    <w:p w:rsidR="0062568F" w:rsidRDefault="00426C64">
      <w:pPr>
        <w:pStyle w:val="XBRLTitle1"/>
        <w:spacing w:before="156" w:line="360" w:lineRule="auto"/>
        <w:ind w:left="425"/>
      </w:pPr>
      <w:bookmarkStart w:id="346" w:name="_Toc17898228"/>
      <w:bookmarkStart w:id="347" w:name="_Toc17897969"/>
      <w:bookmarkStart w:id="348" w:name="_Toc512519529"/>
      <w:bookmarkStart w:id="349" w:name="_Toc490050049"/>
      <w:bookmarkStart w:id="350" w:name="_Toc481075097"/>
      <w:bookmarkStart w:id="351" w:name="_Toc438646481"/>
      <w:bookmarkStart w:id="352" w:name="_Toc513295878"/>
      <w:bookmarkStart w:id="353" w:name="_Toc513295941"/>
      <w:bookmarkEnd w:id="338"/>
      <w:proofErr w:type="spellStart"/>
      <w:r>
        <w:rPr>
          <w:rFonts w:hAnsi="宋体" w:hint="eastAsia"/>
        </w:rPr>
        <w:t>备查文件目录</w:t>
      </w:r>
      <w:bookmarkEnd w:id="346"/>
      <w:bookmarkEnd w:id="347"/>
      <w:bookmarkEnd w:id="348"/>
      <w:bookmarkEnd w:id="349"/>
      <w:bookmarkEnd w:id="350"/>
      <w:bookmarkEnd w:id="351"/>
      <w:bookmarkEnd w:id="352"/>
      <w:bookmarkEnd w:id="353"/>
      <w:proofErr w:type="spellEnd"/>
      <w:r>
        <w:rPr>
          <w:rFonts w:hAnsi="宋体" w:hint="eastAsia"/>
        </w:rPr>
        <w:t xml:space="preserve"> </w:t>
      </w:r>
    </w:p>
    <w:p w:rsidR="0062568F" w:rsidRDefault="00426C64">
      <w:pPr>
        <w:pStyle w:val="XBRLTitle2"/>
        <w:spacing w:before="156" w:line="360" w:lineRule="auto"/>
        <w:ind w:left="454"/>
      </w:pPr>
      <w:bookmarkStart w:id="354" w:name="_Toc438646482"/>
      <w:bookmarkStart w:id="355" w:name="_Toc17898229"/>
      <w:bookmarkStart w:id="356" w:name="_Toc17897970"/>
      <w:bookmarkStart w:id="357" w:name="_Toc512519530"/>
      <w:bookmarkStart w:id="358" w:name="_Toc481075098"/>
      <w:bookmarkStart w:id="359" w:name="_Toc490050050"/>
      <w:bookmarkStart w:id="360" w:name="_Toc513295879"/>
      <w:bookmarkStart w:id="361" w:name="_Toc513295942"/>
      <w:bookmarkStart w:id="362" w:name="m801_01_1733"/>
      <w:proofErr w:type="spellStart"/>
      <w:r>
        <w:rPr>
          <w:rFonts w:hAnsi="宋体" w:hint="eastAsia"/>
        </w:rPr>
        <w:t>备查文件目录</w:t>
      </w:r>
      <w:bookmarkEnd w:id="354"/>
      <w:bookmarkEnd w:id="355"/>
      <w:bookmarkEnd w:id="356"/>
      <w:bookmarkEnd w:id="357"/>
      <w:bookmarkEnd w:id="358"/>
      <w:bookmarkEnd w:id="359"/>
      <w:bookmarkEnd w:id="360"/>
      <w:bookmarkEnd w:id="361"/>
      <w:proofErr w:type="spellEnd"/>
      <w:r>
        <w:rPr>
          <w:rFonts w:hAnsi="宋体" w:hint="eastAsia"/>
        </w:rPr>
        <w:t xml:space="preserve"> </w:t>
      </w:r>
    </w:p>
    <w:p w:rsidR="0062568F" w:rsidRDefault="00426C64">
      <w:pPr>
        <w:spacing w:line="360" w:lineRule="auto"/>
        <w:ind w:firstLineChars="200" w:firstLine="420"/>
        <w:jc w:val="left"/>
      </w:pPr>
      <w:r>
        <w:rPr>
          <w:rFonts w:ascii="宋体" w:hAnsi="宋体" w:cs="宋体" w:hint="eastAsia"/>
          <w:color w:val="000000"/>
          <w:kern w:val="0"/>
        </w:rPr>
        <w:t>1. 中国证监会准予本基金募集注册的文件</w:t>
      </w:r>
      <w:r>
        <w:rPr>
          <w:rFonts w:ascii="宋体" w:hAnsi="宋体" w:cs="宋体" w:hint="eastAsia"/>
          <w:color w:val="000000"/>
          <w:kern w:val="0"/>
        </w:rPr>
        <w:br/>
        <w:t xml:space="preserve">　　2. 摩根安享回报一年持有期债券型证券投资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3. 摩根安享回报一年持有期债券型证券投资基金托管协议</w:t>
      </w:r>
      <w:r>
        <w:rPr>
          <w:rFonts w:ascii="宋体" w:hAnsi="宋体" w:cs="宋体" w:hint="eastAsia"/>
          <w:color w:val="000000"/>
          <w:kern w:val="0"/>
        </w:rPr>
        <w:br/>
        <w:t xml:space="preserve">　　4. 法律意见书</w:t>
      </w:r>
      <w:r>
        <w:rPr>
          <w:rFonts w:ascii="宋体" w:hAnsi="宋体" w:cs="宋体" w:hint="eastAsia"/>
          <w:color w:val="000000"/>
          <w:kern w:val="0"/>
        </w:rPr>
        <w:br/>
        <w:t xml:space="preserve">　　5. 基金管理人业务资格批件、营业执照</w:t>
      </w:r>
      <w:r>
        <w:rPr>
          <w:rFonts w:ascii="宋体" w:hAnsi="宋体" w:cs="宋体" w:hint="eastAsia"/>
          <w:color w:val="000000"/>
          <w:kern w:val="0"/>
        </w:rPr>
        <w:br/>
        <w:t xml:space="preserve">　　6. 基金托管人业务资格批件、营业执照</w:t>
      </w:r>
      <w:r>
        <w:rPr>
          <w:rFonts w:ascii="宋体" w:hAnsi="宋体" w:cs="宋体" w:hint="eastAsia"/>
          <w:color w:val="000000"/>
          <w:kern w:val="0"/>
        </w:rPr>
        <w:br/>
        <w:t xml:space="preserve">　　7. 摩根基金管理(中国)有限公司开放式基金业务规则</w:t>
      </w:r>
      <w:r>
        <w:rPr>
          <w:rFonts w:ascii="宋体" w:hAnsi="宋体" w:cs="宋体" w:hint="eastAsia"/>
          <w:color w:val="000000"/>
          <w:kern w:val="0"/>
        </w:rPr>
        <w:br/>
        <w:t xml:space="preserve">　　8. 中国证监会要求的其他文件</w:t>
      </w:r>
    </w:p>
    <w:p w:rsidR="0062568F" w:rsidRDefault="00426C64">
      <w:pPr>
        <w:pStyle w:val="XBRLTitle2"/>
        <w:spacing w:before="156" w:line="360" w:lineRule="auto"/>
        <w:ind w:left="454"/>
      </w:pPr>
      <w:bookmarkStart w:id="363" w:name="_Toc438646483"/>
      <w:bookmarkStart w:id="364" w:name="_Toc17898230"/>
      <w:bookmarkStart w:id="365" w:name="_Toc17897971"/>
      <w:bookmarkStart w:id="366" w:name="_Toc512519531"/>
      <w:bookmarkStart w:id="367" w:name="_Toc481075099"/>
      <w:bookmarkStart w:id="368" w:name="_Toc490050051"/>
      <w:bookmarkStart w:id="369" w:name="_Toc513295880"/>
      <w:bookmarkStart w:id="370" w:name="_Toc513295943"/>
      <w:bookmarkStart w:id="371" w:name="m801_01_1734"/>
      <w:bookmarkEnd w:id="362"/>
      <w:proofErr w:type="spellStart"/>
      <w:r>
        <w:rPr>
          <w:rFonts w:hAnsi="宋体" w:hint="eastAsia"/>
        </w:rPr>
        <w:t>存放地点</w:t>
      </w:r>
      <w:bookmarkEnd w:id="363"/>
      <w:bookmarkEnd w:id="364"/>
      <w:bookmarkEnd w:id="365"/>
      <w:bookmarkEnd w:id="366"/>
      <w:bookmarkEnd w:id="367"/>
      <w:bookmarkEnd w:id="368"/>
      <w:bookmarkEnd w:id="369"/>
      <w:bookmarkEnd w:id="370"/>
      <w:proofErr w:type="spellEnd"/>
      <w:r>
        <w:rPr>
          <w:rFonts w:hAnsi="宋体" w:hint="eastAsia"/>
        </w:rPr>
        <w:t xml:space="preserve"> </w:t>
      </w:r>
    </w:p>
    <w:p w:rsidR="0062568F" w:rsidRDefault="00426C64">
      <w:pPr>
        <w:spacing w:line="360" w:lineRule="auto"/>
        <w:ind w:firstLineChars="200" w:firstLine="420"/>
        <w:jc w:val="left"/>
      </w:pPr>
      <w:r>
        <w:rPr>
          <w:rFonts w:ascii="宋体" w:hAnsi="宋体" w:cs="宋体" w:hint="eastAsia"/>
          <w:color w:val="000000"/>
          <w:kern w:val="0"/>
        </w:rPr>
        <w:t>基金管理人或基金托管人住所。</w:t>
      </w:r>
    </w:p>
    <w:p w:rsidR="0062568F" w:rsidRDefault="00426C64">
      <w:pPr>
        <w:pStyle w:val="XBRLTitle2"/>
        <w:spacing w:before="156" w:line="360" w:lineRule="auto"/>
        <w:ind w:left="454"/>
      </w:pPr>
      <w:bookmarkStart w:id="372" w:name="_Toc438646484"/>
      <w:bookmarkStart w:id="373" w:name="_Toc17898231"/>
      <w:bookmarkStart w:id="374" w:name="_Toc17897972"/>
      <w:bookmarkStart w:id="375" w:name="_Toc512519532"/>
      <w:bookmarkStart w:id="376" w:name="_Toc481075100"/>
      <w:bookmarkStart w:id="377" w:name="_Toc490050052"/>
      <w:bookmarkStart w:id="378" w:name="_Toc513295881"/>
      <w:bookmarkStart w:id="379" w:name="_Toc513295944"/>
      <w:bookmarkStart w:id="380" w:name="m801_01_1735"/>
      <w:bookmarkEnd w:id="371"/>
      <w:proofErr w:type="spellStart"/>
      <w:r>
        <w:rPr>
          <w:rFonts w:hAnsi="宋体" w:hint="eastAsia"/>
        </w:rPr>
        <w:t>查阅方式</w:t>
      </w:r>
      <w:bookmarkEnd w:id="372"/>
      <w:bookmarkEnd w:id="373"/>
      <w:bookmarkEnd w:id="374"/>
      <w:bookmarkEnd w:id="375"/>
      <w:bookmarkEnd w:id="376"/>
      <w:bookmarkEnd w:id="377"/>
      <w:bookmarkEnd w:id="378"/>
      <w:bookmarkEnd w:id="379"/>
      <w:proofErr w:type="spellEnd"/>
      <w:r>
        <w:rPr>
          <w:rFonts w:hAnsi="宋体" w:hint="eastAsia"/>
        </w:rPr>
        <w:t xml:space="preserve"> </w:t>
      </w:r>
    </w:p>
    <w:p w:rsidR="0062568F" w:rsidRDefault="00426C64">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0"/>
    <w:p w:rsidR="0062568F" w:rsidRDefault="00426C64">
      <w:pPr>
        <w:spacing w:line="360" w:lineRule="auto"/>
        <w:ind w:firstLineChars="600" w:firstLine="1687"/>
        <w:jc w:val="left"/>
      </w:pPr>
      <w:r>
        <w:rPr>
          <w:rFonts w:ascii="宋体" w:hAnsi="宋体" w:hint="eastAsia"/>
          <w:b/>
          <w:bCs/>
          <w:sz w:val="28"/>
          <w:szCs w:val="30"/>
        </w:rPr>
        <w:t xml:space="preserve">　 </w:t>
      </w:r>
    </w:p>
    <w:p w:rsidR="0062568F" w:rsidRDefault="00426C64">
      <w:pPr>
        <w:spacing w:line="360" w:lineRule="auto"/>
        <w:ind w:firstLineChars="600" w:firstLine="1687"/>
        <w:jc w:val="left"/>
      </w:pPr>
      <w:r>
        <w:rPr>
          <w:rFonts w:ascii="宋体" w:hAnsi="宋体" w:hint="eastAsia"/>
          <w:b/>
          <w:bCs/>
          <w:sz w:val="28"/>
          <w:szCs w:val="30"/>
        </w:rPr>
        <w:t xml:space="preserve">　 </w:t>
      </w:r>
    </w:p>
    <w:p w:rsidR="0062568F" w:rsidRDefault="00426C64">
      <w:pPr>
        <w:spacing w:line="360" w:lineRule="auto"/>
        <w:ind w:firstLineChars="600" w:firstLine="1446"/>
        <w:jc w:val="right"/>
      </w:pPr>
      <w:r>
        <w:rPr>
          <w:rFonts w:ascii="宋体" w:hAnsi="宋体" w:hint="eastAsia"/>
          <w:b/>
          <w:bCs/>
          <w:sz w:val="24"/>
          <w:szCs w:val="24"/>
        </w:rPr>
        <w:t>摩根基金管理（中国）有限公司</w:t>
      </w:r>
    </w:p>
    <w:p w:rsidR="0062568F" w:rsidRDefault="00426C64">
      <w:pPr>
        <w:spacing w:line="360" w:lineRule="auto"/>
        <w:ind w:firstLineChars="600" w:firstLine="1446"/>
        <w:jc w:val="right"/>
      </w:pPr>
      <w:r>
        <w:rPr>
          <w:rFonts w:ascii="宋体" w:hAnsi="宋体" w:hint="eastAsia"/>
          <w:b/>
          <w:bCs/>
          <w:sz w:val="24"/>
          <w:szCs w:val="24"/>
        </w:rPr>
        <w:t>2025年4月22日</w:t>
      </w:r>
      <w:bookmarkEnd w:id="24"/>
    </w:p>
    <w:sectPr w:rsidR="0062568F">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68F" w:rsidRDefault="00426C64">
      <w:pPr>
        <w:rPr>
          <w:szCs w:val="21"/>
        </w:rPr>
      </w:pPr>
      <w:r>
        <w:rPr>
          <w:szCs w:val="21"/>
        </w:rPr>
        <w:separator/>
      </w:r>
      <w:r>
        <w:rPr>
          <w:szCs w:val="21"/>
        </w:rPr>
        <w:t xml:space="preserve"> </w:t>
      </w:r>
    </w:p>
  </w:endnote>
  <w:endnote w:type="continuationSeparator" w:id="0">
    <w:p w:rsidR="0062568F" w:rsidRDefault="00426C64">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68F" w:rsidRDefault="00426C64">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713106">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713106">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68F" w:rsidRDefault="00426C64">
      <w:pPr>
        <w:rPr>
          <w:szCs w:val="21"/>
        </w:rPr>
      </w:pPr>
      <w:r>
        <w:rPr>
          <w:szCs w:val="21"/>
        </w:rPr>
        <w:separator/>
      </w:r>
      <w:r>
        <w:rPr>
          <w:szCs w:val="21"/>
        </w:rPr>
        <w:t xml:space="preserve"> </w:t>
      </w:r>
    </w:p>
  </w:footnote>
  <w:footnote w:type="continuationSeparator" w:id="0">
    <w:p w:rsidR="0062568F" w:rsidRDefault="00426C64">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68F" w:rsidRDefault="00426C64">
    <w:pPr>
      <w:pStyle w:val="a8"/>
      <w:jc w:val="right"/>
    </w:pPr>
    <w:r>
      <w:rPr>
        <w:rFonts w:ascii="宋体" w:hAnsi="宋体" w:hint="eastAsia"/>
      </w:rPr>
      <w:t>摩根安享回报一年持有期债券型证券投资基金2025年第1季度报告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C64"/>
    <w:rsid w:val="00426C64"/>
    <w:rsid w:val="0062568F"/>
    <w:rsid w:val="006C5A19"/>
    <w:rsid w:val="00713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E0CA209F-CA87-4CB1-AEDC-D49111A7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Times New Roman" w:hint="default"/>
      <w:b/>
      <w:bCs/>
      <w:sz w:val="32"/>
      <w:szCs w:val="32"/>
    </w:rPr>
  </w:style>
  <w:style w:type="character" w:customStyle="1" w:styleId="16">
    <w:name w:val="副标题 字符1"/>
    <w:link w:val="ae"/>
    <w:locked/>
    <w:rPr>
      <w:rFonts w:ascii="Cambria" w:eastAsia="宋体" w:hAnsi="Cambria" w:cs="Times New Roman" w:hint="default"/>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4640">
      <w:marLeft w:val="0"/>
      <w:marRight w:val="0"/>
      <w:marTop w:val="0"/>
      <w:marBottom w:val="0"/>
      <w:divBdr>
        <w:top w:val="none" w:sz="0" w:space="0" w:color="auto"/>
        <w:left w:val="none" w:sz="0" w:space="0" w:color="auto"/>
        <w:bottom w:val="none" w:sz="0" w:space="0" w:color="auto"/>
        <w:right w:val="none" w:sz="0" w:space="0" w:color="auto"/>
      </w:divBdr>
    </w:div>
    <w:div w:id="221673451">
      <w:marLeft w:val="0"/>
      <w:marRight w:val="0"/>
      <w:marTop w:val="0"/>
      <w:marBottom w:val="0"/>
      <w:divBdr>
        <w:top w:val="none" w:sz="0" w:space="0" w:color="auto"/>
        <w:left w:val="none" w:sz="0" w:space="0" w:color="auto"/>
        <w:bottom w:val="none" w:sz="0" w:space="0" w:color="auto"/>
        <w:right w:val="none" w:sz="0" w:space="0" w:color="auto"/>
      </w:divBdr>
    </w:div>
    <w:div w:id="320239989">
      <w:marLeft w:val="0"/>
      <w:marRight w:val="0"/>
      <w:marTop w:val="0"/>
      <w:marBottom w:val="0"/>
      <w:divBdr>
        <w:top w:val="none" w:sz="0" w:space="0" w:color="auto"/>
        <w:left w:val="none" w:sz="0" w:space="0" w:color="auto"/>
        <w:bottom w:val="none" w:sz="0" w:space="0" w:color="auto"/>
        <w:right w:val="none" w:sz="0" w:space="0" w:color="auto"/>
      </w:divBdr>
      <w:divsChild>
        <w:div w:id="1604143790">
          <w:marLeft w:val="0"/>
          <w:marRight w:val="0"/>
          <w:marTop w:val="0"/>
          <w:marBottom w:val="0"/>
          <w:divBdr>
            <w:top w:val="none" w:sz="0" w:space="0" w:color="auto"/>
            <w:left w:val="none" w:sz="0" w:space="0" w:color="auto"/>
            <w:bottom w:val="none" w:sz="0" w:space="0" w:color="auto"/>
            <w:right w:val="none" w:sz="0" w:space="0" w:color="auto"/>
          </w:divBdr>
        </w:div>
      </w:divsChild>
    </w:div>
    <w:div w:id="639194878">
      <w:marLeft w:val="0"/>
      <w:marRight w:val="0"/>
      <w:marTop w:val="0"/>
      <w:marBottom w:val="0"/>
      <w:divBdr>
        <w:top w:val="none" w:sz="0" w:space="0" w:color="auto"/>
        <w:left w:val="none" w:sz="0" w:space="0" w:color="auto"/>
        <w:bottom w:val="none" w:sz="0" w:space="0" w:color="auto"/>
        <w:right w:val="none" w:sz="0" w:space="0" w:color="auto"/>
      </w:divBdr>
      <w:divsChild>
        <w:div w:id="991255733">
          <w:marLeft w:val="0"/>
          <w:marRight w:val="0"/>
          <w:marTop w:val="0"/>
          <w:marBottom w:val="0"/>
          <w:divBdr>
            <w:top w:val="none" w:sz="0" w:space="0" w:color="auto"/>
            <w:left w:val="none" w:sz="0" w:space="0" w:color="auto"/>
            <w:bottom w:val="none" w:sz="0" w:space="0" w:color="auto"/>
            <w:right w:val="none" w:sz="0" w:space="0" w:color="auto"/>
          </w:divBdr>
        </w:div>
      </w:divsChild>
    </w:div>
    <w:div w:id="721438457">
      <w:marLeft w:val="0"/>
      <w:marRight w:val="0"/>
      <w:marTop w:val="0"/>
      <w:marBottom w:val="0"/>
      <w:divBdr>
        <w:top w:val="none" w:sz="0" w:space="0" w:color="auto"/>
        <w:left w:val="none" w:sz="0" w:space="0" w:color="auto"/>
        <w:bottom w:val="none" w:sz="0" w:space="0" w:color="auto"/>
        <w:right w:val="none" w:sz="0" w:space="0" w:color="auto"/>
      </w:divBdr>
    </w:div>
    <w:div w:id="787352655">
      <w:marLeft w:val="0"/>
      <w:marRight w:val="0"/>
      <w:marTop w:val="0"/>
      <w:marBottom w:val="0"/>
      <w:divBdr>
        <w:top w:val="none" w:sz="0" w:space="0" w:color="auto"/>
        <w:left w:val="none" w:sz="0" w:space="0" w:color="auto"/>
        <w:bottom w:val="none" w:sz="0" w:space="0" w:color="auto"/>
        <w:right w:val="none" w:sz="0" w:space="0" w:color="auto"/>
      </w:divBdr>
    </w:div>
    <w:div w:id="790590011">
      <w:marLeft w:val="0"/>
      <w:marRight w:val="0"/>
      <w:marTop w:val="0"/>
      <w:marBottom w:val="0"/>
      <w:divBdr>
        <w:top w:val="none" w:sz="0" w:space="0" w:color="auto"/>
        <w:left w:val="none" w:sz="0" w:space="0" w:color="auto"/>
        <w:bottom w:val="none" w:sz="0" w:space="0" w:color="auto"/>
        <w:right w:val="none" w:sz="0" w:space="0" w:color="auto"/>
      </w:divBdr>
    </w:div>
    <w:div w:id="854466042">
      <w:marLeft w:val="0"/>
      <w:marRight w:val="0"/>
      <w:marTop w:val="0"/>
      <w:marBottom w:val="0"/>
      <w:divBdr>
        <w:top w:val="none" w:sz="0" w:space="0" w:color="auto"/>
        <w:left w:val="none" w:sz="0" w:space="0" w:color="auto"/>
        <w:bottom w:val="none" w:sz="0" w:space="0" w:color="auto"/>
        <w:right w:val="none" w:sz="0" w:space="0" w:color="auto"/>
      </w:divBdr>
    </w:div>
    <w:div w:id="878125125">
      <w:marLeft w:val="0"/>
      <w:marRight w:val="0"/>
      <w:marTop w:val="0"/>
      <w:marBottom w:val="0"/>
      <w:divBdr>
        <w:top w:val="none" w:sz="0" w:space="0" w:color="auto"/>
        <w:left w:val="none" w:sz="0" w:space="0" w:color="auto"/>
        <w:bottom w:val="none" w:sz="0" w:space="0" w:color="auto"/>
        <w:right w:val="none" w:sz="0" w:space="0" w:color="auto"/>
      </w:divBdr>
    </w:div>
    <w:div w:id="998845365">
      <w:marLeft w:val="0"/>
      <w:marRight w:val="0"/>
      <w:marTop w:val="0"/>
      <w:marBottom w:val="0"/>
      <w:divBdr>
        <w:top w:val="none" w:sz="0" w:space="0" w:color="auto"/>
        <w:left w:val="none" w:sz="0" w:space="0" w:color="auto"/>
        <w:bottom w:val="none" w:sz="0" w:space="0" w:color="auto"/>
        <w:right w:val="none" w:sz="0" w:space="0" w:color="auto"/>
      </w:divBdr>
    </w:div>
    <w:div w:id="1008748664">
      <w:marLeft w:val="0"/>
      <w:marRight w:val="0"/>
      <w:marTop w:val="0"/>
      <w:marBottom w:val="0"/>
      <w:divBdr>
        <w:top w:val="none" w:sz="0" w:space="0" w:color="auto"/>
        <w:left w:val="none" w:sz="0" w:space="0" w:color="auto"/>
        <w:bottom w:val="none" w:sz="0" w:space="0" w:color="auto"/>
        <w:right w:val="none" w:sz="0" w:space="0" w:color="auto"/>
      </w:divBdr>
      <w:divsChild>
        <w:div w:id="548885885">
          <w:marLeft w:val="0"/>
          <w:marRight w:val="0"/>
          <w:marTop w:val="0"/>
          <w:marBottom w:val="0"/>
          <w:divBdr>
            <w:top w:val="none" w:sz="0" w:space="0" w:color="auto"/>
            <w:left w:val="none" w:sz="0" w:space="0" w:color="auto"/>
            <w:bottom w:val="none" w:sz="0" w:space="0" w:color="auto"/>
            <w:right w:val="none" w:sz="0" w:space="0" w:color="auto"/>
          </w:divBdr>
        </w:div>
      </w:divsChild>
    </w:div>
    <w:div w:id="1041125354">
      <w:marLeft w:val="0"/>
      <w:marRight w:val="0"/>
      <w:marTop w:val="0"/>
      <w:marBottom w:val="0"/>
      <w:divBdr>
        <w:top w:val="none" w:sz="0" w:space="0" w:color="auto"/>
        <w:left w:val="none" w:sz="0" w:space="0" w:color="auto"/>
        <w:bottom w:val="none" w:sz="0" w:space="0" w:color="auto"/>
        <w:right w:val="none" w:sz="0" w:space="0" w:color="auto"/>
      </w:divBdr>
    </w:div>
    <w:div w:id="1279023274">
      <w:marLeft w:val="0"/>
      <w:marRight w:val="0"/>
      <w:marTop w:val="0"/>
      <w:marBottom w:val="0"/>
      <w:divBdr>
        <w:top w:val="none" w:sz="0" w:space="0" w:color="auto"/>
        <w:left w:val="none" w:sz="0" w:space="0" w:color="auto"/>
        <w:bottom w:val="none" w:sz="0" w:space="0" w:color="auto"/>
        <w:right w:val="none" w:sz="0" w:space="0" w:color="auto"/>
      </w:divBdr>
    </w:div>
    <w:div w:id="1310286509">
      <w:marLeft w:val="0"/>
      <w:marRight w:val="0"/>
      <w:marTop w:val="0"/>
      <w:marBottom w:val="0"/>
      <w:divBdr>
        <w:top w:val="none" w:sz="0" w:space="0" w:color="auto"/>
        <w:left w:val="none" w:sz="0" w:space="0" w:color="auto"/>
        <w:bottom w:val="none" w:sz="0" w:space="0" w:color="auto"/>
        <w:right w:val="none" w:sz="0" w:space="0" w:color="auto"/>
      </w:divBdr>
    </w:div>
    <w:div w:id="1564173348">
      <w:marLeft w:val="0"/>
      <w:marRight w:val="0"/>
      <w:marTop w:val="0"/>
      <w:marBottom w:val="0"/>
      <w:divBdr>
        <w:top w:val="none" w:sz="0" w:space="0" w:color="auto"/>
        <w:left w:val="none" w:sz="0" w:space="0" w:color="auto"/>
        <w:bottom w:val="none" w:sz="0" w:space="0" w:color="auto"/>
        <w:right w:val="none" w:sz="0" w:space="0" w:color="auto"/>
      </w:divBdr>
      <w:divsChild>
        <w:div w:id="386026454">
          <w:marLeft w:val="0"/>
          <w:marRight w:val="0"/>
          <w:marTop w:val="0"/>
          <w:marBottom w:val="0"/>
          <w:divBdr>
            <w:top w:val="none" w:sz="0" w:space="0" w:color="auto"/>
            <w:left w:val="none" w:sz="0" w:space="0" w:color="auto"/>
            <w:bottom w:val="none" w:sz="0" w:space="0" w:color="auto"/>
            <w:right w:val="none" w:sz="0" w:space="0" w:color="auto"/>
          </w:divBdr>
        </w:div>
      </w:divsChild>
    </w:div>
    <w:div w:id="1824539118">
      <w:marLeft w:val="0"/>
      <w:marRight w:val="0"/>
      <w:marTop w:val="0"/>
      <w:marBottom w:val="0"/>
      <w:divBdr>
        <w:top w:val="none" w:sz="0" w:space="0" w:color="auto"/>
        <w:left w:val="none" w:sz="0" w:space="0" w:color="auto"/>
        <w:bottom w:val="none" w:sz="0" w:space="0" w:color="auto"/>
        <w:right w:val="none" w:sz="0" w:space="0" w:color="auto"/>
      </w:divBdr>
    </w:div>
    <w:div w:id="1908954146">
      <w:marLeft w:val="0"/>
      <w:marRight w:val="0"/>
      <w:marTop w:val="0"/>
      <w:marBottom w:val="0"/>
      <w:divBdr>
        <w:top w:val="none" w:sz="0" w:space="0" w:color="auto"/>
        <w:left w:val="none" w:sz="0" w:space="0" w:color="auto"/>
        <w:bottom w:val="none" w:sz="0" w:space="0" w:color="auto"/>
        <w:right w:val="none" w:sz="0" w:space="0" w:color="auto"/>
      </w:divBdr>
    </w:div>
    <w:div w:id="1930001513">
      <w:marLeft w:val="0"/>
      <w:marRight w:val="0"/>
      <w:marTop w:val="0"/>
      <w:marBottom w:val="0"/>
      <w:divBdr>
        <w:top w:val="none" w:sz="0" w:space="0" w:color="auto"/>
        <w:left w:val="none" w:sz="0" w:space="0" w:color="auto"/>
        <w:bottom w:val="none" w:sz="0" w:space="0" w:color="auto"/>
        <w:right w:val="none" w:sz="0" w:space="0" w:color="auto"/>
      </w:divBdr>
      <w:divsChild>
        <w:div w:id="160781855">
          <w:marLeft w:val="0"/>
          <w:marRight w:val="0"/>
          <w:marTop w:val="0"/>
          <w:marBottom w:val="0"/>
          <w:divBdr>
            <w:top w:val="none" w:sz="0" w:space="0" w:color="auto"/>
            <w:left w:val="none" w:sz="0" w:space="0" w:color="auto"/>
            <w:bottom w:val="none" w:sz="0" w:space="0" w:color="auto"/>
            <w:right w:val="none" w:sz="0" w:space="0" w:color="auto"/>
          </w:divBdr>
        </w:div>
      </w:divsChild>
    </w:div>
    <w:div w:id="1998653520">
      <w:marLeft w:val="0"/>
      <w:marRight w:val="0"/>
      <w:marTop w:val="0"/>
      <w:marBottom w:val="0"/>
      <w:divBdr>
        <w:top w:val="none" w:sz="0" w:space="0" w:color="auto"/>
        <w:left w:val="none" w:sz="0" w:space="0" w:color="auto"/>
        <w:bottom w:val="none" w:sz="0" w:space="0" w:color="auto"/>
        <w:right w:val="none" w:sz="0" w:space="0" w:color="auto"/>
      </w:divBdr>
    </w:div>
    <w:div w:id="2053192601">
      <w:marLeft w:val="0"/>
      <w:marRight w:val="0"/>
      <w:marTop w:val="0"/>
      <w:marBottom w:val="0"/>
      <w:divBdr>
        <w:top w:val="none" w:sz="0" w:space="0" w:color="auto"/>
        <w:left w:val="none" w:sz="0" w:space="0" w:color="auto"/>
        <w:bottom w:val="none" w:sz="0" w:space="0" w:color="auto"/>
        <w:right w:val="none" w:sz="0" w:space="0" w:color="auto"/>
      </w:divBdr>
      <w:divsChild>
        <w:div w:id="1273706642">
          <w:marLeft w:val="0"/>
          <w:marRight w:val="0"/>
          <w:marTop w:val="0"/>
          <w:marBottom w:val="0"/>
          <w:divBdr>
            <w:top w:val="none" w:sz="0" w:space="0" w:color="auto"/>
            <w:left w:val="none" w:sz="0" w:space="0" w:color="auto"/>
            <w:bottom w:val="none" w:sz="0" w:space="0" w:color="auto"/>
            <w:right w:val="none" w:sz="0" w:space="0" w:color="auto"/>
          </w:divBdr>
        </w:div>
        <w:div w:id="1338072888">
          <w:marLeft w:val="0"/>
          <w:marRight w:val="0"/>
          <w:marTop w:val="0"/>
          <w:marBottom w:val="0"/>
          <w:divBdr>
            <w:top w:val="none" w:sz="0" w:space="0" w:color="auto"/>
            <w:left w:val="none" w:sz="0" w:space="0" w:color="auto"/>
            <w:bottom w:val="none" w:sz="0" w:space="0" w:color="auto"/>
            <w:right w:val="none" w:sz="0" w:space="0" w:color="auto"/>
          </w:divBdr>
        </w:div>
      </w:divsChild>
    </w:div>
    <w:div w:id="20686040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6129A-91E5-4DF2-B105-8909075AE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5990</Words>
  <Characters>2421</Characters>
  <Application>Microsoft Office Word</Application>
  <DocSecurity>0</DocSecurity>
  <Lines>20</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Wenyu.Qiu@FA</cp:lastModifiedBy>
  <cp:revision>4</cp:revision>
  <dcterms:created xsi:type="dcterms:W3CDTF">2025-04-15T12:15:00Z</dcterms:created>
  <dcterms:modified xsi:type="dcterms:W3CDTF">2025-04-21T08:10:00Z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