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bookmarkStart w:id="0" w:name="_GoBack"/>
      <w:bookmarkEnd w:id="0"/>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上投摩根远见两年持有期混合型证券投资基金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2022</w:t>
      </w:r>
      <w:r w:rsidRPr="00FF6B9A">
        <w:rPr>
          <w:rFonts w:eastAsiaTheme="minorEastAsia"/>
          <w:b/>
          <w:color w:val="000000" w:themeColor="text1"/>
          <w:sz w:val="36"/>
          <w:szCs w:val="36"/>
        </w:rPr>
        <w:t>年第</w:t>
      </w:r>
      <w:r w:rsidRPr="00FF6B9A">
        <w:rPr>
          <w:rFonts w:eastAsiaTheme="minorEastAsia"/>
          <w:b/>
          <w:color w:val="000000" w:themeColor="text1"/>
          <w:sz w:val="36"/>
          <w:szCs w:val="36"/>
        </w:rPr>
        <w:t>4</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2022</w:t>
      </w:r>
      <w:r w:rsidRPr="00FF6B9A">
        <w:rPr>
          <w:rFonts w:eastAsiaTheme="minorEastAsia"/>
          <w:b/>
          <w:color w:val="000000" w:themeColor="text1"/>
          <w:sz w:val="36"/>
          <w:szCs w:val="36"/>
        </w:rPr>
        <w:t>年</w:t>
      </w:r>
      <w:r w:rsidRPr="00FF6B9A">
        <w:rPr>
          <w:rFonts w:eastAsiaTheme="minorEastAsia"/>
          <w:b/>
          <w:color w:val="000000" w:themeColor="text1"/>
          <w:sz w:val="36"/>
          <w:szCs w:val="36"/>
        </w:rPr>
        <w:t>12</w:t>
      </w:r>
      <w:r w:rsidRPr="00FF6B9A">
        <w:rPr>
          <w:rFonts w:eastAsiaTheme="minorEastAsia"/>
          <w:b/>
          <w:color w:val="000000" w:themeColor="text1"/>
          <w:sz w:val="36"/>
          <w:szCs w:val="36"/>
        </w:rPr>
        <w:t>月</w:t>
      </w:r>
      <w:r w:rsidRPr="00FF6B9A">
        <w:rPr>
          <w:rFonts w:eastAsiaTheme="minorEastAsia"/>
          <w:b/>
          <w:color w:val="000000" w:themeColor="text1"/>
          <w:sz w:val="36"/>
          <w:szCs w:val="36"/>
        </w:rPr>
        <w:t>31</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基金管理人：上投摩根基金管理有限公司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基金托管人：中国银行股份有限公司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报告送出日期：二〇二三年一月二十日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D75E2F" w:rsidRDefault="0085095E">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D75E2F" w:rsidRDefault="0085095E">
      <w:pPr>
        <w:spacing w:line="360" w:lineRule="auto"/>
        <w:ind w:firstLineChars="200" w:firstLine="420"/>
        <w:rPr>
          <w:rFonts w:eastAsiaTheme="minorEastAsia"/>
          <w:color w:val="000000" w:themeColor="text1"/>
        </w:rPr>
      </w:pPr>
      <w:r>
        <w:rPr>
          <w:rFonts w:eastAsiaTheme="minorEastAsia"/>
          <w:color w:val="000000" w:themeColor="text1"/>
        </w:rPr>
        <w:t>基金托管人中国银行股份有限公司根据本基金合同规定，于</w:t>
      </w:r>
      <w:r>
        <w:rPr>
          <w:rFonts w:eastAsiaTheme="minorEastAsia"/>
          <w:color w:val="000000" w:themeColor="text1"/>
        </w:rPr>
        <w:t>2023</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w:t>
      </w:r>
      <w:r>
        <w:rPr>
          <w:rFonts w:eastAsiaTheme="minorEastAsia"/>
          <w:color w:val="000000" w:themeColor="text1"/>
        </w:rPr>
        <w:t>19</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D75E2F" w:rsidRDefault="0085095E">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D75E2F" w:rsidRDefault="0085095E">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D75E2F" w:rsidRDefault="0085095E">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2022</w:t>
      </w:r>
      <w:r w:rsidRPr="00FF6B9A">
        <w:rPr>
          <w:rFonts w:eastAsiaTheme="minorEastAsia"/>
          <w:color w:val="000000" w:themeColor="text1"/>
        </w:rPr>
        <w:t>年</w:t>
      </w:r>
      <w:r w:rsidRPr="00FF6B9A">
        <w:rPr>
          <w:rFonts w:eastAsiaTheme="minorEastAsia"/>
          <w:color w:val="000000" w:themeColor="text1"/>
        </w:rPr>
        <w:t>10</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12</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上投摩根远见两年持有期混合</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010610</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010610</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2021</w:t>
            </w:r>
            <w:r w:rsidRPr="00FF6B9A">
              <w:rPr>
                <w:rFonts w:eastAsiaTheme="minorEastAsia"/>
                <w:color w:val="000000" w:themeColor="text1"/>
                <w:kern w:val="0"/>
              </w:rPr>
              <w:t>年</w:t>
            </w:r>
            <w:r w:rsidRPr="00FF6B9A">
              <w:rPr>
                <w:rFonts w:eastAsiaTheme="minorEastAsia"/>
                <w:color w:val="000000" w:themeColor="text1"/>
                <w:kern w:val="0"/>
              </w:rPr>
              <w:t>1</w:t>
            </w:r>
            <w:r w:rsidRPr="00FF6B9A">
              <w:rPr>
                <w:rFonts w:eastAsiaTheme="minorEastAsia"/>
                <w:color w:val="000000" w:themeColor="text1"/>
                <w:kern w:val="0"/>
              </w:rPr>
              <w:t>月</w:t>
            </w:r>
            <w:r w:rsidRPr="00FF6B9A">
              <w:rPr>
                <w:rFonts w:eastAsiaTheme="minorEastAsia"/>
                <w:color w:val="000000" w:themeColor="text1"/>
                <w:kern w:val="0"/>
              </w:rPr>
              <w:t>11</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6,427,656,295.49</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采用定量及定性研究方法，通过自上而下资产配置与自下而上精选个股相结合，基于严格的风险控制，力争实现基金资产的长期增值。</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D75E2F" w:rsidRDefault="0085095E">
            <w:pPr>
              <w:adjustRightInd w:val="0"/>
              <w:spacing w:before="29" w:line="360" w:lineRule="auto"/>
              <w:ind w:left="17"/>
              <w:rPr>
                <w:rFonts w:eastAsiaTheme="minorEastAsia"/>
                <w:color w:val="000000" w:themeColor="text1"/>
              </w:rPr>
            </w:pPr>
            <w:r>
              <w:rPr>
                <w:rFonts w:eastAsiaTheme="minorEastAsia"/>
                <w:color w:val="000000" w:themeColor="text1"/>
                <w:kern w:val="0"/>
              </w:rPr>
              <w:t>1</w:t>
            </w:r>
            <w:r>
              <w:rPr>
                <w:rFonts w:eastAsiaTheme="minorEastAsia"/>
                <w:color w:val="000000" w:themeColor="text1"/>
                <w:kern w:val="0"/>
              </w:rPr>
              <w:t>、资产配置策略</w:t>
            </w:r>
          </w:p>
          <w:p w:rsidR="00D75E2F" w:rsidRDefault="0085095E">
            <w:pPr>
              <w:adjustRightInd w:val="0"/>
              <w:spacing w:before="29" w:line="360" w:lineRule="auto"/>
              <w:ind w:left="17"/>
              <w:rPr>
                <w:rFonts w:eastAsiaTheme="minorEastAsia"/>
                <w:color w:val="000000" w:themeColor="text1"/>
              </w:rPr>
            </w:pPr>
            <w:r>
              <w:rPr>
                <w:rFonts w:eastAsiaTheme="minorEastAsia"/>
                <w:color w:val="000000" w:themeColor="text1"/>
                <w:kern w:val="0"/>
              </w:rPr>
              <w:t>本基金将综合分析和持续跟踪基本面、政策面、市场面等多方面因素，对宏观经济、国家政策、资金面和市场情绪等影响证券市场的重要因素进行深入分析，重点关注包括</w:t>
            </w:r>
            <w:r>
              <w:rPr>
                <w:rFonts w:eastAsiaTheme="minorEastAsia"/>
                <w:color w:val="000000" w:themeColor="text1"/>
                <w:kern w:val="0"/>
              </w:rPr>
              <w:t xml:space="preserve"> </w:t>
            </w:r>
            <w:r>
              <w:rPr>
                <w:rFonts w:eastAsiaTheme="minorEastAsia"/>
                <w:color w:val="000000" w:themeColor="text1"/>
                <w:kern w:val="0"/>
              </w:rPr>
              <w:lastRenderedPageBreak/>
              <w:t xml:space="preserve">GDP </w:t>
            </w:r>
            <w:r>
              <w:rPr>
                <w:rFonts w:eastAsiaTheme="minorEastAsia"/>
                <w:color w:val="000000" w:themeColor="text1"/>
                <w:kern w:val="0"/>
              </w:rPr>
              <w:t>增速、固定资产投资增速、净出口增速、通胀率、货币供应、利率等宏观指标的变化趋势，结合股票、债券等各类资产风险收益特征，确定合适的资产配置比例。本基金将根据各类证券的风险收益特征的相对变化，适度的调整确定基金资产在股票、债券及现金等类别资产间的分配比例，动态优化投资组合。</w:t>
            </w:r>
          </w:p>
          <w:p w:rsidR="00D75E2F" w:rsidRDefault="0085095E">
            <w:pPr>
              <w:adjustRightInd w:val="0"/>
              <w:spacing w:before="29" w:line="360" w:lineRule="auto"/>
              <w:ind w:left="17"/>
              <w:rPr>
                <w:rFonts w:eastAsiaTheme="minorEastAsia"/>
                <w:color w:val="000000" w:themeColor="text1"/>
              </w:rPr>
            </w:pPr>
            <w:r>
              <w:rPr>
                <w:rFonts w:eastAsiaTheme="minorEastAsia"/>
                <w:color w:val="000000" w:themeColor="text1"/>
                <w:kern w:val="0"/>
              </w:rPr>
              <w:t>在控制风险的前提下，本基金将优先配置股票资产，本基金股票资产占基金资产的投资比例为</w:t>
            </w:r>
            <w:r>
              <w:rPr>
                <w:rFonts w:eastAsiaTheme="minorEastAsia"/>
                <w:color w:val="000000" w:themeColor="text1"/>
                <w:kern w:val="0"/>
              </w:rPr>
              <w:t>60%-95%</w:t>
            </w:r>
            <w:r>
              <w:rPr>
                <w:rFonts w:eastAsiaTheme="minorEastAsia"/>
                <w:color w:val="000000" w:themeColor="text1"/>
                <w:kern w:val="0"/>
              </w:rPr>
              <w:t>，其中港股通标的股票的投资比例不超过基金资产的</w:t>
            </w:r>
            <w:r>
              <w:rPr>
                <w:rFonts w:eastAsiaTheme="minorEastAsia"/>
                <w:color w:val="000000" w:themeColor="text1"/>
                <w:kern w:val="0"/>
              </w:rPr>
              <w:t>30%</w:t>
            </w:r>
            <w:r>
              <w:rPr>
                <w:rFonts w:eastAsiaTheme="minorEastAsia"/>
                <w:color w:val="000000" w:themeColor="text1"/>
                <w:kern w:val="0"/>
              </w:rPr>
              <w:t>，且不超过股票资产的</w:t>
            </w:r>
            <w:r>
              <w:rPr>
                <w:rFonts w:eastAsiaTheme="minorEastAsia"/>
                <w:color w:val="000000" w:themeColor="text1"/>
                <w:kern w:val="0"/>
              </w:rPr>
              <w:t>50%</w:t>
            </w:r>
            <w:r>
              <w:rPr>
                <w:rFonts w:eastAsiaTheme="minorEastAsia"/>
                <w:color w:val="000000" w:themeColor="text1"/>
                <w:kern w:val="0"/>
              </w:rPr>
              <w:t>。</w:t>
            </w:r>
          </w:p>
          <w:p w:rsidR="00D75E2F" w:rsidRDefault="0085095E">
            <w:pPr>
              <w:adjustRightInd w:val="0"/>
              <w:spacing w:before="29" w:line="360" w:lineRule="auto"/>
              <w:ind w:left="17"/>
              <w:rPr>
                <w:rFonts w:eastAsiaTheme="minorEastAsia"/>
                <w:color w:val="000000" w:themeColor="text1"/>
              </w:rPr>
            </w:pPr>
            <w:r>
              <w:rPr>
                <w:rFonts w:eastAsiaTheme="minorEastAsia"/>
                <w:color w:val="000000" w:themeColor="text1"/>
                <w:kern w:val="0"/>
              </w:rPr>
              <w:t>2</w:t>
            </w:r>
            <w:r>
              <w:rPr>
                <w:rFonts w:eastAsiaTheme="minorEastAsia"/>
                <w:color w:val="000000" w:themeColor="text1"/>
                <w:kern w:val="0"/>
              </w:rPr>
              <w:t>、股票投资策略</w:t>
            </w:r>
          </w:p>
          <w:p w:rsidR="00D75E2F" w:rsidRDefault="0085095E">
            <w:pPr>
              <w:adjustRightInd w:val="0"/>
              <w:spacing w:before="29" w:line="360" w:lineRule="auto"/>
              <w:ind w:left="17"/>
              <w:rPr>
                <w:rFonts w:eastAsiaTheme="minorEastAsia"/>
                <w:color w:val="000000" w:themeColor="text1"/>
              </w:rPr>
            </w:pPr>
            <w:r>
              <w:rPr>
                <w:rFonts w:eastAsiaTheme="minorEastAsia"/>
                <w:color w:val="000000" w:themeColor="text1"/>
                <w:kern w:val="0"/>
              </w:rPr>
              <w:t>本基金坚持</w:t>
            </w:r>
            <w:r>
              <w:rPr>
                <w:rFonts w:eastAsiaTheme="minorEastAsia"/>
                <w:color w:val="000000" w:themeColor="text1"/>
                <w:kern w:val="0"/>
              </w:rPr>
              <w:t>“</w:t>
            </w:r>
            <w:r>
              <w:rPr>
                <w:rFonts w:eastAsiaTheme="minorEastAsia"/>
                <w:color w:val="000000" w:themeColor="text1"/>
                <w:kern w:val="0"/>
              </w:rPr>
              <w:t>挖掘优势行业高成长个股</w:t>
            </w:r>
            <w:r>
              <w:rPr>
                <w:rFonts w:eastAsiaTheme="minorEastAsia"/>
                <w:color w:val="000000" w:themeColor="text1"/>
                <w:kern w:val="0"/>
              </w:rPr>
              <w:t>”</w:t>
            </w:r>
            <w:r>
              <w:rPr>
                <w:rFonts w:eastAsiaTheme="minorEastAsia"/>
                <w:color w:val="000000" w:themeColor="text1"/>
                <w:kern w:val="0"/>
              </w:rPr>
              <w:t>的选股理</w:t>
            </w:r>
            <w:r>
              <w:rPr>
                <w:rFonts w:eastAsiaTheme="minorEastAsia"/>
                <w:color w:val="000000" w:themeColor="text1"/>
                <w:kern w:val="0"/>
              </w:rPr>
              <w:t>念，依托基金管理人的研究平台，自上而下形成行业配置观点，选择中长期有较大发展空间的优势行业进行重点配置；同时自下而上形成个股配置观点，挖掘并灵活投资于各行业中最具有投资价值和成长性的上市公司；通过行业配置与个股选择，获取超越业绩比较基准的超额收益。</w:t>
            </w:r>
          </w:p>
          <w:p w:rsidR="00D75E2F" w:rsidRDefault="0085095E">
            <w:pPr>
              <w:adjustRightInd w:val="0"/>
              <w:spacing w:before="29" w:line="360" w:lineRule="auto"/>
              <w:ind w:left="17"/>
              <w:rPr>
                <w:rFonts w:eastAsiaTheme="minorEastAsia"/>
                <w:color w:val="000000" w:themeColor="text1"/>
              </w:rPr>
            </w:pPr>
            <w:r>
              <w:rPr>
                <w:rFonts w:eastAsiaTheme="minorEastAsia"/>
                <w:color w:val="000000" w:themeColor="text1"/>
                <w:kern w:val="0"/>
              </w:rPr>
              <w:t>3</w:t>
            </w:r>
            <w:r>
              <w:rPr>
                <w:rFonts w:eastAsiaTheme="minorEastAsia"/>
                <w:color w:val="000000" w:themeColor="text1"/>
                <w:kern w:val="0"/>
              </w:rPr>
              <w:t>、港股投资策略</w:t>
            </w:r>
          </w:p>
          <w:p w:rsidR="00D75E2F" w:rsidRDefault="0085095E">
            <w:pPr>
              <w:adjustRightInd w:val="0"/>
              <w:spacing w:before="29" w:line="360" w:lineRule="auto"/>
              <w:ind w:left="17"/>
              <w:rPr>
                <w:rFonts w:eastAsiaTheme="minorEastAsia"/>
                <w:color w:val="000000" w:themeColor="text1"/>
              </w:rPr>
            </w:pPr>
            <w:r>
              <w:rPr>
                <w:rFonts w:eastAsiaTheme="minorEastAsia"/>
                <w:color w:val="000000" w:themeColor="text1"/>
                <w:kern w:val="0"/>
              </w:rPr>
              <w:t>本基金可通过内地与香港股票市场交易互联互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w:t>
            </w:r>
            <w:r>
              <w:rPr>
                <w:rFonts w:eastAsiaTheme="minorEastAsia"/>
                <w:color w:val="000000" w:themeColor="text1"/>
                <w:kern w:val="0"/>
              </w:rPr>
              <w:t>和区域分布等多维度进行考量，挖掘优质企业。</w:t>
            </w:r>
          </w:p>
          <w:p w:rsidR="00D75E2F" w:rsidRDefault="0085095E">
            <w:pPr>
              <w:adjustRightInd w:val="0"/>
              <w:spacing w:before="29" w:line="360" w:lineRule="auto"/>
              <w:ind w:left="17"/>
              <w:rPr>
                <w:rFonts w:eastAsiaTheme="minorEastAsia"/>
                <w:color w:val="000000" w:themeColor="text1"/>
              </w:rPr>
            </w:pPr>
            <w:r>
              <w:rPr>
                <w:rFonts w:eastAsiaTheme="minorEastAsia"/>
                <w:color w:val="000000" w:themeColor="text1"/>
                <w:kern w:val="0"/>
              </w:rPr>
              <w:t>本基金将自上而下地甄选行业，通过对行业政策、景气度、估值吸引力比较、市场预期等标准确定行业配置方案，并通过自下而上方法分析个股，结合各项定量和定性指标挑选出最具上涨潜力的标的。</w:t>
            </w:r>
          </w:p>
          <w:p w:rsidR="00D75E2F" w:rsidRDefault="0085095E">
            <w:pPr>
              <w:adjustRightInd w:val="0"/>
              <w:spacing w:before="29" w:line="360" w:lineRule="auto"/>
              <w:ind w:left="17"/>
              <w:rPr>
                <w:rFonts w:eastAsiaTheme="minorEastAsia"/>
                <w:color w:val="000000" w:themeColor="text1"/>
              </w:rPr>
            </w:pPr>
            <w:r>
              <w:rPr>
                <w:rFonts w:eastAsiaTheme="minorEastAsia"/>
                <w:color w:val="000000" w:themeColor="text1"/>
                <w:kern w:val="0"/>
              </w:rPr>
              <w:t>4</w:t>
            </w:r>
            <w:r>
              <w:rPr>
                <w:rFonts w:eastAsiaTheme="minorEastAsia"/>
                <w:color w:val="000000" w:themeColor="text1"/>
                <w:kern w:val="0"/>
              </w:rPr>
              <w:t>、债券投资策略</w:t>
            </w:r>
          </w:p>
          <w:p w:rsidR="00D75E2F" w:rsidRDefault="0085095E">
            <w:pPr>
              <w:adjustRightInd w:val="0"/>
              <w:spacing w:before="29" w:line="360" w:lineRule="auto"/>
              <w:ind w:left="17"/>
              <w:rPr>
                <w:rFonts w:eastAsiaTheme="minorEastAsia"/>
                <w:color w:val="000000" w:themeColor="text1"/>
              </w:rPr>
            </w:pPr>
            <w:r>
              <w:rPr>
                <w:rFonts w:eastAsiaTheme="minorEastAsia"/>
                <w:color w:val="000000" w:themeColor="text1"/>
                <w:kern w:val="0"/>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D75E2F" w:rsidRDefault="0085095E">
            <w:pPr>
              <w:adjustRightInd w:val="0"/>
              <w:spacing w:before="29" w:line="360" w:lineRule="auto"/>
              <w:ind w:left="17"/>
              <w:rPr>
                <w:rFonts w:eastAsiaTheme="minorEastAsia"/>
                <w:color w:val="000000" w:themeColor="text1"/>
              </w:rPr>
            </w:pPr>
            <w:r>
              <w:rPr>
                <w:rFonts w:eastAsiaTheme="minorEastAsia"/>
                <w:color w:val="000000" w:themeColor="text1"/>
                <w:kern w:val="0"/>
              </w:rPr>
              <w:t>5</w:t>
            </w:r>
            <w:r>
              <w:rPr>
                <w:rFonts w:eastAsiaTheme="minorEastAsia"/>
                <w:color w:val="000000" w:themeColor="text1"/>
                <w:kern w:val="0"/>
              </w:rPr>
              <w:t>、其他投资策略</w:t>
            </w:r>
          </w:p>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包括股指期货投资策略、资产支持证券投资策略、股票期权投资策略、证券公司短期公司债券投资策略、存托凭证投资策略。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中证</w:t>
            </w:r>
            <w:r w:rsidRPr="00FF6B9A">
              <w:rPr>
                <w:rFonts w:eastAsiaTheme="minorEastAsia"/>
                <w:color w:val="000000" w:themeColor="text1"/>
                <w:kern w:val="0"/>
              </w:rPr>
              <w:t>800</w:t>
            </w:r>
            <w:r w:rsidRPr="00FF6B9A">
              <w:rPr>
                <w:rFonts w:eastAsiaTheme="minorEastAsia"/>
                <w:color w:val="000000" w:themeColor="text1"/>
                <w:kern w:val="0"/>
              </w:rPr>
              <w:t>指数收益率</w:t>
            </w:r>
            <w:r w:rsidRPr="00FF6B9A">
              <w:rPr>
                <w:rFonts w:eastAsiaTheme="minorEastAsia"/>
                <w:color w:val="000000" w:themeColor="text1"/>
                <w:kern w:val="0"/>
              </w:rPr>
              <w:t>*75%+</w:t>
            </w:r>
            <w:r w:rsidRPr="00FF6B9A">
              <w:rPr>
                <w:rFonts w:eastAsiaTheme="minorEastAsia"/>
                <w:color w:val="000000" w:themeColor="text1"/>
                <w:kern w:val="0"/>
              </w:rPr>
              <w:t>中证港股通指数收益率</w:t>
            </w:r>
            <w:r w:rsidRPr="00FF6B9A">
              <w:rPr>
                <w:rFonts w:eastAsiaTheme="minorEastAsia"/>
                <w:color w:val="000000" w:themeColor="text1"/>
                <w:kern w:val="0"/>
              </w:rPr>
              <w:t>*10%+</w:t>
            </w:r>
            <w:r w:rsidRPr="00FF6B9A">
              <w:rPr>
                <w:rFonts w:eastAsiaTheme="minorEastAsia"/>
                <w:color w:val="000000" w:themeColor="text1"/>
                <w:kern w:val="0"/>
              </w:rPr>
              <w:t>上证国债指数收益率</w:t>
            </w:r>
            <w:r w:rsidRPr="00FF6B9A">
              <w:rPr>
                <w:rFonts w:eastAsiaTheme="minorEastAsia"/>
                <w:color w:val="000000" w:themeColor="text1"/>
                <w:kern w:val="0"/>
              </w:rPr>
              <w:t>*15%</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本基金属于混合型基金产品，预期风险和收益水平高于债券型基金和货币市场基金，低于股票型基金。</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上投摩根基金管理有限公司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中国银行股份有限公司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85095E" w:rsidRPr="00FF6B9A" w:rsidTr="0085095E">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(2022</w:t>
            </w:r>
            <w:r w:rsidRPr="00FF6B9A">
              <w:rPr>
                <w:rFonts w:eastAsiaTheme="minorEastAsia"/>
                <w:color w:val="000000" w:themeColor="text1"/>
              </w:rPr>
              <w:t>年</w:t>
            </w:r>
            <w:r w:rsidRPr="00FF6B9A">
              <w:rPr>
                <w:rFonts w:eastAsiaTheme="minorEastAsia"/>
                <w:color w:val="000000" w:themeColor="text1"/>
              </w:rPr>
              <w:t>10</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-2022</w:t>
            </w:r>
            <w:r w:rsidRPr="00FF6B9A">
              <w:rPr>
                <w:rFonts w:eastAsiaTheme="minorEastAsia"/>
                <w:color w:val="000000" w:themeColor="text1"/>
              </w:rPr>
              <w:t>年</w:t>
            </w:r>
            <w:r w:rsidRPr="00FF6B9A">
              <w:rPr>
                <w:rFonts w:eastAsiaTheme="minorEastAsia"/>
                <w:color w:val="000000" w:themeColor="text1"/>
              </w:rPr>
              <w:t>12</w:t>
            </w:r>
            <w:r w:rsidRPr="00FF6B9A">
              <w:rPr>
                <w:rFonts w:eastAsiaTheme="minorEastAsia"/>
                <w:color w:val="000000" w:themeColor="text1"/>
              </w:rPr>
              <w:t>月</w:t>
            </w:r>
            <w:r w:rsidRPr="00FF6B9A">
              <w:rPr>
                <w:rFonts w:eastAsiaTheme="minorEastAsia"/>
                <w:color w:val="000000" w:themeColor="text1"/>
              </w:rPr>
              <w:t>31</w:t>
            </w:r>
            <w:r w:rsidRPr="00FF6B9A">
              <w:rPr>
                <w:rFonts w:eastAsiaTheme="minorEastAsia"/>
                <w:color w:val="000000" w:themeColor="text1"/>
              </w:rPr>
              <w:t>日</w:t>
            </w:r>
            <w:r w:rsidRPr="00FF6B9A">
              <w:rPr>
                <w:rFonts w:eastAsiaTheme="minorEastAsia"/>
                <w:color w:val="000000" w:themeColor="text1"/>
              </w:rPr>
              <w:t>)</w:t>
            </w:r>
          </w:p>
        </w:tc>
      </w:tr>
      <w:tr w:rsidR="0085095E" w:rsidRPr="00FF6B9A" w:rsidTr="0085095E">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-200,203,580.88</w:t>
            </w:r>
          </w:p>
        </w:tc>
      </w:tr>
      <w:tr w:rsidR="0085095E" w:rsidRPr="00FF6B9A" w:rsidTr="0085095E">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-372,208,929.18</w:t>
            </w:r>
          </w:p>
        </w:tc>
      </w:tr>
      <w:tr w:rsidR="0085095E" w:rsidRPr="00FF6B9A" w:rsidTr="0085095E">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-0.0580</w:t>
            </w:r>
          </w:p>
        </w:tc>
      </w:tr>
      <w:tr w:rsidR="0085095E" w:rsidRPr="00FF6B9A" w:rsidTr="0085095E">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4,773,856,352.42</w:t>
            </w:r>
          </w:p>
        </w:tc>
      </w:tr>
      <w:tr w:rsidR="0085095E" w:rsidRPr="00FF6B9A" w:rsidTr="0085095E">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0.7427</w:t>
            </w:r>
          </w:p>
        </w:tc>
      </w:tr>
    </w:tbl>
    <w:p w:rsidR="00D75E2F" w:rsidRDefault="0085095E">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D75E2F">
        <w:tc>
          <w:tcPr>
            <w:tcW w:w="1395" w:type="dxa"/>
            <w:vAlign w:val="center"/>
          </w:tcPr>
          <w:p w:rsidR="00D75E2F" w:rsidRDefault="0085095E">
            <w:pPr>
              <w:jc w:val="left"/>
            </w:pPr>
            <w:r>
              <w:rPr>
                <w:rFonts w:eastAsiaTheme="minorEastAsia"/>
                <w:color w:val="000000" w:themeColor="text1"/>
                <w:kern w:val="0"/>
              </w:rPr>
              <w:t>过去三个月</w:t>
            </w:r>
          </w:p>
        </w:tc>
        <w:tc>
          <w:tcPr>
            <w:tcW w:w="1092" w:type="dxa"/>
            <w:vAlign w:val="center"/>
          </w:tcPr>
          <w:p w:rsidR="00D75E2F" w:rsidRDefault="0085095E">
            <w:pPr>
              <w:jc w:val="center"/>
            </w:pPr>
            <w:r>
              <w:rPr>
                <w:rFonts w:eastAsiaTheme="minorEastAsia"/>
                <w:color w:val="000000" w:themeColor="text1"/>
                <w:kern w:val="0"/>
              </w:rPr>
              <w:t>-7.23%</w:t>
            </w:r>
          </w:p>
        </w:tc>
        <w:tc>
          <w:tcPr>
            <w:tcW w:w="1161" w:type="dxa"/>
            <w:vAlign w:val="center"/>
          </w:tcPr>
          <w:p w:rsidR="00D75E2F" w:rsidRDefault="0085095E">
            <w:pPr>
              <w:jc w:val="center"/>
            </w:pPr>
            <w:r>
              <w:rPr>
                <w:rFonts w:eastAsiaTheme="minorEastAsia"/>
                <w:color w:val="000000" w:themeColor="text1"/>
                <w:kern w:val="0"/>
              </w:rPr>
              <w:t>1.49%</w:t>
            </w:r>
          </w:p>
        </w:tc>
        <w:tc>
          <w:tcPr>
            <w:tcW w:w="1181" w:type="dxa"/>
            <w:vAlign w:val="center"/>
          </w:tcPr>
          <w:p w:rsidR="00D75E2F" w:rsidRDefault="0085095E">
            <w:pPr>
              <w:jc w:val="center"/>
            </w:pPr>
            <w:r>
              <w:rPr>
                <w:rFonts w:eastAsiaTheme="minorEastAsia"/>
                <w:color w:val="000000" w:themeColor="text1"/>
                <w:kern w:val="0"/>
              </w:rPr>
              <w:t>3.05%</w:t>
            </w:r>
          </w:p>
        </w:tc>
        <w:tc>
          <w:tcPr>
            <w:tcW w:w="1188" w:type="dxa"/>
            <w:vAlign w:val="center"/>
          </w:tcPr>
          <w:p w:rsidR="00D75E2F" w:rsidRDefault="0085095E">
            <w:pPr>
              <w:jc w:val="center"/>
            </w:pPr>
            <w:r>
              <w:rPr>
                <w:rFonts w:eastAsiaTheme="minorEastAsia"/>
                <w:color w:val="000000" w:themeColor="text1"/>
                <w:kern w:val="0"/>
              </w:rPr>
              <w:t>1.04%</w:t>
            </w:r>
          </w:p>
        </w:tc>
        <w:tc>
          <w:tcPr>
            <w:tcW w:w="1199" w:type="dxa"/>
            <w:vAlign w:val="center"/>
          </w:tcPr>
          <w:p w:rsidR="00D75E2F" w:rsidRDefault="0085095E">
            <w:pPr>
              <w:jc w:val="center"/>
            </w:pPr>
            <w:r>
              <w:rPr>
                <w:rFonts w:eastAsiaTheme="minorEastAsia"/>
                <w:color w:val="000000" w:themeColor="text1"/>
                <w:kern w:val="0"/>
              </w:rPr>
              <w:t>-10.28%</w:t>
            </w:r>
          </w:p>
        </w:tc>
        <w:tc>
          <w:tcPr>
            <w:tcW w:w="1204" w:type="dxa"/>
            <w:vAlign w:val="center"/>
          </w:tcPr>
          <w:p w:rsidR="00D75E2F" w:rsidRDefault="0085095E">
            <w:pPr>
              <w:jc w:val="center"/>
            </w:pPr>
            <w:r>
              <w:rPr>
                <w:rFonts w:eastAsiaTheme="minorEastAsia"/>
                <w:color w:val="000000" w:themeColor="text1"/>
                <w:kern w:val="0"/>
              </w:rPr>
              <w:t>0.45%</w:t>
            </w:r>
          </w:p>
        </w:tc>
      </w:tr>
      <w:tr w:rsidR="00D75E2F">
        <w:tc>
          <w:tcPr>
            <w:tcW w:w="1395" w:type="dxa"/>
            <w:vAlign w:val="center"/>
          </w:tcPr>
          <w:p w:rsidR="00D75E2F" w:rsidRDefault="0085095E">
            <w:pPr>
              <w:jc w:val="left"/>
            </w:pPr>
            <w:r>
              <w:rPr>
                <w:rFonts w:eastAsiaTheme="minorEastAsia"/>
                <w:color w:val="000000" w:themeColor="text1"/>
                <w:kern w:val="0"/>
              </w:rPr>
              <w:t>过去六个月</w:t>
            </w:r>
          </w:p>
        </w:tc>
        <w:tc>
          <w:tcPr>
            <w:tcW w:w="1092" w:type="dxa"/>
            <w:vAlign w:val="center"/>
          </w:tcPr>
          <w:p w:rsidR="00D75E2F" w:rsidRDefault="0085095E">
            <w:pPr>
              <w:jc w:val="center"/>
            </w:pPr>
            <w:r>
              <w:rPr>
                <w:rFonts w:eastAsiaTheme="minorEastAsia"/>
                <w:color w:val="000000" w:themeColor="text1"/>
                <w:kern w:val="0"/>
              </w:rPr>
              <w:t>-25.95%</w:t>
            </w:r>
          </w:p>
        </w:tc>
        <w:tc>
          <w:tcPr>
            <w:tcW w:w="1161" w:type="dxa"/>
            <w:vAlign w:val="center"/>
          </w:tcPr>
          <w:p w:rsidR="00D75E2F" w:rsidRDefault="0085095E">
            <w:pPr>
              <w:jc w:val="center"/>
            </w:pPr>
            <w:r>
              <w:rPr>
                <w:rFonts w:eastAsiaTheme="minorEastAsia"/>
                <w:color w:val="000000" w:themeColor="text1"/>
                <w:kern w:val="0"/>
              </w:rPr>
              <w:t>1.56%</w:t>
            </w:r>
          </w:p>
        </w:tc>
        <w:tc>
          <w:tcPr>
            <w:tcW w:w="1181" w:type="dxa"/>
            <w:vAlign w:val="center"/>
          </w:tcPr>
          <w:p w:rsidR="00D75E2F" w:rsidRDefault="0085095E">
            <w:pPr>
              <w:jc w:val="center"/>
            </w:pPr>
            <w:r>
              <w:rPr>
                <w:rFonts w:eastAsiaTheme="minorEastAsia"/>
                <w:color w:val="000000" w:themeColor="text1"/>
                <w:kern w:val="0"/>
              </w:rPr>
              <w:t>-9.74%</w:t>
            </w:r>
          </w:p>
        </w:tc>
        <w:tc>
          <w:tcPr>
            <w:tcW w:w="1188" w:type="dxa"/>
            <w:vAlign w:val="center"/>
          </w:tcPr>
          <w:p w:rsidR="00D75E2F" w:rsidRDefault="0085095E">
            <w:pPr>
              <w:jc w:val="center"/>
            </w:pPr>
            <w:r>
              <w:rPr>
                <w:rFonts w:eastAsiaTheme="minorEastAsia"/>
                <w:color w:val="000000" w:themeColor="text1"/>
                <w:kern w:val="0"/>
              </w:rPr>
              <w:t>0.92%</w:t>
            </w:r>
          </w:p>
        </w:tc>
        <w:tc>
          <w:tcPr>
            <w:tcW w:w="1199" w:type="dxa"/>
            <w:vAlign w:val="center"/>
          </w:tcPr>
          <w:p w:rsidR="00D75E2F" w:rsidRDefault="0085095E">
            <w:pPr>
              <w:jc w:val="center"/>
            </w:pPr>
            <w:r>
              <w:rPr>
                <w:rFonts w:eastAsiaTheme="minorEastAsia"/>
                <w:color w:val="000000" w:themeColor="text1"/>
                <w:kern w:val="0"/>
              </w:rPr>
              <w:t>-16.21%</w:t>
            </w:r>
          </w:p>
        </w:tc>
        <w:tc>
          <w:tcPr>
            <w:tcW w:w="1204" w:type="dxa"/>
            <w:vAlign w:val="center"/>
          </w:tcPr>
          <w:p w:rsidR="00D75E2F" w:rsidRDefault="0085095E">
            <w:pPr>
              <w:jc w:val="center"/>
            </w:pPr>
            <w:r>
              <w:rPr>
                <w:rFonts w:eastAsiaTheme="minorEastAsia"/>
                <w:color w:val="000000" w:themeColor="text1"/>
                <w:kern w:val="0"/>
              </w:rPr>
              <w:t>0.64%</w:t>
            </w:r>
          </w:p>
        </w:tc>
      </w:tr>
      <w:tr w:rsidR="00D75E2F">
        <w:tc>
          <w:tcPr>
            <w:tcW w:w="1395" w:type="dxa"/>
            <w:vAlign w:val="center"/>
          </w:tcPr>
          <w:p w:rsidR="00D75E2F" w:rsidRDefault="0085095E">
            <w:pPr>
              <w:jc w:val="left"/>
            </w:pPr>
            <w:r>
              <w:rPr>
                <w:rFonts w:eastAsiaTheme="minorEastAsia"/>
                <w:color w:val="000000" w:themeColor="text1"/>
                <w:kern w:val="0"/>
              </w:rPr>
              <w:t>过去一年</w:t>
            </w:r>
          </w:p>
        </w:tc>
        <w:tc>
          <w:tcPr>
            <w:tcW w:w="1092" w:type="dxa"/>
            <w:vAlign w:val="center"/>
          </w:tcPr>
          <w:p w:rsidR="00D75E2F" w:rsidRDefault="0085095E">
            <w:pPr>
              <w:jc w:val="center"/>
            </w:pPr>
            <w:r>
              <w:rPr>
                <w:rFonts w:eastAsiaTheme="minorEastAsia"/>
                <w:color w:val="000000" w:themeColor="text1"/>
                <w:kern w:val="0"/>
              </w:rPr>
              <w:t>-33.28%</w:t>
            </w:r>
          </w:p>
        </w:tc>
        <w:tc>
          <w:tcPr>
            <w:tcW w:w="1161" w:type="dxa"/>
            <w:vAlign w:val="center"/>
          </w:tcPr>
          <w:p w:rsidR="00D75E2F" w:rsidRDefault="0085095E">
            <w:pPr>
              <w:jc w:val="center"/>
            </w:pPr>
            <w:r>
              <w:rPr>
                <w:rFonts w:eastAsiaTheme="minorEastAsia"/>
                <w:color w:val="000000" w:themeColor="text1"/>
                <w:kern w:val="0"/>
              </w:rPr>
              <w:t>1.85%</w:t>
            </w:r>
          </w:p>
        </w:tc>
        <w:tc>
          <w:tcPr>
            <w:tcW w:w="1181" w:type="dxa"/>
            <w:vAlign w:val="center"/>
          </w:tcPr>
          <w:p w:rsidR="00D75E2F" w:rsidRDefault="0085095E">
            <w:pPr>
              <w:jc w:val="center"/>
            </w:pPr>
            <w:r>
              <w:rPr>
                <w:rFonts w:eastAsiaTheme="minorEastAsia"/>
                <w:color w:val="000000" w:themeColor="text1"/>
                <w:kern w:val="0"/>
              </w:rPr>
              <w:t>-16.48%</w:t>
            </w:r>
          </w:p>
        </w:tc>
        <w:tc>
          <w:tcPr>
            <w:tcW w:w="1188" w:type="dxa"/>
            <w:vAlign w:val="center"/>
          </w:tcPr>
          <w:p w:rsidR="00D75E2F" w:rsidRDefault="0085095E">
            <w:pPr>
              <w:jc w:val="center"/>
            </w:pPr>
            <w:r>
              <w:rPr>
                <w:rFonts w:eastAsiaTheme="minorEastAsia"/>
                <w:color w:val="000000" w:themeColor="text1"/>
                <w:kern w:val="0"/>
              </w:rPr>
              <w:t>1.09%</w:t>
            </w:r>
          </w:p>
        </w:tc>
        <w:tc>
          <w:tcPr>
            <w:tcW w:w="1199" w:type="dxa"/>
            <w:vAlign w:val="center"/>
          </w:tcPr>
          <w:p w:rsidR="00D75E2F" w:rsidRDefault="0085095E">
            <w:pPr>
              <w:jc w:val="center"/>
            </w:pPr>
            <w:r>
              <w:rPr>
                <w:rFonts w:eastAsiaTheme="minorEastAsia"/>
                <w:color w:val="000000" w:themeColor="text1"/>
                <w:kern w:val="0"/>
              </w:rPr>
              <w:t>-16.80%</w:t>
            </w:r>
          </w:p>
        </w:tc>
        <w:tc>
          <w:tcPr>
            <w:tcW w:w="1204" w:type="dxa"/>
            <w:vAlign w:val="center"/>
          </w:tcPr>
          <w:p w:rsidR="00D75E2F" w:rsidRDefault="0085095E">
            <w:pPr>
              <w:jc w:val="center"/>
            </w:pPr>
            <w:r>
              <w:rPr>
                <w:rFonts w:eastAsiaTheme="minorEastAsia"/>
                <w:color w:val="000000" w:themeColor="text1"/>
                <w:kern w:val="0"/>
              </w:rPr>
              <w:t>0.76%</w:t>
            </w:r>
          </w:p>
        </w:tc>
      </w:tr>
      <w:tr w:rsidR="00D75E2F">
        <w:tc>
          <w:tcPr>
            <w:tcW w:w="1395" w:type="dxa"/>
            <w:vAlign w:val="center"/>
          </w:tcPr>
          <w:p w:rsidR="00D75E2F" w:rsidRDefault="0085095E">
            <w:pPr>
              <w:jc w:val="left"/>
            </w:pPr>
            <w:r>
              <w:rPr>
                <w:rFonts w:eastAsiaTheme="minorEastAsia"/>
                <w:color w:val="000000" w:themeColor="text1"/>
                <w:kern w:val="0"/>
              </w:rPr>
              <w:t>过去三年</w:t>
            </w:r>
          </w:p>
        </w:tc>
        <w:tc>
          <w:tcPr>
            <w:tcW w:w="1092" w:type="dxa"/>
            <w:vAlign w:val="center"/>
          </w:tcPr>
          <w:p w:rsidR="00D75E2F" w:rsidRDefault="0085095E">
            <w:pPr>
              <w:jc w:val="center"/>
            </w:pPr>
            <w:r>
              <w:rPr>
                <w:rFonts w:eastAsiaTheme="minorEastAsia"/>
                <w:color w:val="000000" w:themeColor="text1"/>
                <w:kern w:val="0"/>
              </w:rPr>
              <w:t>-</w:t>
            </w:r>
          </w:p>
        </w:tc>
        <w:tc>
          <w:tcPr>
            <w:tcW w:w="1161" w:type="dxa"/>
            <w:vAlign w:val="center"/>
          </w:tcPr>
          <w:p w:rsidR="00D75E2F" w:rsidRDefault="0085095E">
            <w:pPr>
              <w:jc w:val="center"/>
            </w:pPr>
            <w:r>
              <w:rPr>
                <w:rFonts w:eastAsiaTheme="minorEastAsia"/>
                <w:color w:val="000000" w:themeColor="text1"/>
                <w:kern w:val="0"/>
              </w:rPr>
              <w:t>-</w:t>
            </w:r>
          </w:p>
        </w:tc>
        <w:tc>
          <w:tcPr>
            <w:tcW w:w="1181" w:type="dxa"/>
            <w:vAlign w:val="center"/>
          </w:tcPr>
          <w:p w:rsidR="00D75E2F" w:rsidRDefault="0085095E">
            <w:pPr>
              <w:jc w:val="center"/>
            </w:pPr>
            <w:r>
              <w:rPr>
                <w:rFonts w:eastAsiaTheme="minorEastAsia"/>
                <w:color w:val="000000" w:themeColor="text1"/>
                <w:kern w:val="0"/>
              </w:rPr>
              <w:t>-</w:t>
            </w:r>
          </w:p>
        </w:tc>
        <w:tc>
          <w:tcPr>
            <w:tcW w:w="1188" w:type="dxa"/>
            <w:vAlign w:val="center"/>
          </w:tcPr>
          <w:p w:rsidR="00D75E2F" w:rsidRDefault="0085095E">
            <w:pPr>
              <w:jc w:val="center"/>
            </w:pPr>
            <w:r>
              <w:rPr>
                <w:rFonts w:eastAsiaTheme="minorEastAsia"/>
                <w:color w:val="000000" w:themeColor="text1"/>
                <w:kern w:val="0"/>
              </w:rPr>
              <w:t>-</w:t>
            </w:r>
          </w:p>
        </w:tc>
        <w:tc>
          <w:tcPr>
            <w:tcW w:w="1199" w:type="dxa"/>
            <w:vAlign w:val="center"/>
          </w:tcPr>
          <w:p w:rsidR="00D75E2F" w:rsidRDefault="0085095E">
            <w:pPr>
              <w:jc w:val="center"/>
            </w:pPr>
            <w:r>
              <w:rPr>
                <w:rFonts w:eastAsiaTheme="minorEastAsia"/>
                <w:color w:val="000000" w:themeColor="text1"/>
                <w:kern w:val="0"/>
              </w:rPr>
              <w:t>-</w:t>
            </w:r>
          </w:p>
        </w:tc>
        <w:tc>
          <w:tcPr>
            <w:tcW w:w="1204" w:type="dxa"/>
            <w:vAlign w:val="center"/>
          </w:tcPr>
          <w:p w:rsidR="00D75E2F" w:rsidRDefault="0085095E">
            <w:pPr>
              <w:jc w:val="center"/>
            </w:pPr>
            <w:r>
              <w:rPr>
                <w:rFonts w:eastAsiaTheme="minorEastAsia"/>
                <w:color w:val="000000" w:themeColor="text1"/>
                <w:kern w:val="0"/>
              </w:rPr>
              <w:t>-</w:t>
            </w:r>
          </w:p>
        </w:tc>
      </w:tr>
      <w:tr w:rsidR="00D75E2F">
        <w:tc>
          <w:tcPr>
            <w:tcW w:w="1395" w:type="dxa"/>
            <w:vAlign w:val="center"/>
          </w:tcPr>
          <w:p w:rsidR="00D75E2F" w:rsidRDefault="0085095E">
            <w:pPr>
              <w:jc w:val="left"/>
            </w:pPr>
            <w:r>
              <w:rPr>
                <w:rFonts w:eastAsiaTheme="minorEastAsia"/>
                <w:color w:val="000000" w:themeColor="text1"/>
                <w:kern w:val="0"/>
              </w:rPr>
              <w:t>过去五年</w:t>
            </w:r>
          </w:p>
        </w:tc>
        <w:tc>
          <w:tcPr>
            <w:tcW w:w="1092" w:type="dxa"/>
            <w:vAlign w:val="center"/>
          </w:tcPr>
          <w:p w:rsidR="00D75E2F" w:rsidRDefault="0085095E">
            <w:pPr>
              <w:jc w:val="center"/>
            </w:pPr>
            <w:r>
              <w:rPr>
                <w:rFonts w:eastAsiaTheme="minorEastAsia"/>
                <w:color w:val="000000" w:themeColor="text1"/>
                <w:kern w:val="0"/>
              </w:rPr>
              <w:t>-</w:t>
            </w:r>
          </w:p>
        </w:tc>
        <w:tc>
          <w:tcPr>
            <w:tcW w:w="1161" w:type="dxa"/>
            <w:vAlign w:val="center"/>
          </w:tcPr>
          <w:p w:rsidR="00D75E2F" w:rsidRDefault="0085095E">
            <w:pPr>
              <w:jc w:val="center"/>
            </w:pPr>
            <w:r>
              <w:rPr>
                <w:rFonts w:eastAsiaTheme="minorEastAsia"/>
                <w:color w:val="000000" w:themeColor="text1"/>
                <w:kern w:val="0"/>
              </w:rPr>
              <w:t>-</w:t>
            </w:r>
          </w:p>
        </w:tc>
        <w:tc>
          <w:tcPr>
            <w:tcW w:w="1181" w:type="dxa"/>
            <w:vAlign w:val="center"/>
          </w:tcPr>
          <w:p w:rsidR="00D75E2F" w:rsidRDefault="0085095E">
            <w:pPr>
              <w:jc w:val="center"/>
            </w:pPr>
            <w:r>
              <w:rPr>
                <w:rFonts w:eastAsiaTheme="minorEastAsia"/>
                <w:color w:val="000000" w:themeColor="text1"/>
                <w:kern w:val="0"/>
              </w:rPr>
              <w:t>-</w:t>
            </w:r>
          </w:p>
        </w:tc>
        <w:tc>
          <w:tcPr>
            <w:tcW w:w="1188" w:type="dxa"/>
            <w:vAlign w:val="center"/>
          </w:tcPr>
          <w:p w:rsidR="00D75E2F" w:rsidRDefault="0085095E">
            <w:pPr>
              <w:jc w:val="center"/>
            </w:pPr>
            <w:r>
              <w:rPr>
                <w:rFonts w:eastAsiaTheme="minorEastAsia"/>
                <w:color w:val="000000" w:themeColor="text1"/>
                <w:kern w:val="0"/>
              </w:rPr>
              <w:t>-</w:t>
            </w:r>
          </w:p>
        </w:tc>
        <w:tc>
          <w:tcPr>
            <w:tcW w:w="1199" w:type="dxa"/>
            <w:vAlign w:val="center"/>
          </w:tcPr>
          <w:p w:rsidR="00D75E2F" w:rsidRDefault="0085095E">
            <w:pPr>
              <w:jc w:val="center"/>
            </w:pPr>
            <w:r>
              <w:rPr>
                <w:rFonts w:eastAsiaTheme="minorEastAsia"/>
                <w:color w:val="000000" w:themeColor="text1"/>
                <w:kern w:val="0"/>
              </w:rPr>
              <w:t>-</w:t>
            </w:r>
          </w:p>
        </w:tc>
        <w:tc>
          <w:tcPr>
            <w:tcW w:w="1204" w:type="dxa"/>
            <w:vAlign w:val="center"/>
          </w:tcPr>
          <w:p w:rsidR="00D75E2F" w:rsidRDefault="0085095E">
            <w:pPr>
              <w:jc w:val="center"/>
            </w:pPr>
            <w:r>
              <w:rPr>
                <w:rFonts w:eastAsiaTheme="minorEastAsia"/>
                <w:color w:val="000000" w:themeColor="text1"/>
                <w:kern w:val="0"/>
              </w:rPr>
              <w:t>-</w:t>
            </w:r>
          </w:p>
        </w:tc>
      </w:tr>
      <w:tr w:rsidR="00D75E2F">
        <w:tc>
          <w:tcPr>
            <w:tcW w:w="1395" w:type="dxa"/>
            <w:vAlign w:val="center"/>
          </w:tcPr>
          <w:p w:rsidR="00D75E2F" w:rsidRDefault="0085095E">
            <w:pPr>
              <w:jc w:val="left"/>
            </w:pPr>
            <w:r>
              <w:rPr>
                <w:rFonts w:eastAsiaTheme="minorEastAsia"/>
                <w:color w:val="000000" w:themeColor="text1"/>
                <w:kern w:val="0"/>
              </w:rPr>
              <w:t>自基金合同生效起至今</w:t>
            </w:r>
          </w:p>
        </w:tc>
        <w:tc>
          <w:tcPr>
            <w:tcW w:w="1092" w:type="dxa"/>
            <w:vAlign w:val="center"/>
          </w:tcPr>
          <w:p w:rsidR="00D75E2F" w:rsidRDefault="0085095E">
            <w:pPr>
              <w:jc w:val="center"/>
            </w:pPr>
            <w:r>
              <w:rPr>
                <w:rFonts w:eastAsiaTheme="minorEastAsia"/>
                <w:color w:val="000000" w:themeColor="text1"/>
                <w:kern w:val="0"/>
              </w:rPr>
              <w:t>-25.73%</w:t>
            </w:r>
          </w:p>
        </w:tc>
        <w:tc>
          <w:tcPr>
            <w:tcW w:w="1161" w:type="dxa"/>
            <w:vAlign w:val="center"/>
          </w:tcPr>
          <w:p w:rsidR="00D75E2F" w:rsidRDefault="0085095E">
            <w:pPr>
              <w:jc w:val="center"/>
            </w:pPr>
            <w:r>
              <w:rPr>
                <w:rFonts w:eastAsiaTheme="minorEastAsia"/>
                <w:color w:val="000000" w:themeColor="text1"/>
                <w:kern w:val="0"/>
              </w:rPr>
              <w:t>1.80%</w:t>
            </w:r>
          </w:p>
        </w:tc>
        <w:tc>
          <w:tcPr>
            <w:tcW w:w="1181" w:type="dxa"/>
            <w:vAlign w:val="center"/>
          </w:tcPr>
          <w:p w:rsidR="00D75E2F" w:rsidRDefault="0085095E">
            <w:pPr>
              <w:jc w:val="center"/>
            </w:pPr>
            <w:r>
              <w:rPr>
                <w:rFonts w:eastAsiaTheme="minorEastAsia"/>
                <w:color w:val="000000" w:themeColor="text1"/>
                <w:kern w:val="0"/>
              </w:rPr>
              <w:t>-20.54%</w:t>
            </w:r>
          </w:p>
        </w:tc>
        <w:tc>
          <w:tcPr>
            <w:tcW w:w="1188" w:type="dxa"/>
            <w:vAlign w:val="center"/>
          </w:tcPr>
          <w:p w:rsidR="00D75E2F" w:rsidRDefault="0085095E">
            <w:pPr>
              <w:jc w:val="center"/>
            </w:pPr>
            <w:r>
              <w:rPr>
                <w:rFonts w:eastAsiaTheme="minorEastAsia"/>
                <w:color w:val="000000" w:themeColor="text1"/>
                <w:kern w:val="0"/>
              </w:rPr>
              <w:t>1.00%</w:t>
            </w:r>
          </w:p>
        </w:tc>
        <w:tc>
          <w:tcPr>
            <w:tcW w:w="1199" w:type="dxa"/>
            <w:vAlign w:val="center"/>
          </w:tcPr>
          <w:p w:rsidR="00D75E2F" w:rsidRDefault="0085095E">
            <w:pPr>
              <w:jc w:val="center"/>
            </w:pPr>
            <w:r>
              <w:rPr>
                <w:rFonts w:eastAsiaTheme="minorEastAsia"/>
                <w:color w:val="000000" w:themeColor="text1"/>
                <w:kern w:val="0"/>
              </w:rPr>
              <w:t>-5.19%</w:t>
            </w:r>
          </w:p>
        </w:tc>
        <w:tc>
          <w:tcPr>
            <w:tcW w:w="1204" w:type="dxa"/>
            <w:vAlign w:val="center"/>
          </w:tcPr>
          <w:p w:rsidR="00D75E2F" w:rsidRDefault="0085095E">
            <w:pPr>
              <w:jc w:val="center"/>
            </w:pPr>
            <w:r>
              <w:rPr>
                <w:rFonts w:eastAsiaTheme="minorEastAsia"/>
                <w:color w:val="000000" w:themeColor="text1"/>
                <w:kern w:val="0"/>
              </w:rPr>
              <w:t>0.80%</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上投摩根远见两年持有期混合型证券投资基金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(2021</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1</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11</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2022</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12</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31</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D75E2F" w:rsidRDefault="0085095E">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w:t>
      </w:r>
      <w:r>
        <w:rPr>
          <w:rFonts w:eastAsiaTheme="minorEastAsia"/>
          <w:color w:val="000000" w:themeColor="text1"/>
        </w:rPr>
        <w:t>11</w:t>
      </w:r>
      <w:r>
        <w:rPr>
          <w:rFonts w:eastAsiaTheme="minorEastAsia"/>
          <w:color w:val="000000" w:themeColor="text1"/>
        </w:rPr>
        <w:t>日，图示的时间段为合同生效日至本报告期末。</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 xml:space="preserve"> 6 </w:t>
      </w:r>
      <w:r w:rsidRPr="00FF6B9A">
        <w:rPr>
          <w:rFonts w:eastAsiaTheme="minorEastAsia"/>
          <w:color w:val="000000" w:themeColor="text1"/>
        </w:rPr>
        <w:t>个月，建仓期结束时资产配置比例符合本基金基金合同规定。</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D75E2F">
        <w:tc>
          <w:tcPr>
            <w:tcW w:w="851" w:type="dxa"/>
            <w:vAlign w:val="center"/>
          </w:tcPr>
          <w:p w:rsidR="00D75E2F" w:rsidRDefault="0085095E">
            <w:pPr>
              <w:jc w:val="center"/>
            </w:pPr>
            <w:r>
              <w:rPr>
                <w:rFonts w:eastAsiaTheme="minorEastAsia"/>
                <w:color w:val="000000" w:themeColor="text1"/>
              </w:rPr>
              <w:t>杜猛</w:t>
            </w:r>
          </w:p>
        </w:tc>
        <w:tc>
          <w:tcPr>
            <w:tcW w:w="850" w:type="dxa"/>
            <w:vAlign w:val="center"/>
          </w:tcPr>
          <w:p w:rsidR="00D75E2F" w:rsidRDefault="0085095E">
            <w:pPr>
              <w:jc w:val="center"/>
            </w:pPr>
            <w:r>
              <w:rPr>
                <w:rFonts w:eastAsiaTheme="minorEastAsia"/>
                <w:color w:val="000000" w:themeColor="text1"/>
              </w:rPr>
              <w:t>本基金基金经理、副总经理兼投资总监</w:t>
            </w:r>
          </w:p>
        </w:tc>
        <w:tc>
          <w:tcPr>
            <w:tcW w:w="1560" w:type="dxa"/>
            <w:vAlign w:val="center"/>
          </w:tcPr>
          <w:p w:rsidR="00D75E2F" w:rsidRDefault="0085095E">
            <w:pPr>
              <w:jc w:val="center"/>
            </w:pPr>
            <w:r>
              <w:rPr>
                <w:rFonts w:eastAsiaTheme="minorEastAsia"/>
                <w:color w:val="000000" w:themeColor="text1"/>
              </w:rPr>
              <w:t>2021-01-11</w:t>
            </w:r>
          </w:p>
        </w:tc>
        <w:tc>
          <w:tcPr>
            <w:tcW w:w="1559" w:type="dxa"/>
            <w:vAlign w:val="center"/>
          </w:tcPr>
          <w:p w:rsidR="00D75E2F" w:rsidRDefault="0085095E">
            <w:pPr>
              <w:jc w:val="center"/>
            </w:pPr>
            <w:r>
              <w:rPr>
                <w:rFonts w:eastAsiaTheme="minorEastAsia"/>
                <w:color w:val="000000" w:themeColor="text1"/>
              </w:rPr>
              <w:t>-</w:t>
            </w:r>
          </w:p>
        </w:tc>
        <w:tc>
          <w:tcPr>
            <w:tcW w:w="1417" w:type="dxa"/>
            <w:vAlign w:val="center"/>
          </w:tcPr>
          <w:p w:rsidR="00D75E2F" w:rsidRDefault="0085095E">
            <w:pPr>
              <w:jc w:val="center"/>
            </w:pPr>
            <w:r>
              <w:rPr>
                <w:rFonts w:eastAsiaTheme="minorEastAsia"/>
                <w:color w:val="000000" w:themeColor="text1"/>
              </w:rPr>
              <w:t>21</w:t>
            </w:r>
            <w:r>
              <w:rPr>
                <w:rFonts w:eastAsiaTheme="minorEastAsia"/>
                <w:color w:val="000000" w:themeColor="text1"/>
              </w:rPr>
              <w:t>年</w:t>
            </w:r>
          </w:p>
        </w:tc>
        <w:tc>
          <w:tcPr>
            <w:tcW w:w="2694" w:type="dxa"/>
            <w:vAlign w:val="center"/>
          </w:tcPr>
          <w:p w:rsidR="00D75E2F" w:rsidRDefault="0085095E">
            <w:r>
              <w:rPr>
                <w:rFonts w:eastAsiaTheme="minorEastAsia"/>
                <w:color w:val="000000" w:themeColor="text1"/>
              </w:rPr>
              <w:t>杜猛先生，南京大学经济学硕士，先后任职于天同证券、中原证券、国信证券和中银国际证券，任研究员。</w:t>
            </w:r>
            <w:r>
              <w:rPr>
                <w:rFonts w:eastAsiaTheme="minorEastAsia"/>
                <w:color w:val="000000" w:themeColor="text1"/>
              </w:rPr>
              <w:t>2007</w:t>
            </w:r>
            <w:r>
              <w:rPr>
                <w:rFonts w:eastAsiaTheme="minorEastAsia"/>
                <w:color w:val="000000" w:themeColor="text1"/>
              </w:rPr>
              <w:t>年</w:t>
            </w:r>
            <w:r>
              <w:rPr>
                <w:rFonts w:eastAsiaTheme="minorEastAsia"/>
                <w:color w:val="000000" w:themeColor="text1"/>
              </w:rPr>
              <w:t>10</w:t>
            </w:r>
            <w:r>
              <w:rPr>
                <w:rFonts w:eastAsiaTheme="minorEastAsia"/>
                <w:color w:val="000000" w:themeColor="text1"/>
              </w:rPr>
              <w:t>月起加入上投摩根基金管理有限公司，先后担任行业专家、基金经理助理、基金经理、总经理助理</w:t>
            </w:r>
            <w:r>
              <w:rPr>
                <w:rFonts w:eastAsiaTheme="minorEastAsia"/>
                <w:color w:val="000000" w:themeColor="text1"/>
              </w:rPr>
              <w:t>/</w:t>
            </w:r>
            <w:r>
              <w:rPr>
                <w:rFonts w:eastAsiaTheme="minorEastAsia"/>
                <w:color w:val="000000" w:themeColor="text1"/>
              </w:rPr>
              <w:t>国内权益投资一部总监兼资深基金经理，现担任副总经理兼投资总监。自</w:t>
            </w:r>
            <w:r>
              <w:rPr>
                <w:rFonts w:eastAsiaTheme="minorEastAsia"/>
                <w:color w:val="000000" w:themeColor="text1"/>
              </w:rPr>
              <w:t>2011</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月起担任上投摩根新兴动力混合型证券投资基金基金经理，</w:t>
            </w:r>
            <w:r>
              <w:rPr>
                <w:rFonts w:eastAsiaTheme="minorEastAsia"/>
                <w:color w:val="000000" w:themeColor="text1"/>
              </w:rPr>
              <w:t>2013</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月至</w:t>
            </w:r>
            <w:r>
              <w:rPr>
                <w:rFonts w:eastAsiaTheme="minorEastAsia"/>
                <w:color w:val="000000" w:themeColor="text1"/>
              </w:rPr>
              <w:t>2015</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月同时担任上投摩根智选</w:t>
            </w:r>
            <w:r>
              <w:rPr>
                <w:rFonts w:eastAsiaTheme="minorEastAsia"/>
                <w:color w:val="000000" w:themeColor="text1"/>
              </w:rPr>
              <w:t>30</w:t>
            </w:r>
            <w:r>
              <w:rPr>
                <w:rFonts w:eastAsiaTheme="minorEastAsia"/>
                <w:color w:val="000000" w:themeColor="text1"/>
              </w:rPr>
              <w:t>混合型证券投资基金基金经理，</w:t>
            </w:r>
            <w:r>
              <w:rPr>
                <w:rFonts w:eastAsiaTheme="minorEastAsia"/>
                <w:color w:val="000000" w:themeColor="text1"/>
              </w:rPr>
              <w:t>2013</w:t>
            </w:r>
            <w:r>
              <w:rPr>
                <w:rFonts w:eastAsiaTheme="minorEastAsia"/>
                <w:color w:val="000000" w:themeColor="text1"/>
              </w:rPr>
              <w:t>年</w:t>
            </w:r>
            <w:r>
              <w:rPr>
                <w:rFonts w:eastAsiaTheme="minorEastAsia"/>
                <w:color w:val="000000" w:themeColor="text1"/>
              </w:rPr>
              <w:t>5</w:t>
            </w:r>
            <w:r>
              <w:rPr>
                <w:rFonts w:eastAsiaTheme="minorEastAsia"/>
                <w:color w:val="000000" w:themeColor="text1"/>
              </w:rPr>
              <w:t>月至</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12</w:t>
            </w:r>
            <w:r>
              <w:rPr>
                <w:rFonts w:eastAsiaTheme="minorEastAsia"/>
                <w:color w:val="000000" w:themeColor="text1"/>
              </w:rPr>
              <w:t>月同时担任上投摩根成长动力混合型证券投资基金基金经理，</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12</w:t>
            </w:r>
            <w:r>
              <w:rPr>
                <w:rFonts w:eastAsiaTheme="minorEastAsia"/>
                <w:color w:val="000000" w:themeColor="text1"/>
              </w:rPr>
              <w:t>月至</w:t>
            </w:r>
            <w:r>
              <w:rPr>
                <w:rFonts w:eastAsiaTheme="minorEastAsia"/>
                <w:color w:val="000000" w:themeColor="text1"/>
              </w:rPr>
              <w:t>20</w:t>
            </w:r>
            <w:r>
              <w:rPr>
                <w:rFonts w:eastAsiaTheme="minorEastAsia"/>
                <w:color w:val="000000" w:themeColor="text1"/>
              </w:rPr>
              <w:t>19</w:t>
            </w:r>
            <w:r>
              <w:rPr>
                <w:rFonts w:eastAsiaTheme="minorEastAsia"/>
                <w:color w:val="000000" w:themeColor="text1"/>
              </w:rPr>
              <w:t>年</w:t>
            </w:r>
            <w:r>
              <w:rPr>
                <w:rFonts w:eastAsiaTheme="minorEastAsia"/>
                <w:color w:val="000000" w:themeColor="text1"/>
              </w:rPr>
              <w:t>4</w:t>
            </w:r>
            <w:r>
              <w:rPr>
                <w:rFonts w:eastAsiaTheme="minorEastAsia"/>
                <w:color w:val="000000" w:themeColor="text1"/>
              </w:rPr>
              <w:t>月同时担任上投摩根内需动力混合型证券投资基金基金经理，自</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月起同时担任上投摩根中国优势证券投资基金基金经理，自</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月起同时担任上投摩根远见两年持有期混合型证券投资基金基金经理，自</w:t>
            </w:r>
            <w:r>
              <w:rPr>
                <w:rFonts w:eastAsiaTheme="minorEastAsia"/>
                <w:color w:val="000000" w:themeColor="text1"/>
              </w:rPr>
              <w:t>2022</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月起同时担任上投摩根沃享远见一年持有期混合型证券投资基金基金经理。</w:t>
            </w:r>
          </w:p>
        </w:tc>
      </w:tr>
    </w:tbl>
    <w:p w:rsidR="00D75E2F" w:rsidRDefault="0085095E">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w:t>
      </w:r>
      <w:r>
        <w:rPr>
          <w:rFonts w:eastAsiaTheme="minorEastAsia"/>
          <w:color w:val="000000" w:themeColor="text1"/>
        </w:rPr>
        <w:t>1.</w:t>
      </w:r>
      <w:r>
        <w:rPr>
          <w:rFonts w:eastAsiaTheme="minorEastAsia"/>
          <w:color w:val="000000" w:themeColor="text1"/>
        </w:rPr>
        <w:t>任职日期和离任日期均指根据公司决定确定的聘任日期和解聘日期。</w:t>
      </w:r>
    </w:p>
    <w:p w:rsidR="00D75E2F" w:rsidRDefault="0085095E">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2.</w:t>
      </w:r>
      <w:r>
        <w:rPr>
          <w:rFonts w:eastAsiaTheme="minorEastAsia"/>
          <w:color w:val="000000" w:themeColor="text1"/>
        </w:rPr>
        <w:t>杜猛先生为本基金首任基金经理，其任职日期指本基金基金合同生效之日。</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3.</w:t>
      </w:r>
      <w:r w:rsidRPr="00FF6B9A">
        <w:rPr>
          <w:rFonts w:eastAsiaTheme="minorEastAsia"/>
          <w:color w:val="000000" w:themeColor="text1"/>
        </w:rPr>
        <w:t>证券从业的含义遵从行业协会《证券业从业人员资格管理办法》的相关规定。</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远见两年持有期混合型证券投资基金基金合同》的规定。基金经理对个股和投资组合的比例遵循了投资决策委员会的授权限制，基金投资比例符合基金合同和法律法规的要求。</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D75E2F" w:rsidRDefault="0085095E">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D75E2F" w:rsidRDefault="0085095E">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w:t>
      </w:r>
      <w:r>
        <w:rPr>
          <w:rFonts w:eastAsiaTheme="minorEastAsia"/>
          <w:color w:val="000000" w:themeColor="text1"/>
        </w:rPr>
        <w:t>，本公司通过对手库控制和交易室询价机制，严格防范对手风险并检查价格公允性；对于申购投资行为，本公司遵循价格优先、比例分配的原则，根据事前独立申报的价格和数量对交易结果进行公平分配。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D75E2F" w:rsidRDefault="0085095E">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D75E2F" w:rsidRDefault="0085095E">
      <w:pPr>
        <w:spacing w:line="360" w:lineRule="auto"/>
        <w:ind w:firstLineChars="200" w:firstLine="420"/>
        <w:rPr>
          <w:rFonts w:eastAsiaTheme="minorEastAsia"/>
          <w:color w:val="000000" w:themeColor="text1"/>
        </w:rPr>
      </w:pPr>
      <w:r>
        <w:rPr>
          <w:rFonts w:eastAsiaTheme="minorEastAsia"/>
          <w:color w:val="000000" w:themeColor="text1"/>
        </w:rPr>
        <w:t>2022</w:t>
      </w:r>
      <w:r>
        <w:rPr>
          <w:rFonts w:eastAsiaTheme="minorEastAsia"/>
          <w:color w:val="000000" w:themeColor="text1"/>
        </w:rPr>
        <w:t>年四季度由于多种原因，沪深</w:t>
      </w:r>
      <w:r>
        <w:rPr>
          <w:rFonts w:eastAsiaTheme="minorEastAsia"/>
          <w:color w:val="000000" w:themeColor="text1"/>
        </w:rPr>
        <w:t>300</w:t>
      </w:r>
      <w:r>
        <w:rPr>
          <w:rFonts w:eastAsiaTheme="minorEastAsia"/>
          <w:color w:val="000000" w:themeColor="text1"/>
        </w:rPr>
        <w:t>等主要指数创出了年内新低，市场信心也一度降低到冰点。随着国内新冠疫情继续蔓延，在四季度不少城市出现了集中爆发，这对经济和社会产生了较大的影响。到了季度末，国家的防疫政策开始逐步优化，虽然短期会造成冲击，但是经济复苏的前提已经出现，受此影响市场开始筑底反弹。本基金基于长期成长的选股逻辑，重点投资了景气产业中的优质公司。</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展望</w:t>
      </w:r>
      <w:r w:rsidRPr="00FF6B9A">
        <w:rPr>
          <w:rFonts w:eastAsiaTheme="minorEastAsia"/>
          <w:color w:val="000000" w:themeColor="text1"/>
        </w:rPr>
        <w:t>2023</w:t>
      </w:r>
      <w:r w:rsidRPr="00FF6B9A">
        <w:rPr>
          <w:rFonts w:eastAsiaTheme="minorEastAsia"/>
          <w:color w:val="000000" w:themeColor="text1"/>
        </w:rPr>
        <w:t>年，新冠疫情对经济和社会的影响终将淡去，</w:t>
      </w:r>
      <w:r w:rsidRPr="00FF6B9A">
        <w:rPr>
          <w:rFonts w:eastAsiaTheme="minorEastAsia"/>
          <w:color w:val="000000" w:themeColor="text1"/>
        </w:rPr>
        <w:t>2023</w:t>
      </w:r>
      <w:r w:rsidRPr="00FF6B9A">
        <w:rPr>
          <w:rFonts w:eastAsiaTheme="minorEastAsia"/>
          <w:color w:val="000000" w:themeColor="text1"/>
        </w:rPr>
        <w:t>年将是经济和社会复苏的一年，虽然还存在着不确定性和波折性，但是毕竟方向已经明确。对于</w:t>
      </w:r>
      <w:r w:rsidRPr="00FF6B9A">
        <w:rPr>
          <w:rFonts w:eastAsiaTheme="minorEastAsia"/>
          <w:color w:val="000000" w:themeColor="text1"/>
        </w:rPr>
        <w:t>2023</w:t>
      </w:r>
      <w:r w:rsidRPr="00FF6B9A">
        <w:rPr>
          <w:rFonts w:eastAsiaTheme="minorEastAsia"/>
          <w:color w:val="000000" w:themeColor="text1"/>
        </w:rPr>
        <w:t>年我们抱有相对乐观的预期，全力拼经济应该是全社会的主要目标。对于权益市场，经过两年的回调股票估值已经到了相当有吸引力的位置，当下是非常好的长期布局时点，信心在目前的情况下是非常重要的。我们会努力在市场中挑选估值和成长性匹配的优质品种，寻找优势产业中长期成长的公司，力争为基金持有人创造持续稳定收益。</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本报告期上投摩根远见两年持有期混合份额净值增长率为</w:t>
      </w:r>
      <w:r w:rsidRPr="00FF6B9A">
        <w:rPr>
          <w:rFonts w:eastAsiaTheme="minorEastAsia"/>
          <w:color w:val="000000" w:themeColor="text1"/>
        </w:rPr>
        <w:t>:-7.23%</w:t>
      </w:r>
      <w:r w:rsidRPr="00FF6B9A">
        <w:rPr>
          <w:rFonts w:eastAsiaTheme="minorEastAsia"/>
          <w:color w:val="000000" w:themeColor="text1"/>
        </w:rPr>
        <w:t>，同期业绩比较基准收益率为</w:t>
      </w:r>
      <w:r w:rsidRPr="00FF6B9A">
        <w:rPr>
          <w:rFonts w:eastAsiaTheme="minorEastAsia"/>
          <w:color w:val="000000" w:themeColor="text1"/>
        </w:rPr>
        <w:t>:3.05%</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4,354,572,067.68</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91.05</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4,354,572,067.68</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91.05</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19,964,974.68</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0.42</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19,964,974.68</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0.42</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407,392,985.61</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8.52</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880,585.67</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0.02</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4,782,810,613.64</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196,492,304.71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4.12</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99,919,660.80</w:t>
            </w:r>
          </w:p>
          <w:p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2.09</w:t>
            </w:r>
          </w:p>
          <w:p w:rsidR="00D06738" w:rsidRPr="00FF6B9A" w:rsidRDefault="00D06738">
            <w:pPr>
              <w:jc w:val="right"/>
              <w:rPr>
                <w:rFonts w:eastAsiaTheme="minorEastAsia"/>
                <w:color w:val="000000" w:themeColor="text1"/>
                <w:kern w:val="0"/>
              </w:rPr>
            </w:pP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3,643,719,872.59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76.33</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88,216,972.73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1.85</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23,307,104.00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0.49</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187,550,079.34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3.93</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7,388,394.08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0.15</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8,529,944.55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0.18</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22,342,058.64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0.47</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1,692,123.45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0.04</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4,279,158,514.89</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89.64</w:t>
            </w:r>
          </w:p>
        </w:tc>
      </w:tr>
    </w:tbl>
    <w:p w:rsidR="00D06738" w:rsidRPr="00FF6B9A" w:rsidRDefault="00454D20">
      <w:pPr>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 5.2.2</w:t>
      </w:r>
      <w:r w:rsidRPr="00FF6B9A">
        <w:rPr>
          <w:rFonts w:eastAsiaTheme="minorEastAsia"/>
          <w:b/>
          <w:bCs/>
          <w:color w:val="000000" w:themeColor="text1"/>
          <w:kern w:val="0"/>
          <w:sz w:val="24"/>
          <w:szCs w:val="24"/>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D06738" w:rsidRPr="00FF6B9A">
        <w:trPr>
          <w:jc w:val="center"/>
        </w:trPr>
        <w:tc>
          <w:tcPr>
            <w:tcW w:w="23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行业类别</w:t>
            </w:r>
          </w:p>
        </w:tc>
        <w:tc>
          <w:tcPr>
            <w:tcW w:w="311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公允价值（人民币）</w:t>
            </w:r>
          </w:p>
        </w:tc>
        <w:tc>
          <w:tcPr>
            <w:tcW w:w="3118"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p>
        </w:tc>
      </w:tr>
      <w:tr w:rsidR="00D75E2F">
        <w:trPr>
          <w:jc w:val="center"/>
        </w:trPr>
        <w:tc>
          <w:tcPr>
            <w:tcW w:w="2397" w:type="dxa"/>
            <w:vAlign w:val="center"/>
          </w:tcPr>
          <w:p w:rsidR="00D75E2F" w:rsidRDefault="0085095E">
            <w:pPr>
              <w:jc w:val="center"/>
            </w:pPr>
            <w:r>
              <w:rPr>
                <w:rFonts w:eastAsiaTheme="minorEastAsia"/>
                <w:color w:val="000000" w:themeColor="text1"/>
                <w:kern w:val="0"/>
              </w:rPr>
              <w:t>A</w:t>
            </w:r>
            <w:r>
              <w:rPr>
                <w:rFonts w:eastAsiaTheme="minorEastAsia"/>
                <w:color w:val="000000" w:themeColor="text1"/>
                <w:kern w:val="0"/>
              </w:rPr>
              <w:t>基础材料</w:t>
            </w:r>
          </w:p>
        </w:tc>
        <w:tc>
          <w:tcPr>
            <w:tcW w:w="3119" w:type="dxa"/>
            <w:vAlign w:val="center"/>
          </w:tcPr>
          <w:p w:rsidR="00D75E2F" w:rsidRDefault="0085095E">
            <w:pPr>
              <w:jc w:val="center"/>
            </w:pPr>
            <w:r>
              <w:rPr>
                <w:rFonts w:eastAsiaTheme="minorEastAsia"/>
                <w:color w:val="000000" w:themeColor="text1"/>
                <w:kern w:val="0"/>
              </w:rPr>
              <w:t>-</w:t>
            </w:r>
          </w:p>
        </w:tc>
        <w:tc>
          <w:tcPr>
            <w:tcW w:w="3118" w:type="dxa"/>
            <w:vAlign w:val="center"/>
          </w:tcPr>
          <w:p w:rsidR="00D75E2F" w:rsidRDefault="0085095E">
            <w:pPr>
              <w:jc w:val="center"/>
            </w:pPr>
            <w:r>
              <w:rPr>
                <w:rFonts w:eastAsiaTheme="minorEastAsia"/>
                <w:color w:val="000000" w:themeColor="text1"/>
                <w:kern w:val="0"/>
              </w:rPr>
              <w:t>-</w:t>
            </w:r>
          </w:p>
        </w:tc>
      </w:tr>
      <w:tr w:rsidR="00D75E2F">
        <w:trPr>
          <w:jc w:val="center"/>
        </w:trPr>
        <w:tc>
          <w:tcPr>
            <w:tcW w:w="2397" w:type="dxa"/>
            <w:vAlign w:val="center"/>
          </w:tcPr>
          <w:p w:rsidR="00D75E2F" w:rsidRDefault="0085095E">
            <w:pPr>
              <w:jc w:val="center"/>
            </w:pPr>
            <w:r>
              <w:rPr>
                <w:rFonts w:eastAsiaTheme="minorEastAsia"/>
                <w:color w:val="000000" w:themeColor="text1"/>
                <w:kern w:val="0"/>
              </w:rPr>
              <w:t>B</w:t>
            </w:r>
            <w:r>
              <w:rPr>
                <w:rFonts w:eastAsiaTheme="minorEastAsia"/>
                <w:color w:val="000000" w:themeColor="text1"/>
                <w:kern w:val="0"/>
              </w:rPr>
              <w:t>消费者非必需品</w:t>
            </w:r>
          </w:p>
        </w:tc>
        <w:tc>
          <w:tcPr>
            <w:tcW w:w="3119" w:type="dxa"/>
            <w:vAlign w:val="center"/>
          </w:tcPr>
          <w:p w:rsidR="00D75E2F" w:rsidRDefault="0085095E">
            <w:pPr>
              <w:jc w:val="center"/>
            </w:pPr>
            <w:r>
              <w:rPr>
                <w:rFonts w:eastAsiaTheme="minorEastAsia"/>
                <w:color w:val="000000" w:themeColor="text1"/>
                <w:kern w:val="0"/>
              </w:rPr>
              <w:t>266,919.26</w:t>
            </w:r>
          </w:p>
        </w:tc>
        <w:tc>
          <w:tcPr>
            <w:tcW w:w="3118" w:type="dxa"/>
            <w:vAlign w:val="center"/>
          </w:tcPr>
          <w:p w:rsidR="00D75E2F" w:rsidRDefault="0085095E">
            <w:pPr>
              <w:jc w:val="center"/>
            </w:pPr>
            <w:r>
              <w:rPr>
                <w:rFonts w:eastAsiaTheme="minorEastAsia"/>
                <w:color w:val="000000" w:themeColor="text1"/>
                <w:kern w:val="0"/>
              </w:rPr>
              <w:t>0.01</w:t>
            </w:r>
          </w:p>
        </w:tc>
      </w:tr>
      <w:tr w:rsidR="00D75E2F">
        <w:trPr>
          <w:jc w:val="center"/>
        </w:trPr>
        <w:tc>
          <w:tcPr>
            <w:tcW w:w="2397" w:type="dxa"/>
            <w:vAlign w:val="center"/>
          </w:tcPr>
          <w:p w:rsidR="00D75E2F" w:rsidRDefault="0085095E">
            <w:pPr>
              <w:jc w:val="center"/>
            </w:pPr>
            <w:r>
              <w:rPr>
                <w:rFonts w:eastAsiaTheme="minorEastAsia"/>
                <w:color w:val="000000" w:themeColor="text1"/>
                <w:kern w:val="0"/>
              </w:rPr>
              <w:t>C</w:t>
            </w:r>
            <w:r>
              <w:rPr>
                <w:rFonts w:eastAsiaTheme="minorEastAsia"/>
                <w:color w:val="000000" w:themeColor="text1"/>
                <w:kern w:val="0"/>
              </w:rPr>
              <w:t>消费者常用品</w:t>
            </w:r>
          </w:p>
        </w:tc>
        <w:tc>
          <w:tcPr>
            <w:tcW w:w="3119" w:type="dxa"/>
            <w:vAlign w:val="center"/>
          </w:tcPr>
          <w:p w:rsidR="00D75E2F" w:rsidRDefault="0085095E">
            <w:pPr>
              <w:jc w:val="center"/>
            </w:pPr>
            <w:r>
              <w:rPr>
                <w:rFonts w:eastAsiaTheme="minorEastAsia"/>
                <w:color w:val="000000" w:themeColor="text1"/>
                <w:kern w:val="0"/>
              </w:rPr>
              <w:t>57,206,868.80</w:t>
            </w:r>
          </w:p>
        </w:tc>
        <w:tc>
          <w:tcPr>
            <w:tcW w:w="3118" w:type="dxa"/>
            <w:vAlign w:val="center"/>
          </w:tcPr>
          <w:p w:rsidR="00D75E2F" w:rsidRDefault="0085095E">
            <w:pPr>
              <w:jc w:val="center"/>
            </w:pPr>
            <w:r>
              <w:rPr>
                <w:rFonts w:eastAsiaTheme="minorEastAsia"/>
                <w:color w:val="000000" w:themeColor="text1"/>
                <w:kern w:val="0"/>
              </w:rPr>
              <w:t>1.20</w:t>
            </w:r>
          </w:p>
        </w:tc>
      </w:tr>
      <w:tr w:rsidR="00D75E2F">
        <w:trPr>
          <w:jc w:val="center"/>
        </w:trPr>
        <w:tc>
          <w:tcPr>
            <w:tcW w:w="2397" w:type="dxa"/>
            <w:vAlign w:val="center"/>
          </w:tcPr>
          <w:p w:rsidR="00D75E2F" w:rsidRDefault="0085095E">
            <w:pPr>
              <w:jc w:val="center"/>
            </w:pPr>
            <w:r>
              <w:rPr>
                <w:rFonts w:eastAsiaTheme="minorEastAsia"/>
                <w:color w:val="000000" w:themeColor="text1"/>
                <w:kern w:val="0"/>
              </w:rPr>
              <w:t>D</w:t>
            </w:r>
            <w:r>
              <w:rPr>
                <w:rFonts w:eastAsiaTheme="minorEastAsia"/>
                <w:color w:val="000000" w:themeColor="text1"/>
                <w:kern w:val="0"/>
              </w:rPr>
              <w:t>能源</w:t>
            </w:r>
          </w:p>
        </w:tc>
        <w:tc>
          <w:tcPr>
            <w:tcW w:w="3119" w:type="dxa"/>
            <w:vAlign w:val="center"/>
          </w:tcPr>
          <w:p w:rsidR="00D75E2F" w:rsidRDefault="0085095E">
            <w:pPr>
              <w:jc w:val="center"/>
            </w:pPr>
            <w:r>
              <w:rPr>
                <w:rFonts w:eastAsiaTheme="minorEastAsia"/>
                <w:color w:val="000000" w:themeColor="text1"/>
                <w:kern w:val="0"/>
              </w:rPr>
              <w:t>-</w:t>
            </w:r>
          </w:p>
        </w:tc>
        <w:tc>
          <w:tcPr>
            <w:tcW w:w="3118" w:type="dxa"/>
            <w:vAlign w:val="center"/>
          </w:tcPr>
          <w:p w:rsidR="00D75E2F" w:rsidRDefault="0085095E">
            <w:pPr>
              <w:jc w:val="center"/>
            </w:pPr>
            <w:r>
              <w:rPr>
                <w:rFonts w:eastAsiaTheme="minorEastAsia"/>
                <w:color w:val="000000" w:themeColor="text1"/>
                <w:kern w:val="0"/>
              </w:rPr>
              <w:t>-</w:t>
            </w:r>
          </w:p>
        </w:tc>
      </w:tr>
      <w:tr w:rsidR="00D75E2F">
        <w:trPr>
          <w:jc w:val="center"/>
        </w:trPr>
        <w:tc>
          <w:tcPr>
            <w:tcW w:w="2397" w:type="dxa"/>
            <w:vAlign w:val="center"/>
          </w:tcPr>
          <w:p w:rsidR="00D75E2F" w:rsidRDefault="0085095E">
            <w:pPr>
              <w:jc w:val="center"/>
            </w:pPr>
            <w:r>
              <w:rPr>
                <w:rFonts w:eastAsiaTheme="minorEastAsia"/>
                <w:color w:val="000000" w:themeColor="text1"/>
                <w:kern w:val="0"/>
              </w:rPr>
              <w:t>E</w:t>
            </w:r>
            <w:r>
              <w:rPr>
                <w:rFonts w:eastAsiaTheme="minorEastAsia"/>
                <w:color w:val="000000" w:themeColor="text1"/>
                <w:kern w:val="0"/>
              </w:rPr>
              <w:t>金融</w:t>
            </w:r>
          </w:p>
        </w:tc>
        <w:tc>
          <w:tcPr>
            <w:tcW w:w="3119" w:type="dxa"/>
            <w:vAlign w:val="center"/>
          </w:tcPr>
          <w:p w:rsidR="00D75E2F" w:rsidRDefault="0085095E">
            <w:pPr>
              <w:jc w:val="center"/>
            </w:pPr>
            <w:r>
              <w:rPr>
                <w:rFonts w:eastAsiaTheme="minorEastAsia"/>
                <w:color w:val="000000" w:themeColor="text1"/>
                <w:kern w:val="0"/>
              </w:rPr>
              <w:t>-</w:t>
            </w:r>
          </w:p>
        </w:tc>
        <w:tc>
          <w:tcPr>
            <w:tcW w:w="3118" w:type="dxa"/>
            <w:vAlign w:val="center"/>
          </w:tcPr>
          <w:p w:rsidR="00D75E2F" w:rsidRDefault="0085095E">
            <w:pPr>
              <w:jc w:val="center"/>
            </w:pPr>
            <w:r>
              <w:rPr>
                <w:rFonts w:eastAsiaTheme="minorEastAsia"/>
                <w:color w:val="000000" w:themeColor="text1"/>
                <w:kern w:val="0"/>
              </w:rPr>
              <w:t>-</w:t>
            </w:r>
          </w:p>
        </w:tc>
      </w:tr>
      <w:tr w:rsidR="00D75E2F">
        <w:trPr>
          <w:jc w:val="center"/>
        </w:trPr>
        <w:tc>
          <w:tcPr>
            <w:tcW w:w="2397" w:type="dxa"/>
            <w:vAlign w:val="center"/>
          </w:tcPr>
          <w:p w:rsidR="00D75E2F" w:rsidRDefault="0085095E">
            <w:pPr>
              <w:jc w:val="center"/>
            </w:pPr>
            <w:r>
              <w:rPr>
                <w:rFonts w:eastAsiaTheme="minorEastAsia"/>
                <w:color w:val="000000" w:themeColor="text1"/>
                <w:kern w:val="0"/>
              </w:rPr>
              <w:t>F</w:t>
            </w:r>
            <w:r>
              <w:rPr>
                <w:rFonts w:eastAsiaTheme="minorEastAsia"/>
                <w:color w:val="000000" w:themeColor="text1"/>
                <w:kern w:val="0"/>
              </w:rPr>
              <w:t>医疗保健</w:t>
            </w:r>
          </w:p>
        </w:tc>
        <w:tc>
          <w:tcPr>
            <w:tcW w:w="3119" w:type="dxa"/>
            <w:vAlign w:val="center"/>
          </w:tcPr>
          <w:p w:rsidR="00D75E2F" w:rsidRDefault="0085095E">
            <w:pPr>
              <w:jc w:val="center"/>
            </w:pPr>
            <w:r>
              <w:rPr>
                <w:rFonts w:eastAsiaTheme="minorEastAsia"/>
                <w:color w:val="000000" w:themeColor="text1"/>
                <w:kern w:val="0"/>
              </w:rPr>
              <w:t>5,349,302.73</w:t>
            </w:r>
          </w:p>
        </w:tc>
        <w:tc>
          <w:tcPr>
            <w:tcW w:w="3118" w:type="dxa"/>
            <w:vAlign w:val="center"/>
          </w:tcPr>
          <w:p w:rsidR="00D75E2F" w:rsidRDefault="0085095E">
            <w:pPr>
              <w:jc w:val="center"/>
            </w:pPr>
            <w:r>
              <w:rPr>
                <w:rFonts w:eastAsiaTheme="minorEastAsia"/>
                <w:color w:val="000000" w:themeColor="text1"/>
                <w:kern w:val="0"/>
              </w:rPr>
              <w:t>0.11</w:t>
            </w:r>
          </w:p>
        </w:tc>
      </w:tr>
      <w:tr w:rsidR="00D75E2F">
        <w:trPr>
          <w:jc w:val="center"/>
        </w:trPr>
        <w:tc>
          <w:tcPr>
            <w:tcW w:w="2397" w:type="dxa"/>
            <w:vAlign w:val="center"/>
          </w:tcPr>
          <w:p w:rsidR="00D75E2F" w:rsidRDefault="0085095E">
            <w:pPr>
              <w:jc w:val="center"/>
            </w:pPr>
            <w:r>
              <w:rPr>
                <w:rFonts w:eastAsiaTheme="minorEastAsia"/>
                <w:color w:val="000000" w:themeColor="text1"/>
                <w:kern w:val="0"/>
              </w:rPr>
              <w:t>G</w:t>
            </w:r>
            <w:r>
              <w:rPr>
                <w:rFonts w:eastAsiaTheme="minorEastAsia"/>
                <w:color w:val="000000" w:themeColor="text1"/>
                <w:kern w:val="0"/>
              </w:rPr>
              <w:t>工业</w:t>
            </w:r>
          </w:p>
        </w:tc>
        <w:tc>
          <w:tcPr>
            <w:tcW w:w="3119" w:type="dxa"/>
            <w:vAlign w:val="center"/>
          </w:tcPr>
          <w:p w:rsidR="00D75E2F" w:rsidRDefault="0085095E">
            <w:pPr>
              <w:jc w:val="center"/>
            </w:pPr>
            <w:r>
              <w:rPr>
                <w:rFonts w:eastAsiaTheme="minorEastAsia"/>
                <w:color w:val="000000" w:themeColor="text1"/>
                <w:kern w:val="0"/>
              </w:rPr>
              <w:t>-</w:t>
            </w:r>
          </w:p>
        </w:tc>
        <w:tc>
          <w:tcPr>
            <w:tcW w:w="3118" w:type="dxa"/>
            <w:vAlign w:val="center"/>
          </w:tcPr>
          <w:p w:rsidR="00D75E2F" w:rsidRDefault="0085095E">
            <w:pPr>
              <w:jc w:val="center"/>
            </w:pPr>
            <w:r>
              <w:rPr>
                <w:rFonts w:eastAsiaTheme="minorEastAsia"/>
                <w:color w:val="000000" w:themeColor="text1"/>
                <w:kern w:val="0"/>
              </w:rPr>
              <w:t>-</w:t>
            </w:r>
          </w:p>
        </w:tc>
      </w:tr>
      <w:tr w:rsidR="00D75E2F">
        <w:trPr>
          <w:jc w:val="center"/>
        </w:trPr>
        <w:tc>
          <w:tcPr>
            <w:tcW w:w="2397" w:type="dxa"/>
            <w:vAlign w:val="center"/>
          </w:tcPr>
          <w:p w:rsidR="00D75E2F" w:rsidRDefault="0085095E">
            <w:pPr>
              <w:jc w:val="center"/>
            </w:pPr>
            <w:r>
              <w:rPr>
                <w:rFonts w:eastAsiaTheme="minorEastAsia"/>
                <w:color w:val="000000" w:themeColor="text1"/>
                <w:kern w:val="0"/>
              </w:rPr>
              <w:t>H</w:t>
            </w:r>
            <w:r>
              <w:rPr>
                <w:rFonts w:eastAsiaTheme="minorEastAsia"/>
                <w:color w:val="000000" w:themeColor="text1"/>
                <w:kern w:val="0"/>
              </w:rPr>
              <w:t>信息技术</w:t>
            </w:r>
          </w:p>
        </w:tc>
        <w:tc>
          <w:tcPr>
            <w:tcW w:w="3119" w:type="dxa"/>
            <w:vAlign w:val="center"/>
          </w:tcPr>
          <w:p w:rsidR="00D75E2F" w:rsidRDefault="0085095E">
            <w:pPr>
              <w:jc w:val="center"/>
            </w:pPr>
            <w:r>
              <w:rPr>
                <w:rFonts w:eastAsiaTheme="minorEastAsia"/>
                <w:color w:val="000000" w:themeColor="text1"/>
                <w:kern w:val="0"/>
              </w:rPr>
              <w:t>-</w:t>
            </w:r>
          </w:p>
        </w:tc>
        <w:tc>
          <w:tcPr>
            <w:tcW w:w="3118" w:type="dxa"/>
            <w:vAlign w:val="center"/>
          </w:tcPr>
          <w:p w:rsidR="00D75E2F" w:rsidRDefault="0085095E">
            <w:pPr>
              <w:jc w:val="center"/>
            </w:pPr>
            <w:r>
              <w:rPr>
                <w:rFonts w:eastAsiaTheme="minorEastAsia"/>
                <w:color w:val="000000" w:themeColor="text1"/>
                <w:kern w:val="0"/>
              </w:rPr>
              <w:t>-</w:t>
            </w:r>
          </w:p>
        </w:tc>
      </w:tr>
      <w:tr w:rsidR="00D75E2F">
        <w:trPr>
          <w:jc w:val="center"/>
        </w:trPr>
        <w:tc>
          <w:tcPr>
            <w:tcW w:w="2397" w:type="dxa"/>
            <w:vAlign w:val="center"/>
          </w:tcPr>
          <w:p w:rsidR="00D75E2F" w:rsidRDefault="0085095E">
            <w:pPr>
              <w:jc w:val="center"/>
            </w:pPr>
            <w:r>
              <w:rPr>
                <w:rFonts w:eastAsiaTheme="minorEastAsia"/>
                <w:color w:val="000000" w:themeColor="text1"/>
                <w:kern w:val="0"/>
              </w:rPr>
              <w:t>I</w:t>
            </w:r>
            <w:r>
              <w:rPr>
                <w:rFonts w:eastAsiaTheme="minorEastAsia"/>
                <w:color w:val="000000" w:themeColor="text1"/>
                <w:kern w:val="0"/>
              </w:rPr>
              <w:t>电信服务</w:t>
            </w:r>
          </w:p>
        </w:tc>
        <w:tc>
          <w:tcPr>
            <w:tcW w:w="3119" w:type="dxa"/>
            <w:vAlign w:val="center"/>
          </w:tcPr>
          <w:p w:rsidR="00D75E2F" w:rsidRDefault="0085095E">
            <w:pPr>
              <w:jc w:val="center"/>
            </w:pPr>
            <w:r>
              <w:rPr>
                <w:rFonts w:eastAsiaTheme="minorEastAsia"/>
                <w:color w:val="000000" w:themeColor="text1"/>
                <w:kern w:val="0"/>
              </w:rPr>
              <w:t>12,590,462.00</w:t>
            </w:r>
          </w:p>
        </w:tc>
        <w:tc>
          <w:tcPr>
            <w:tcW w:w="3118" w:type="dxa"/>
            <w:vAlign w:val="center"/>
          </w:tcPr>
          <w:p w:rsidR="00D75E2F" w:rsidRDefault="0085095E">
            <w:pPr>
              <w:jc w:val="center"/>
            </w:pPr>
            <w:r>
              <w:rPr>
                <w:rFonts w:eastAsiaTheme="minorEastAsia"/>
                <w:color w:val="000000" w:themeColor="text1"/>
                <w:kern w:val="0"/>
              </w:rPr>
              <w:t>0.26</w:t>
            </w:r>
          </w:p>
        </w:tc>
      </w:tr>
      <w:tr w:rsidR="00D75E2F">
        <w:trPr>
          <w:jc w:val="center"/>
        </w:trPr>
        <w:tc>
          <w:tcPr>
            <w:tcW w:w="2397" w:type="dxa"/>
            <w:vAlign w:val="center"/>
          </w:tcPr>
          <w:p w:rsidR="00D75E2F" w:rsidRDefault="0085095E">
            <w:pPr>
              <w:jc w:val="center"/>
            </w:pPr>
            <w:r>
              <w:rPr>
                <w:rFonts w:eastAsiaTheme="minorEastAsia"/>
                <w:color w:val="000000" w:themeColor="text1"/>
                <w:kern w:val="0"/>
              </w:rPr>
              <w:t>J</w:t>
            </w:r>
            <w:r>
              <w:rPr>
                <w:rFonts w:eastAsiaTheme="minorEastAsia"/>
                <w:color w:val="000000" w:themeColor="text1"/>
                <w:kern w:val="0"/>
              </w:rPr>
              <w:t>公用事业</w:t>
            </w:r>
          </w:p>
        </w:tc>
        <w:tc>
          <w:tcPr>
            <w:tcW w:w="3119" w:type="dxa"/>
            <w:vAlign w:val="center"/>
          </w:tcPr>
          <w:p w:rsidR="00D75E2F" w:rsidRDefault="0085095E">
            <w:pPr>
              <w:jc w:val="center"/>
            </w:pPr>
            <w:r>
              <w:rPr>
                <w:rFonts w:eastAsiaTheme="minorEastAsia"/>
                <w:color w:val="000000" w:themeColor="text1"/>
                <w:kern w:val="0"/>
              </w:rPr>
              <w:t>-</w:t>
            </w:r>
          </w:p>
        </w:tc>
        <w:tc>
          <w:tcPr>
            <w:tcW w:w="3118" w:type="dxa"/>
            <w:vAlign w:val="center"/>
          </w:tcPr>
          <w:p w:rsidR="00D75E2F" w:rsidRDefault="0085095E">
            <w:pPr>
              <w:jc w:val="center"/>
            </w:pPr>
            <w:r>
              <w:rPr>
                <w:rFonts w:eastAsiaTheme="minorEastAsia"/>
                <w:color w:val="000000" w:themeColor="text1"/>
                <w:kern w:val="0"/>
              </w:rPr>
              <w:t>-</w:t>
            </w:r>
          </w:p>
        </w:tc>
      </w:tr>
      <w:tr w:rsidR="00D75E2F">
        <w:trPr>
          <w:jc w:val="center"/>
        </w:trPr>
        <w:tc>
          <w:tcPr>
            <w:tcW w:w="2397" w:type="dxa"/>
            <w:vAlign w:val="center"/>
          </w:tcPr>
          <w:p w:rsidR="00D75E2F" w:rsidRDefault="0085095E">
            <w:pPr>
              <w:jc w:val="center"/>
            </w:pPr>
            <w:r>
              <w:rPr>
                <w:rFonts w:eastAsiaTheme="minorEastAsia"/>
                <w:color w:val="000000" w:themeColor="text1"/>
                <w:kern w:val="0"/>
              </w:rPr>
              <w:t>K</w:t>
            </w:r>
            <w:r>
              <w:rPr>
                <w:rFonts w:eastAsiaTheme="minorEastAsia"/>
                <w:color w:val="000000" w:themeColor="text1"/>
                <w:kern w:val="0"/>
              </w:rPr>
              <w:t>房地产</w:t>
            </w:r>
          </w:p>
        </w:tc>
        <w:tc>
          <w:tcPr>
            <w:tcW w:w="3119" w:type="dxa"/>
            <w:vAlign w:val="center"/>
          </w:tcPr>
          <w:p w:rsidR="00D75E2F" w:rsidRDefault="0085095E">
            <w:pPr>
              <w:jc w:val="center"/>
            </w:pPr>
            <w:r>
              <w:rPr>
                <w:rFonts w:eastAsiaTheme="minorEastAsia"/>
                <w:color w:val="000000" w:themeColor="text1"/>
                <w:kern w:val="0"/>
              </w:rPr>
              <w:t>-</w:t>
            </w:r>
          </w:p>
        </w:tc>
        <w:tc>
          <w:tcPr>
            <w:tcW w:w="3118" w:type="dxa"/>
            <w:vAlign w:val="center"/>
          </w:tcPr>
          <w:p w:rsidR="00D75E2F" w:rsidRDefault="0085095E">
            <w:pPr>
              <w:jc w:val="center"/>
            </w:pPr>
            <w:r>
              <w:rPr>
                <w:rFonts w:eastAsiaTheme="minorEastAsia"/>
                <w:color w:val="000000" w:themeColor="text1"/>
                <w:kern w:val="0"/>
              </w:rPr>
              <w:t>-</w:t>
            </w:r>
          </w:p>
        </w:tc>
      </w:tr>
      <w:tr w:rsidR="00D06738" w:rsidRPr="00FF6B9A">
        <w:trPr>
          <w:jc w:val="center"/>
        </w:trPr>
        <w:tc>
          <w:tcPr>
            <w:tcW w:w="23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合计</w:t>
            </w:r>
          </w:p>
        </w:tc>
        <w:tc>
          <w:tcPr>
            <w:tcW w:w="3119" w:type="dxa"/>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75,413,552.79</w:t>
            </w:r>
          </w:p>
        </w:tc>
        <w:tc>
          <w:tcPr>
            <w:tcW w:w="3118" w:type="dxa"/>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1.58</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1"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期末按公允价值占基金资产净值比例大小排序的股票投资明细</w:t>
      </w:r>
      <w:r w:rsidRPr="00FF6B9A">
        <w:rPr>
          <w:rFonts w:asciiTheme="minorEastAsia" w:eastAsiaTheme="minorEastAsia" w:hAnsiTheme="minorEastAsia" w:hint="eastAsia"/>
          <w:b/>
          <w:bCs/>
          <w:kern w:val="0"/>
          <w:sz w:val="24"/>
          <w:szCs w:val="24"/>
        </w:rPr>
        <w:cr/>
      </w:r>
      <w:r w:rsidRPr="00FF6B9A">
        <w:rPr>
          <w:rFonts w:eastAsiaTheme="minorEastAsia"/>
          <w:b/>
          <w:bCs/>
          <w:kern w:val="0"/>
          <w:sz w:val="24"/>
          <w:szCs w:val="24"/>
        </w:rPr>
        <w:t>5.3.1</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rsidTr="00D913A1">
        <w:tc>
          <w:tcPr>
            <w:tcW w:w="817"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D75E2F">
        <w:tc>
          <w:tcPr>
            <w:tcW w:w="817" w:type="dxa"/>
            <w:vAlign w:val="center"/>
          </w:tcPr>
          <w:p w:rsidR="00D75E2F" w:rsidRDefault="0085095E">
            <w:pPr>
              <w:jc w:val="center"/>
            </w:pPr>
            <w:r>
              <w:rPr>
                <w:rFonts w:eastAsiaTheme="minorEastAsia"/>
                <w:kern w:val="0"/>
                <w:sz w:val="24"/>
                <w:szCs w:val="24"/>
              </w:rPr>
              <w:t>1</w:t>
            </w:r>
          </w:p>
        </w:tc>
        <w:tc>
          <w:tcPr>
            <w:tcW w:w="1276" w:type="dxa"/>
            <w:vAlign w:val="center"/>
          </w:tcPr>
          <w:p w:rsidR="00D75E2F" w:rsidRDefault="0085095E">
            <w:pPr>
              <w:jc w:val="center"/>
            </w:pPr>
            <w:r>
              <w:rPr>
                <w:rFonts w:eastAsiaTheme="minorEastAsia"/>
                <w:kern w:val="0"/>
                <w:sz w:val="24"/>
                <w:szCs w:val="24"/>
              </w:rPr>
              <w:t>002180</w:t>
            </w:r>
          </w:p>
        </w:tc>
        <w:tc>
          <w:tcPr>
            <w:tcW w:w="1701" w:type="dxa"/>
            <w:vAlign w:val="center"/>
          </w:tcPr>
          <w:p w:rsidR="00D75E2F" w:rsidRDefault="0085095E">
            <w:pPr>
              <w:jc w:val="center"/>
            </w:pPr>
            <w:r>
              <w:rPr>
                <w:rFonts w:eastAsiaTheme="minorEastAsia"/>
                <w:kern w:val="0"/>
                <w:sz w:val="24"/>
                <w:szCs w:val="24"/>
              </w:rPr>
              <w:t>纳思达</w:t>
            </w:r>
          </w:p>
        </w:tc>
        <w:tc>
          <w:tcPr>
            <w:tcW w:w="1276" w:type="dxa"/>
            <w:vAlign w:val="center"/>
          </w:tcPr>
          <w:p w:rsidR="00D75E2F" w:rsidRDefault="0085095E">
            <w:pPr>
              <w:jc w:val="right"/>
            </w:pPr>
            <w:r>
              <w:rPr>
                <w:rFonts w:eastAsiaTheme="minorEastAsia"/>
                <w:kern w:val="0"/>
                <w:sz w:val="24"/>
                <w:szCs w:val="24"/>
              </w:rPr>
              <w:t>7,472,155.00</w:t>
            </w:r>
          </w:p>
        </w:tc>
        <w:tc>
          <w:tcPr>
            <w:tcW w:w="1842" w:type="dxa"/>
            <w:vAlign w:val="center"/>
          </w:tcPr>
          <w:p w:rsidR="00D75E2F" w:rsidRDefault="0085095E">
            <w:pPr>
              <w:jc w:val="right"/>
            </w:pPr>
            <w:r>
              <w:rPr>
                <w:rFonts w:eastAsiaTheme="minorEastAsia"/>
                <w:kern w:val="0"/>
                <w:sz w:val="24"/>
                <w:szCs w:val="24"/>
              </w:rPr>
              <w:t>387,730,122.95</w:t>
            </w:r>
          </w:p>
        </w:tc>
        <w:tc>
          <w:tcPr>
            <w:tcW w:w="1616" w:type="dxa"/>
            <w:vAlign w:val="center"/>
          </w:tcPr>
          <w:p w:rsidR="00D75E2F" w:rsidRDefault="0085095E">
            <w:pPr>
              <w:jc w:val="right"/>
            </w:pPr>
            <w:r>
              <w:rPr>
                <w:rFonts w:eastAsiaTheme="minorEastAsia"/>
                <w:kern w:val="0"/>
                <w:sz w:val="24"/>
                <w:szCs w:val="24"/>
              </w:rPr>
              <w:t>8.12</w:t>
            </w:r>
          </w:p>
        </w:tc>
      </w:tr>
      <w:tr w:rsidR="00D75E2F">
        <w:tc>
          <w:tcPr>
            <w:tcW w:w="817" w:type="dxa"/>
            <w:vAlign w:val="center"/>
          </w:tcPr>
          <w:p w:rsidR="00D75E2F" w:rsidRDefault="0085095E">
            <w:pPr>
              <w:jc w:val="center"/>
            </w:pPr>
            <w:r>
              <w:rPr>
                <w:rFonts w:eastAsiaTheme="minorEastAsia"/>
                <w:kern w:val="0"/>
                <w:sz w:val="24"/>
                <w:szCs w:val="24"/>
              </w:rPr>
              <w:t>2</w:t>
            </w:r>
          </w:p>
        </w:tc>
        <w:tc>
          <w:tcPr>
            <w:tcW w:w="1276" w:type="dxa"/>
            <w:vAlign w:val="center"/>
          </w:tcPr>
          <w:p w:rsidR="00D75E2F" w:rsidRDefault="0085095E">
            <w:pPr>
              <w:jc w:val="center"/>
            </w:pPr>
            <w:r>
              <w:rPr>
                <w:rFonts w:eastAsiaTheme="minorEastAsia"/>
                <w:kern w:val="0"/>
                <w:sz w:val="24"/>
                <w:szCs w:val="24"/>
              </w:rPr>
              <w:t>300390</w:t>
            </w:r>
          </w:p>
        </w:tc>
        <w:tc>
          <w:tcPr>
            <w:tcW w:w="1701" w:type="dxa"/>
            <w:vAlign w:val="center"/>
          </w:tcPr>
          <w:p w:rsidR="00D75E2F" w:rsidRDefault="0085095E">
            <w:pPr>
              <w:jc w:val="center"/>
            </w:pPr>
            <w:r>
              <w:rPr>
                <w:rFonts w:eastAsiaTheme="minorEastAsia"/>
                <w:kern w:val="0"/>
                <w:sz w:val="24"/>
                <w:szCs w:val="24"/>
              </w:rPr>
              <w:t>天华超净</w:t>
            </w:r>
          </w:p>
        </w:tc>
        <w:tc>
          <w:tcPr>
            <w:tcW w:w="1276" w:type="dxa"/>
            <w:vAlign w:val="center"/>
          </w:tcPr>
          <w:p w:rsidR="00D75E2F" w:rsidRDefault="0085095E">
            <w:pPr>
              <w:jc w:val="right"/>
            </w:pPr>
            <w:r>
              <w:rPr>
                <w:rFonts w:eastAsiaTheme="minorEastAsia"/>
                <w:kern w:val="0"/>
                <w:sz w:val="24"/>
                <w:szCs w:val="24"/>
              </w:rPr>
              <w:t>6,822,971.00</w:t>
            </w:r>
          </w:p>
        </w:tc>
        <w:tc>
          <w:tcPr>
            <w:tcW w:w="1842" w:type="dxa"/>
            <w:vAlign w:val="center"/>
          </w:tcPr>
          <w:p w:rsidR="00D75E2F" w:rsidRDefault="0085095E">
            <w:pPr>
              <w:jc w:val="right"/>
            </w:pPr>
            <w:r>
              <w:rPr>
                <w:rFonts w:eastAsiaTheme="minorEastAsia"/>
                <w:kern w:val="0"/>
                <w:sz w:val="24"/>
                <w:szCs w:val="24"/>
              </w:rPr>
              <w:t>377,297,869.56</w:t>
            </w:r>
          </w:p>
        </w:tc>
        <w:tc>
          <w:tcPr>
            <w:tcW w:w="1616" w:type="dxa"/>
            <w:vAlign w:val="center"/>
          </w:tcPr>
          <w:p w:rsidR="00D75E2F" w:rsidRDefault="0085095E">
            <w:pPr>
              <w:jc w:val="right"/>
            </w:pPr>
            <w:r>
              <w:rPr>
                <w:rFonts w:eastAsiaTheme="minorEastAsia"/>
                <w:kern w:val="0"/>
                <w:sz w:val="24"/>
                <w:szCs w:val="24"/>
              </w:rPr>
              <w:t>7.90</w:t>
            </w:r>
          </w:p>
        </w:tc>
      </w:tr>
      <w:tr w:rsidR="00D75E2F">
        <w:tc>
          <w:tcPr>
            <w:tcW w:w="817" w:type="dxa"/>
            <w:vAlign w:val="center"/>
          </w:tcPr>
          <w:p w:rsidR="00D75E2F" w:rsidRDefault="0085095E">
            <w:pPr>
              <w:jc w:val="center"/>
            </w:pPr>
            <w:r>
              <w:rPr>
                <w:rFonts w:eastAsiaTheme="minorEastAsia"/>
                <w:kern w:val="0"/>
                <w:sz w:val="24"/>
                <w:szCs w:val="24"/>
              </w:rPr>
              <w:t>3</w:t>
            </w:r>
          </w:p>
        </w:tc>
        <w:tc>
          <w:tcPr>
            <w:tcW w:w="1276" w:type="dxa"/>
            <w:vAlign w:val="center"/>
          </w:tcPr>
          <w:p w:rsidR="00D75E2F" w:rsidRDefault="0085095E">
            <w:pPr>
              <w:jc w:val="center"/>
            </w:pPr>
            <w:r>
              <w:rPr>
                <w:rFonts w:eastAsiaTheme="minorEastAsia"/>
                <w:kern w:val="0"/>
                <w:sz w:val="24"/>
                <w:szCs w:val="24"/>
              </w:rPr>
              <w:t>300014</w:t>
            </w:r>
          </w:p>
        </w:tc>
        <w:tc>
          <w:tcPr>
            <w:tcW w:w="1701" w:type="dxa"/>
            <w:vAlign w:val="center"/>
          </w:tcPr>
          <w:p w:rsidR="00D75E2F" w:rsidRDefault="0085095E">
            <w:pPr>
              <w:jc w:val="center"/>
            </w:pPr>
            <w:r>
              <w:rPr>
                <w:rFonts w:eastAsiaTheme="minorEastAsia"/>
                <w:kern w:val="0"/>
                <w:sz w:val="24"/>
                <w:szCs w:val="24"/>
              </w:rPr>
              <w:t>亿纬锂能</w:t>
            </w:r>
          </w:p>
        </w:tc>
        <w:tc>
          <w:tcPr>
            <w:tcW w:w="1276" w:type="dxa"/>
            <w:vAlign w:val="center"/>
          </w:tcPr>
          <w:p w:rsidR="00D75E2F" w:rsidRDefault="0085095E">
            <w:pPr>
              <w:jc w:val="right"/>
            </w:pPr>
            <w:r>
              <w:rPr>
                <w:rFonts w:eastAsiaTheme="minorEastAsia"/>
                <w:kern w:val="0"/>
                <w:sz w:val="24"/>
                <w:szCs w:val="24"/>
              </w:rPr>
              <w:t>3,666,959.00</w:t>
            </w:r>
          </w:p>
        </w:tc>
        <w:tc>
          <w:tcPr>
            <w:tcW w:w="1842" w:type="dxa"/>
            <w:vAlign w:val="center"/>
          </w:tcPr>
          <w:p w:rsidR="00D75E2F" w:rsidRDefault="0085095E">
            <w:pPr>
              <w:jc w:val="right"/>
            </w:pPr>
            <w:r>
              <w:rPr>
                <w:rFonts w:eastAsiaTheme="minorEastAsia"/>
                <w:kern w:val="0"/>
                <w:sz w:val="24"/>
                <w:szCs w:val="24"/>
              </w:rPr>
              <w:t>322,325,696.10</w:t>
            </w:r>
          </w:p>
        </w:tc>
        <w:tc>
          <w:tcPr>
            <w:tcW w:w="1616" w:type="dxa"/>
            <w:vAlign w:val="center"/>
          </w:tcPr>
          <w:p w:rsidR="00D75E2F" w:rsidRDefault="0085095E">
            <w:pPr>
              <w:jc w:val="right"/>
            </w:pPr>
            <w:r>
              <w:rPr>
                <w:rFonts w:eastAsiaTheme="minorEastAsia"/>
                <w:kern w:val="0"/>
                <w:sz w:val="24"/>
                <w:szCs w:val="24"/>
              </w:rPr>
              <w:t>6.75</w:t>
            </w:r>
          </w:p>
        </w:tc>
      </w:tr>
      <w:tr w:rsidR="00D75E2F">
        <w:tc>
          <w:tcPr>
            <w:tcW w:w="817" w:type="dxa"/>
            <w:vAlign w:val="center"/>
          </w:tcPr>
          <w:p w:rsidR="00D75E2F" w:rsidRDefault="0085095E">
            <w:pPr>
              <w:jc w:val="center"/>
            </w:pPr>
            <w:r>
              <w:rPr>
                <w:rFonts w:eastAsiaTheme="minorEastAsia"/>
                <w:kern w:val="0"/>
                <w:sz w:val="24"/>
                <w:szCs w:val="24"/>
              </w:rPr>
              <w:t>4</w:t>
            </w:r>
          </w:p>
        </w:tc>
        <w:tc>
          <w:tcPr>
            <w:tcW w:w="1276" w:type="dxa"/>
            <w:vAlign w:val="center"/>
          </w:tcPr>
          <w:p w:rsidR="00D75E2F" w:rsidRDefault="0085095E">
            <w:pPr>
              <w:jc w:val="center"/>
            </w:pPr>
            <w:r>
              <w:rPr>
                <w:rFonts w:eastAsiaTheme="minorEastAsia"/>
                <w:kern w:val="0"/>
                <w:sz w:val="24"/>
                <w:szCs w:val="24"/>
              </w:rPr>
              <w:t>300750</w:t>
            </w:r>
          </w:p>
        </w:tc>
        <w:tc>
          <w:tcPr>
            <w:tcW w:w="1701" w:type="dxa"/>
            <w:vAlign w:val="center"/>
          </w:tcPr>
          <w:p w:rsidR="00D75E2F" w:rsidRDefault="0085095E">
            <w:pPr>
              <w:jc w:val="center"/>
            </w:pPr>
            <w:r>
              <w:rPr>
                <w:rFonts w:eastAsiaTheme="minorEastAsia"/>
                <w:kern w:val="0"/>
                <w:sz w:val="24"/>
                <w:szCs w:val="24"/>
              </w:rPr>
              <w:t>宁德时代</w:t>
            </w:r>
          </w:p>
        </w:tc>
        <w:tc>
          <w:tcPr>
            <w:tcW w:w="1276" w:type="dxa"/>
            <w:vAlign w:val="center"/>
          </w:tcPr>
          <w:p w:rsidR="00D75E2F" w:rsidRDefault="0085095E">
            <w:pPr>
              <w:jc w:val="right"/>
            </w:pPr>
            <w:r>
              <w:rPr>
                <w:rFonts w:eastAsiaTheme="minorEastAsia"/>
                <w:kern w:val="0"/>
                <w:sz w:val="24"/>
                <w:szCs w:val="24"/>
              </w:rPr>
              <w:t>594,037.00</w:t>
            </w:r>
          </w:p>
        </w:tc>
        <w:tc>
          <w:tcPr>
            <w:tcW w:w="1842" w:type="dxa"/>
            <w:vAlign w:val="center"/>
          </w:tcPr>
          <w:p w:rsidR="00D75E2F" w:rsidRDefault="0085095E">
            <w:pPr>
              <w:jc w:val="right"/>
            </w:pPr>
            <w:r>
              <w:rPr>
                <w:rFonts w:eastAsiaTheme="minorEastAsia"/>
                <w:kern w:val="0"/>
                <w:sz w:val="24"/>
                <w:szCs w:val="24"/>
              </w:rPr>
              <w:t>233,706,036.54</w:t>
            </w:r>
          </w:p>
        </w:tc>
        <w:tc>
          <w:tcPr>
            <w:tcW w:w="1616" w:type="dxa"/>
            <w:vAlign w:val="center"/>
          </w:tcPr>
          <w:p w:rsidR="00D75E2F" w:rsidRDefault="0085095E">
            <w:pPr>
              <w:jc w:val="right"/>
            </w:pPr>
            <w:r>
              <w:rPr>
                <w:rFonts w:eastAsiaTheme="minorEastAsia"/>
                <w:kern w:val="0"/>
                <w:sz w:val="24"/>
                <w:szCs w:val="24"/>
              </w:rPr>
              <w:t>4.90</w:t>
            </w:r>
          </w:p>
        </w:tc>
      </w:tr>
      <w:tr w:rsidR="00D75E2F">
        <w:tc>
          <w:tcPr>
            <w:tcW w:w="817" w:type="dxa"/>
            <w:vAlign w:val="center"/>
          </w:tcPr>
          <w:p w:rsidR="00D75E2F" w:rsidRDefault="0085095E">
            <w:pPr>
              <w:jc w:val="center"/>
            </w:pPr>
            <w:r>
              <w:rPr>
                <w:rFonts w:eastAsiaTheme="minorEastAsia"/>
                <w:kern w:val="0"/>
                <w:sz w:val="24"/>
                <w:szCs w:val="24"/>
              </w:rPr>
              <w:t>5</w:t>
            </w:r>
          </w:p>
        </w:tc>
        <w:tc>
          <w:tcPr>
            <w:tcW w:w="1276" w:type="dxa"/>
            <w:vAlign w:val="center"/>
          </w:tcPr>
          <w:p w:rsidR="00D75E2F" w:rsidRDefault="0085095E">
            <w:pPr>
              <w:jc w:val="center"/>
            </w:pPr>
            <w:r>
              <w:rPr>
                <w:rFonts w:eastAsiaTheme="minorEastAsia"/>
                <w:kern w:val="0"/>
                <w:sz w:val="24"/>
                <w:szCs w:val="24"/>
              </w:rPr>
              <w:t>600438</w:t>
            </w:r>
          </w:p>
        </w:tc>
        <w:tc>
          <w:tcPr>
            <w:tcW w:w="1701" w:type="dxa"/>
            <w:vAlign w:val="center"/>
          </w:tcPr>
          <w:p w:rsidR="00D75E2F" w:rsidRDefault="0085095E">
            <w:pPr>
              <w:jc w:val="center"/>
            </w:pPr>
            <w:r>
              <w:rPr>
                <w:rFonts w:eastAsiaTheme="minorEastAsia"/>
                <w:kern w:val="0"/>
                <w:sz w:val="24"/>
                <w:szCs w:val="24"/>
              </w:rPr>
              <w:t>通威股份</w:t>
            </w:r>
          </w:p>
        </w:tc>
        <w:tc>
          <w:tcPr>
            <w:tcW w:w="1276" w:type="dxa"/>
            <w:vAlign w:val="center"/>
          </w:tcPr>
          <w:p w:rsidR="00D75E2F" w:rsidRDefault="0085095E">
            <w:pPr>
              <w:jc w:val="right"/>
            </w:pPr>
            <w:r>
              <w:rPr>
                <w:rFonts w:eastAsiaTheme="minorEastAsia"/>
                <w:kern w:val="0"/>
                <w:sz w:val="24"/>
                <w:szCs w:val="24"/>
              </w:rPr>
              <w:t>5,034,985.00</w:t>
            </w:r>
          </w:p>
        </w:tc>
        <w:tc>
          <w:tcPr>
            <w:tcW w:w="1842" w:type="dxa"/>
            <w:vAlign w:val="center"/>
          </w:tcPr>
          <w:p w:rsidR="00D75E2F" w:rsidRDefault="0085095E">
            <w:pPr>
              <w:jc w:val="right"/>
            </w:pPr>
            <w:r>
              <w:rPr>
                <w:rFonts w:eastAsiaTheme="minorEastAsia"/>
                <w:kern w:val="0"/>
                <w:sz w:val="24"/>
                <w:szCs w:val="24"/>
              </w:rPr>
              <w:t>194,249,721.30</w:t>
            </w:r>
          </w:p>
        </w:tc>
        <w:tc>
          <w:tcPr>
            <w:tcW w:w="1616" w:type="dxa"/>
            <w:vAlign w:val="center"/>
          </w:tcPr>
          <w:p w:rsidR="00D75E2F" w:rsidRDefault="0085095E">
            <w:pPr>
              <w:jc w:val="right"/>
            </w:pPr>
            <w:r>
              <w:rPr>
                <w:rFonts w:eastAsiaTheme="minorEastAsia"/>
                <w:kern w:val="0"/>
                <w:sz w:val="24"/>
                <w:szCs w:val="24"/>
              </w:rPr>
              <w:t>4.07</w:t>
            </w:r>
          </w:p>
        </w:tc>
      </w:tr>
      <w:tr w:rsidR="00D75E2F">
        <w:tc>
          <w:tcPr>
            <w:tcW w:w="817" w:type="dxa"/>
            <w:vAlign w:val="center"/>
          </w:tcPr>
          <w:p w:rsidR="00D75E2F" w:rsidRDefault="0085095E">
            <w:pPr>
              <w:jc w:val="center"/>
            </w:pPr>
            <w:r>
              <w:rPr>
                <w:rFonts w:eastAsiaTheme="minorEastAsia"/>
                <w:kern w:val="0"/>
                <w:sz w:val="24"/>
                <w:szCs w:val="24"/>
              </w:rPr>
              <w:t>6</w:t>
            </w:r>
          </w:p>
        </w:tc>
        <w:tc>
          <w:tcPr>
            <w:tcW w:w="1276" w:type="dxa"/>
            <w:vAlign w:val="center"/>
          </w:tcPr>
          <w:p w:rsidR="00D75E2F" w:rsidRDefault="0085095E">
            <w:pPr>
              <w:jc w:val="center"/>
            </w:pPr>
            <w:r>
              <w:rPr>
                <w:rFonts w:eastAsiaTheme="minorEastAsia"/>
                <w:kern w:val="0"/>
                <w:sz w:val="24"/>
                <w:szCs w:val="24"/>
              </w:rPr>
              <w:t>002714</w:t>
            </w:r>
          </w:p>
        </w:tc>
        <w:tc>
          <w:tcPr>
            <w:tcW w:w="1701" w:type="dxa"/>
            <w:vAlign w:val="center"/>
          </w:tcPr>
          <w:p w:rsidR="00D75E2F" w:rsidRDefault="0085095E">
            <w:pPr>
              <w:jc w:val="center"/>
            </w:pPr>
            <w:r>
              <w:rPr>
                <w:rFonts w:eastAsiaTheme="minorEastAsia"/>
                <w:kern w:val="0"/>
                <w:sz w:val="24"/>
                <w:szCs w:val="24"/>
              </w:rPr>
              <w:t>牧原股份</w:t>
            </w:r>
          </w:p>
        </w:tc>
        <w:tc>
          <w:tcPr>
            <w:tcW w:w="1276" w:type="dxa"/>
            <w:vAlign w:val="center"/>
          </w:tcPr>
          <w:p w:rsidR="00D75E2F" w:rsidRDefault="0085095E">
            <w:pPr>
              <w:jc w:val="right"/>
            </w:pPr>
            <w:r>
              <w:rPr>
                <w:rFonts w:eastAsiaTheme="minorEastAsia"/>
                <w:kern w:val="0"/>
                <w:sz w:val="24"/>
                <w:szCs w:val="24"/>
              </w:rPr>
              <w:t>3,944,454.00</w:t>
            </w:r>
          </w:p>
        </w:tc>
        <w:tc>
          <w:tcPr>
            <w:tcW w:w="1842" w:type="dxa"/>
            <w:vAlign w:val="center"/>
          </w:tcPr>
          <w:p w:rsidR="00D75E2F" w:rsidRDefault="0085095E">
            <w:pPr>
              <w:jc w:val="right"/>
            </w:pPr>
            <w:r>
              <w:rPr>
                <w:rFonts w:eastAsiaTheme="minorEastAsia"/>
                <w:kern w:val="0"/>
                <w:sz w:val="24"/>
                <w:szCs w:val="24"/>
              </w:rPr>
              <w:t>192,292,132.50</w:t>
            </w:r>
          </w:p>
        </w:tc>
        <w:tc>
          <w:tcPr>
            <w:tcW w:w="1616" w:type="dxa"/>
            <w:vAlign w:val="center"/>
          </w:tcPr>
          <w:p w:rsidR="00D75E2F" w:rsidRDefault="0085095E">
            <w:pPr>
              <w:jc w:val="right"/>
            </w:pPr>
            <w:r>
              <w:rPr>
                <w:rFonts w:eastAsiaTheme="minorEastAsia"/>
                <w:kern w:val="0"/>
                <w:sz w:val="24"/>
                <w:szCs w:val="24"/>
              </w:rPr>
              <w:t>4.03</w:t>
            </w:r>
          </w:p>
        </w:tc>
      </w:tr>
      <w:tr w:rsidR="00D75E2F">
        <w:tc>
          <w:tcPr>
            <w:tcW w:w="817" w:type="dxa"/>
            <w:vAlign w:val="center"/>
          </w:tcPr>
          <w:p w:rsidR="00D75E2F" w:rsidRDefault="0085095E">
            <w:pPr>
              <w:jc w:val="center"/>
            </w:pPr>
            <w:r>
              <w:rPr>
                <w:rFonts w:eastAsiaTheme="minorEastAsia"/>
                <w:kern w:val="0"/>
                <w:sz w:val="24"/>
                <w:szCs w:val="24"/>
              </w:rPr>
              <w:t>7</w:t>
            </w:r>
          </w:p>
        </w:tc>
        <w:tc>
          <w:tcPr>
            <w:tcW w:w="1276" w:type="dxa"/>
            <w:vAlign w:val="center"/>
          </w:tcPr>
          <w:p w:rsidR="00D75E2F" w:rsidRDefault="0085095E">
            <w:pPr>
              <w:jc w:val="center"/>
            </w:pPr>
            <w:r>
              <w:rPr>
                <w:rFonts w:eastAsiaTheme="minorEastAsia"/>
                <w:kern w:val="0"/>
                <w:sz w:val="24"/>
                <w:szCs w:val="24"/>
              </w:rPr>
              <w:t>600481</w:t>
            </w:r>
          </w:p>
        </w:tc>
        <w:tc>
          <w:tcPr>
            <w:tcW w:w="1701" w:type="dxa"/>
            <w:vAlign w:val="center"/>
          </w:tcPr>
          <w:p w:rsidR="00D75E2F" w:rsidRDefault="0085095E">
            <w:pPr>
              <w:jc w:val="center"/>
            </w:pPr>
            <w:r>
              <w:rPr>
                <w:rFonts w:eastAsiaTheme="minorEastAsia"/>
                <w:kern w:val="0"/>
                <w:sz w:val="24"/>
                <w:szCs w:val="24"/>
              </w:rPr>
              <w:t>双良节能</w:t>
            </w:r>
          </w:p>
        </w:tc>
        <w:tc>
          <w:tcPr>
            <w:tcW w:w="1276" w:type="dxa"/>
            <w:vAlign w:val="center"/>
          </w:tcPr>
          <w:p w:rsidR="00D75E2F" w:rsidRDefault="0085095E">
            <w:pPr>
              <w:jc w:val="right"/>
            </w:pPr>
            <w:r>
              <w:rPr>
                <w:rFonts w:eastAsiaTheme="minorEastAsia"/>
                <w:kern w:val="0"/>
                <w:sz w:val="24"/>
                <w:szCs w:val="24"/>
              </w:rPr>
              <w:t>13,959,010.00</w:t>
            </w:r>
          </w:p>
        </w:tc>
        <w:tc>
          <w:tcPr>
            <w:tcW w:w="1842" w:type="dxa"/>
            <w:vAlign w:val="center"/>
          </w:tcPr>
          <w:p w:rsidR="00D75E2F" w:rsidRDefault="0085095E">
            <w:pPr>
              <w:jc w:val="right"/>
            </w:pPr>
            <w:r>
              <w:rPr>
                <w:rFonts w:eastAsiaTheme="minorEastAsia"/>
                <w:kern w:val="0"/>
                <w:sz w:val="24"/>
                <w:szCs w:val="24"/>
              </w:rPr>
              <w:t>179,020,029.00</w:t>
            </w:r>
          </w:p>
        </w:tc>
        <w:tc>
          <w:tcPr>
            <w:tcW w:w="1616" w:type="dxa"/>
            <w:vAlign w:val="center"/>
          </w:tcPr>
          <w:p w:rsidR="00D75E2F" w:rsidRDefault="0085095E">
            <w:pPr>
              <w:jc w:val="right"/>
            </w:pPr>
            <w:r>
              <w:rPr>
                <w:rFonts w:eastAsiaTheme="minorEastAsia"/>
                <w:kern w:val="0"/>
                <w:sz w:val="24"/>
                <w:szCs w:val="24"/>
              </w:rPr>
              <w:t>3.75</w:t>
            </w:r>
          </w:p>
        </w:tc>
      </w:tr>
      <w:tr w:rsidR="00D75E2F">
        <w:tc>
          <w:tcPr>
            <w:tcW w:w="817" w:type="dxa"/>
            <w:vAlign w:val="center"/>
          </w:tcPr>
          <w:p w:rsidR="00D75E2F" w:rsidRDefault="0085095E">
            <w:pPr>
              <w:jc w:val="center"/>
            </w:pPr>
            <w:r>
              <w:rPr>
                <w:rFonts w:eastAsiaTheme="minorEastAsia"/>
                <w:kern w:val="0"/>
                <w:sz w:val="24"/>
                <w:szCs w:val="24"/>
              </w:rPr>
              <w:t>8</w:t>
            </w:r>
          </w:p>
        </w:tc>
        <w:tc>
          <w:tcPr>
            <w:tcW w:w="1276" w:type="dxa"/>
            <w:vAlign w:val="center"/>
          </w:tcPr>
          <w:p w:rsidR="00D75E2F" w:rsidRDefault="0085095E">
            <w:pPr>
              <w:jc w:val="center"/>
            </w:pPr>
            <w:r>
              <w:rPr>
                <w:rFonts w:eastAsiaTheme="minorEastAsia"/>
                <w:kern w:val="0"/>
                <w:sz w:val="24"/>
                <w:szCs w:val="24"/>
              </w:rPr>
              <w:t>002384</w:t>
            </w:r>
          </w:p>
        </w:tc>
        <w:tc>
          <w:tcPr>
            <w:tcW w:w="1701" w:type="dxa"/>
            <w:vAlign w:val="center"/>
          </w:tcPr>
          <w:p w:rsidR="00D75E2F" w:rsidRDefault="0085095E">
            <w:pPr>
              <w:jc w:val="center"/>
            </w:pPr>
            <w:r>
              <w:rPr>
                <w:rFonts w:eastAsiaTheme="minorEastAsia"/>
                <w:kern w:val="0"/>
                <w:sz w:val="24"/>
                <w:szCs w:val="24"/>
              </w:rPr>
              <w:t>东山精密</w:t>
            </w:r>
          </w:p>
        </w:tc>
        <w:tc>
          <w:tcPr>
            <w:tcW w:w="1276" w:type="dxa"/>
            <w:vAlign w:val="center"/>
          </w:tcPr>
          <w:p w:rsidR="00D75E2F" w:rsidRDefault="0085095E">
            <w:pPr>
              <w:jc w:val="right"/>
            </w:pPr>
            <w:r>
              <w:rPr>
                <w:rFonts w:eastAsiaTheme="minorEastAsia"/>
                <w:kern w:val="0"/>
                <w:sz w:val="24"/>
                <w:szCs w:val="24"/>
              </w:rPr>
              <w:t>6,418,418.00</w:t>
            </w:r>
          </w:p>
        </w:tc>
        <w:tc>
          <w:tcPr>
            <w:tcW w:w="1842" w:type="dxa"/>
            <w:vAlign w:val="center"/>
          </w:tcPr>
          <w:p w:rsidR="00D75E2F" w:rsidRDefault="0085095E">
            <w:pPr>
              <w:jc w:val="right"/>
            </w:pPr>
            <w:r>
              <w:rPr>
                <w:rFonts w:eastAsiaTheme="minorEastAsia"/>
                <w:kern w:val="0"/>
                <w:sz w:val="24"/>
                <w:szCs w:val="24"/>
              </w:rPr>
              <w:t>158,727,477.14</w:t>
            </w:r>
          </w:p>
        </w:tc>
        <w:tc>
          <w:tcPr>
            <w:tcW w:w="1616" w:type="dxa"/>
            <w:vAlign w:val="center"/>
          </w:tcPr>
          <w:p w:rsidR="00D75E2F" w:rsidRDefault="0085095E">
            <w:pPr>
              <w:jc w:val="right"/>
            </w:pPr>
            <w:r>
              <w:rPr>
                <w:rFonts w:eastAsiaTheme="minorEastAsia"/>
                <w:kern w:val="0"/>
                <w:sz w:val="24"/>
                <w:szCs w:val="24"/>
              </w:rPr>
              <w:t>3.32</w:t>
            </w:r>
          </w:p>
        </w:tc>
      </w:tr>
      <w:tr w:rsidR="00D75E2F">
        <w:tc>
          <w:tcPr>
            <w:tcW w:w="817" w:type="dxa"/>
            <w:vAlign w:val="center"/>
          </w:tcPr>
          <w:p w:rsidR="00D75E2F" w:rsidRDefault="0085095E">
            <w:pPr>
              <w:jc w:val="center"/>
            </w:pPr>
            <w:r>
              <w:rPr>
                <w:rFonts w:eastAsiaTheme="minorEastAsia"/>
                <w:kern w:val="0"/>
                <w:sz w:val="24"/>
                <w:szCs w:val="24"/>
              </w:rPr>
              <w:t>9</w:t>
            </w:r>
          </w:p>
        </w:tc>
        <w:tc>
          <w:tcPr>
            <w:tcW w:w="1276" w:type="dxa"/>
            <w:vAlign w:val="center"/>
          </w:tcPr>
          <w:p w:rsidR="00D75E2F" w:rsidRDefault="0085095E">
            <w:pPr>
              <w:jc w:val="center"/>
            </w:pPr>
            <w:r>
              <w:rPr>
                <w:rFonts w:eastAsiaTheme="minorEastAsia"/>
                <w:kern w:val="0"/>
                <w:sz w:val="24"/>
                <w:szCs w:val="24"/>
              </w:rPr>
              <w:t>600869</w:t>
            </w:r>
          </w:p>
        </w:tc>
        <w:tc>
          <w:tcPr>
            <w:tcW w:w="1701" w:type="dxa"/>
            <w:vAlign w:val="center"/>
          </w:tcPr>
          <w:p w:rsidR="00D75E2F" w:rsidRDefault="0085095E">
            <w:pPr>
              <w:jc w:val="center"/>
            </w:pPr>
            <w:r>
              <w:rPr>
                <w:rFonts w:eastAsiaTheme="minorEastAsia"/>
                <w:kern w:val="0"/>
                <w:sz w:val="24"/>
                <w:szCs w:val="24"/>
              </w:rPr>
              <w:t>远东股份</w:t>
            </w:r>
          </w:p>
        </w:tc>
        <w:tc>
          <w:tcPr>
            <w:tcW w:w="1276" w:type="dxa"/>
            <w:vAlign w:val="center"/>
          </w:tcPr>
          <w:p w:rsidR="00D75E2F" w:rsidRDefault="0085095E">
            <w:pPr>
              <w:jc w:val="right"/>
            </w:pPr>
            <w:r>
              <w:rPr>
                <w:rFonts w:eastAsiaTheme="minorEastAsia"/>
                <w:kern w:val="0"/>
                <w:sz w:val="24"/>
                <w:szCs w:val="24"/>
              </w:rPr>
              <w:t>30,617,132.00</w:t>
            </w:r>
          </w:p>
        </w:tc>
        <w:tc>
          <w:tcPr>
            <w:tcW w:w="1842" w:type="dxa"/>
            <w:vAlign w:val="center"/>
          </w:tcPr>
          <w:p w:rsidR="00D75E2F" w:rsidRDefault="0085095E">
            <w:pPr>
              <w:jc w:val="right"/>
            </w:pPr>
            <w:r>
              <w:rPr>
                <w:rFonts w:eastAsiaTheme="minorEastAsia"/>
                <w:kern w:val="0"/>
                <w:sz w:val="24"/>
                <w:szCs w:val="24"/>
              </w:rPr>
              <w:t>154,616,516.60</w:t>
            </w:r>
          </w:p>
        </w:tc>
        <w:tc>
          <w:tcPr>
            <w:tcW w:w="1616" w:type="dxa"/>
            <w:vAlign w:val="center"/>
          </w:tcPr>
          <w:p w:rsidR="00D75E2F" w:rsidRDefault="0085095E">
            <w:pPr>
              <w:jc w:val="right"/>
            </w:pPr>
            <w:r>
              <w:rPr>
                <w:rFonts w:eastAsiaTheme="minorEastAsia"/>
                <w:kern w:val="0"/>
                <w:sz w:val="24"/>
                <w:szCs w:val="24"/>
              </w:rPr>
              <w:t>3.24</w:t>
            </w:r>
          </w:p>
        </w:tc>
      </w:tr>
      <w:tr w:rsidR="00D75E2F">
        <w:tc>
          <w:tcPr>
            <w:tcW w:w="817" w:type="dxa"/>
            <w:vAlign w:val="center"/>
          </w:tcPr>
          <w:p w:rsidR="00D75E2F" w:rsidRDefault="0085095E">
            <w:pPr>
              <w:jc w:val="center"/>
            </w:pPr>
            <w:r>
              <w:rPr>
                <w:rFonts w:eastAsiaTheme="minorEastAsia"/>
                <w:kern w:val="0"/>
                <w:sz w:val="24"/>
                <w:szCs w:val="24"/>
              </w:rPr>
              <w:t>10</w:t>
            </w:r>
          </w:p>
        </w:tc>
        <w:tc>
          <w:tcPr>
            <w:tcW w:w="1276" w:type="dxa"/>
            <w:vAlign w:val="center"/>
          </w:tcPr>
          <w:p w:rsidR="00D75E2F" w:rsidRDefault="0085095E">
            <w:pPr>
              <w:jc w:val="center"/>
            </w:pPr>
            <w:r>
              <w:rPr>
                <w:rFonts w:eastAsiaTheme="minorEastAsia"/>
                <w:kern w:val="0"/>
                <w:sz w:val="24"/>
                <w:szCs w:val="24"/>
              </w:rPr>
              <w:t>688567</w:t>
            </w:r>
          </w:p>
        </w:tc>
        <w:tc>
          <w:tcPr>
            <w:tcW w:w="1701" w:type="dxa"/>
            <w:vAlign w:val="center"/>
          </w:tcPr>
          <w:p w:rsidR="00D75E2F" w:rsidRDefault="0085095E">
            <w:pPr>
              <w:jc w:val="center"/>
            </w:pPr>
            <w:r>
              <w:rPr>
                <w:rFonts w:eastAsiaTheme="minorEastAsia"/>
                <w:kern w:val="0"/>
                <w:sz w:val="24"/>
                <w:szCs w:val="24"/>
              </w:rPr>
              <w:t>孚能科技</w:t>
            </w:r>
          </w:p>
        </w:tc>
        <w:tc>
          <w:tcPr>
            <w:tcW w:w="1276" w:type="dxa"/>
            <w:vAlign w:val="center"/>
          </w:tcPr>
          <w:p w:rsidR="00D75E2F" w:rsidRDefault="0085095E">
            <w:pPr>
              <w:jc w:val="right"/>
            </w:pPr>
            <w:r>
              <w:rPr>
                <w:rFonts w:eastAsiaTheme="minorEastAsia"/>
                <w:kern w:val="0"/>
                <w:sz w:val="24"/>
                <w:szCs w:val="24"/>
              </w:rPr>
              <w:t>5,420,107.00</w:t>
            </w:r>
          </w:p>
        </w:tc>
        <w:tc>
          <w:tcPr>
            <w:tcW w:w="1842" w:type="dxa"/>
            <w:vAlign w:val="center"/>
          </w:tcPr>
          <w:p w:rsidR="00D75E2F" w:rsidRDefault="0085095E">
            <w:pPr>
              <w:jc w:val="right"/>
            </w:pPr>
            <w:r>
              <w:rPr>
                <w:rFonts w:eastAsiaTheme="minorEastAsia"/>
                <w:kern w:val="0"/>
                <w:sz w:val="24"/>
                <w:szCs w:val="24"/>
              </w:rPr>
              <w:t>146,505,492.21</w:t>
            </w:r>
          </w:p>
        </w:tc>
        <w:tc>
          <w:tcPr>
            <w:tcW w:w="1616" w:type="dxa"/>
            <w:vAlign w:val="center"/>
          </w:tcPr>
          <w:p w:rsidR="00D75E2F" w:rsidRDefault="0085095E">
            <w:pPr>
              <w:jc w:val="right"/>
            </w:pPr>
            <w:r>
              <w:rPr>
                <w:rFonts w:eastAsiaTheme="minorEastAsia"/>
                <w:kern w:val="0"/>
                <w:sz w:val="24"/>
                <w:szCs w:val="24"/>
              </w:rPr>
              <w:t>3.07</w:t>
            </w:r>
          </w:p>
        </w:tc>
      </w:tr>
      <w:bookmarkEnd w:id="1"/>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tbl>
      <w:tblPr>
        <w:tblStyle w:val="aff4"/>
        <w:tblW w:w="8755" w:type="dxa"/>
        <w:jc w:val="center"/>
        <w:tblLayout w:type="fixed"/>
        <w:tblLook w:val="04A0" w:firstRow="1" w:lastRow="0" w:firstColumn="1" w:lastColumn="0" w:noHBand="0" w:noVBand="1"/>
      </w:tblPr>
      <w:tblGrid>
        <w:gridCol w:w="817"/>
        <w:gridCol w:w="3260"/>
        <w:gridCol w:w="2949"/>
        <w:gridCol w:w="1729"/>
      </w:tblGrid>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326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债券品种</w:t>
            </w:r>
          </w:p>
        </w:tc>
        <w:tc>
          <w:tcPr>
            <w:tcW w:w="294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国家债券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央行票据</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其中：政策性金融债</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企业债券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企业短期融资券</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中期票据</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可转债（可交换债）</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19,964,974.68</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0.42</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同业存单</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9</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其他</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81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10</w:t>
            </w:r>
          </w:p>
        </w:tc>
        <w:tc>
          <w:tcPr>
            <w:tcW w:w="3260"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合计</w:t>
            </w:r>
          </w:p>
        </w:tc>
        <w:tc>
          <w:tcPr>
            <w:tcW w:w="294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19,964,974.68</w:t>
            </w:r>
          </w:p>
        </w:tc>
        <w:tc>
          <w:tcPr>
            <w:tcW w:w="1729"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0.42</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tbl>
      <w:tblPr>
        <w:tblStyle w:val="aff4"/>
        <w:tblW w:w="8528" w:type="dxa"/>
        <w:tblLayout w:type="fixed"/>
        <w:tblLook w:val="04A0" w:firstRow="1" w:lastRow="0" w:firstColumn="1" w:lastColumn="0" w:noHBand="0" w:noVBand="1"/>
      </w:tblPr>
      <w:tblGrid>
        <w:gridCol w:w="1252"/>
        <w:gridCol w:w="1310"/>
        <w:gridCol w:w="1282"/>
        <w:gridCol w:w="1426"/>
        <w:gridCol w:w="1646"/>
        <w:gridCol w:w="1612"/>
      </w:tblGrid>
      <w:tr w:rsidR="00D06738" w:rsidRPr="00FF6B9A">
        <w:tc>
          <w:tcPr>
            <w:tcW w:w="125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131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债券代码</w:t>
            </w:r>
          </w:p>
        </w:tc>
        <w:tc>
          <w:tcPr>
            <w:tcW w:w="128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债券名称</w:t>
            </w:r>
          </w:p>
        </w:tc>
        <w:tc>
          <w:tcPr>
            <w:tcW w:w="1426"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数量</w:t>
            </w:r>
            <w:r w:rsidRPr="00FF6B9A">
              <w:rPr>
                <w:rFonts w:eastAsiaTheme="minorEastAsia"/>
                <w:color w:val="000000" w:themeColor="text1"/>
                <w:kern w:val="0"/>
              </w:rPr>
              <w:t>(</w:t>
            </w:r>
            <w:r w:rsidRPr="00FF6B9A">
              <w:rPr>
                <w:rFonts w:eastAsiaTheme="minorEastAsia"/>
                <w:color w:val="000000" w:themeColor="text1"/>
                <w:kern w:val="0"/>
              </w:rPr>
              <w:t>张</w:t>
            </w:r>
            <w:r w:rsidRPr="00FF6B9A">
              <w:rPr>
                <w:rFonts w:eastAsiaTheme="minorEastAsia"/>
                <w:color w:val="000000" w:themeColor="text1"/>
                <w:kern w:val="0"/>
              </w:rPr>
              <w:t>)</w:t>
            </w:r>
          </w:p>
        </w:tc>
        <w:tc>
          <w:tcPr>
            <w:tcW w:w="1646"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1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r w:rsidRPr="00FF6B9A">
              <w:rPr>
                <w:rFonts w:eastAsiaTheme="minorEastAsia"/>
                <w:color w:val="000000" w:themeColor="text1"/>
                <w:kern w:val="0"/>
              </w:rPr>
              <w:t>)</w:t>
            </w:r>
          </w:p>
        </w:tc>
      </w:tr>
      <w:tr w:rsidR="00D75E2F">
        <w:tc>
          <w:tcPr>
            <w:tcW w:w="1252" w:type="dxa"/>
            <w:vAlign w:val="center"/>
          </w:tcPr>
          <w:p w:rsidR="00D75E2F" w:rsidRDefault="0085095E">
            <w:pPr>
              <w:jc w:val="center"/>
            </w:pPr>
            <w:r>
              <w:rPr>
                <w:rFonts w:eastAsiaTheme="minorEastAsia"/>
                <w:color w:val="000000" w:themeColor="text1"/>
                <w:kern w:val="0"/>
              </w:rPr>
              <w:t>1</w:t>
            </w:r>
          </w:p>
        </w:tc>
        <w:tc>
          <w:tcPr>
            <w:tcW w:w="1310" w:type="dxa"/>
            <w:vAlign w:val="center"/>
          </w:tcPr>
          <w:p w:rsidR="00D75E2F" w:rsidRDefault="0085095E">
            <w:pPr>
              <w:jc w:val="center"/>
            </w:pPr>
            <w:r>
              <w:rPr>
                <w:rFonts w:eastAsiaTheme="minorEastAsia"/>
                <w:color w:val="000000" w:themeColor="text1"/>
                <w:kern w:val="0"/>
              </w:rPr>
              <w:t>110085</w:t>
            </w:r>
          </w:p>
        </w:tc>
        <w:tc>
          <w:tcPr>
            <w:tcW w:w="1282" w:type="dxa"/>
            <w:vAlign w:val="center"/>
          </w:tcPr>
          <w:p w:rsidR="00D75E2F" w:rsidRDefault="0085095E">
            <w:pPr>
              <w:jc w:val="center"/>
            </w:pPr>
            <w:r>
              <w:rPr>
                <w:rFonts w:eastAsiaTheme="minorEastAsia"/>
                <w:color w:val="000000" w:themeColor="text1"/>
                <w:kern w:val="0"/>
              </w:rPr>
              <w:t>通</w:t>
            </w:r>
            <w:r>
              <w:rPr>
                <w:rFonts w:eastAsiaTheme="minorEastAsia"/>
                <w:color w:val="000000" w:themeColor="text1"/>
                <w:kern w:val="0"/>
              </w:rPr>
              <w:t>22</w:t>
            </w:r>
            <w:r>
              <w:rPr>
                <w:rFonts w:eastAsiaTheme="minorEastAsia"/>
                <w:color w:val="000000" w:themeColor="text1"/>
                <w:kern w:val="0"/>
              </w:rPr>
              <w:t>转债</w:t>
            </w:r>
          </w:p>
        </w:tc>
        <w:tc>
          <w:tcPr>
            <w:tcW w:w="1426" w:type="dxa"/>
            <w:vAlign w:val="center"/>
          </w:tcPr>
          <w:p w:rsidR="00D75E2F" w:rsidRDefault="0085095E">
            <w:pPr>
              <w:jc w:val="right"/>
            </w:pPr>
            <w:r>
              <w:rPr>
                <w:rFonts w:eastAsiaTheme="minorEastAsia"/>
                <w:color w:val="000000" w:themeColor="text1"/>
                <w:kern w:val="0"/>
              </w:rPr>
              <w:t>134,180</w:t>
            </w:r>
          </w:p>
        </w:tc>
        <w:tc>
          <w:tcPr>
            <w:tcW w:w="1646" w:type="dxa"/>
            <w:vAlign w:val="center"/>
          </w:tcPr>
          <w:p w:rsidR="00D75E2F" w:rsidRDefault="0085095E">
            <w:pPr>
              <w:jc w:val="right"/>
            </w:pPr>
            <w:r>
              <w:rPr>
                <w:rFonts w:eastAsiaTheme="minorEastAsia"/>
                <w:color w:val="000000" w:themeColor="text1"/>
                <w:kern w:val="0"/>
              </w:rPr>
              <w:t>15,992,421.59</w:t>
            </w:r>
          </w:p>
        </w:tc>
        <w:tc>
          <w:tcPr>
            <w:tcW w:w="1612" w:type="dxa"/>
            <w:vAlign w:val="center"/>
          </w:tcPr>
          <w:p w:rsidR="00D75E2F" w:rsidRDefault="0085095E">
            <w:pPr>
              <w:jc w:val="right"/>
            </w:pPr>
            <w:r>
              <w:rPr>
                <w:rFonts w:eastAsiaTheme="minorEastAsia"/>
                <w:color w:val="000000" w:themeColor="text1"/>
                <w:kern w:val="0"/>
              </w:rPr>
              <w:t>0.34</w:t>
            </w:r>
          </w:p>
        </w:tc>
      </w:tr>
      <w:tr w:rsidR="00D75E2F">
        <w:tc>
          <w:tcPr>
            <w:tcW w:w="1252" w:type="dxa"/>
            <w:vAlign w:val="center"/>
          </w:tcPr>
          <w:p w:rsidR="00D75E2F" w:rsidRDefault="0085095E">
            <w:pPr>
              <w:jc w:val="center"/>
            </w:pPr>
            <w:r>
              <w:rPr>
                <w:rFonts w:eastAsiaTheme="minorEastAsia"/>
                <w:color w:val="000000" w:themeColor="text1"/>
                <w:kern w:val="0"/>
              </w:rPr>
              <w:t>2</w:t>
            </w:r>
          </w:p>
        </w:tc>
        <w:tc>
          <w:tcPr>
            <w:tcW w:w="1310" w:type="dxa"/>
            <w:vAlign w:val="center"/>
          </w:tcPr>
          <w:p w:rsidR="00D75E2F" w:rsidRDefault="0085095E">
            <w:pPr>
              <w:jc w:val="center"/>
            </w:pPr>
            <w:r>
              <w:rPr>
                <w:rFonts w:eastAsiaTheme="minorEastAsia"/>
                <w:color w:val="000000" w:themeColor="text1"/>
                <w:kern w:val="0"/>
              </w:rPr>
              <w:t>118005</w:t>
            </w:r>
          </w:p>
        </w:tc>
        <w:tc>
          <w:tcPr>
            <w:tcW w:w="1282" w:type="dxa"/>
            <w:vAlign w:val="center"/>
          </w:tcPr>
          <w:p w:rsidR="00D75E2F" w:rsidRDefault="0085095E">
            <w:pPr>
              <w:jc w:val="center"/>
            </w:pPr>
            <w:r>
              <w:rPr>
                <w:rFonts w:eastAsiaTheme="minorEastAsia"/>
                <w:color w:val="000000" w:themeColor="text1"/>
                <w:kern w:val="0"/>
              </w:rPr>
              <w:t>天奈转债</w:t>
            </w:r>
          </w:p>
        </w:tc>
        <w:tc>
          <w:tcPr>
            <w:tcW w:w="1426" w:type="dxa"/>
            <w:vAlign w:val="center"/>
          </w:tcPr>
          <w:p w:rsidR="00D75E2F" w:rsidRDefault="0085095E">
            <w:pPr>
              <w:jc w:val="right"/>
            </w:pPr>
            <w:r>
              <w:rPr>
                <w:rFonts w:eastAsiaTheme="minorEastAsia"/>
                <w:color w:val="000000" w:themeColor="text1"/>
                <w:kern w:val="0"/>
              </w:rPr>
              <w:t>37,840</w:t>
            </w:r>
          </w:p>
        </w:tc>
        <w:tc>
          <w:tcPr>
            <w:tcW w:w="1646" w:type="dxa"/>
            <w:vAlign w:val="center"/>
          </w:tcPr>
          <w:p w:rsidR="00D75E2F" w:rsidRDefault="0085095E">
            <w:pPr>
              <w:jc w:val="right"/>
            </w:pPr>
            <w:r>
              <w:rPr>
                <w:rFonts w:eastAsiaTheme="minorEastAsia"/>
                <w:color w:val="000000" w:themeColor="text1"/>
                <w:kern w:val="0"/>
              </w:rPr>
              <w:t>3,972,553.09</w:t>
            </w:r>
          </w:p>
        </w:tc>
        <w:tc>
          <w:tcPr>
            <w:tcW w:w="1612" w:type="dxa"/>
            <w:vAlign w:val="center"/>
          </w:tcPr>
          <w:p w:rsidR="00D75E2F" w:rsidRDefault="0085095E">
            <w:pPr>
              <w:jc w:val="right"/>
            </w:pPr>
            <w:r>
              <w:rPr>
                <w:rFonts w:eastAsiaTheme="minorEastAsia"/>
                <w:color w:val="000000" w:themeColor="text1"/>
                <w:kern w:val="0"/>
              </w:rPr>
              <w:t>0.08</w:t>
            </w:r>
          </w:p>
        </w:tc>
      </w:tr>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本基金投资的前十名证券的发行主体本期未出现被监管部门立案调查，或在报告编制日前一年内受到公开谴责、处罚的情形。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tc>
          <w:tcPr>
            <w:tcW w:w="123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694,820.35</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185,765.32</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880,585.67</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tbl>
      <w:tblPr>
        <w:tblStyle w:val="aff4"/>
        <w:tblW w:w="8513" w:type="dxa"/>
        <w:tblInd w:w="15" w:type="dxa"/>
        <w:tblLayout w:type="fixed"/>
        <w:tblLook w:val="04A0" w:firstRow="1" w:lastRow="0" w:firstColumn="1" w:lastColumn="0" w:noHBand="0" w:noVBand="1"/>
      </w:tblPr>
      <w:tblGrid>
        <w:gridCol w:w="1808"/>
        <w:gridCol w:w="1729"/>
        <w:gridCol w:w="1658"/>
        <w:gridCol w:w="1697"/>
        <w:gridCol w:w="1621"/>
      </w:tblGrid>
      <w:tr w:rsidR="00D06738" w:rsidRPr="00FF6B9A">
        <w:tc>
          <w:tcPr>
            <w:tcW w:w="1808"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172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债券代码</w:t>
            </w:r>
          </w:p>
        </w:tc>
        <w:tc>
          <w:tcPr>
            <w:tcW w:w="1658"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债券名称</w:t>
            </w:r>
          </w:p>
        </w:tc>
        <w:tc>
          <w:tcPr>
            <w:tcW w:w="16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21"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p>
        </w:tc>
      </w:tr>
      <w:tr w:rsidR="00D75E2F">
        <w:tc>
          <w:tcPr>
            <w:tcW w:w="1808" w:type="dxa"/>
            <w:vAlign w:val="center"/>
          </w:tcPr>
          <w:p w:rsidR="00D75E2F" w:rsidRDefault="0085095E">
            <w:pPr>
              <w:jc w:val="center"/>
            </w:pPr>
            <w:r>
              <w:rPr>
                <w:rFonts w:eastAsiaTheme="minorEastAsia"/>
                <w:color w:val="000000" w:themeColor="text1"/>
                <w:kern w:val="0"/>
              </w:rPr>
              <w:t>1</w:t>
            </w:r>
          </w:p>
        </w:tc>
        <w:tc>
          <w:tcPr>
            <w:tcW w:w="1729" w:type="dxa"/>
            <w:vAlign w:val="center"/>
          </w:tcPr>
          <w:p w:rsidR="00D75E2F" w:rsidRDefault="0085095E">
            <w:pPr>
              <w:jc w:val="center"/>
            </w:pPr>
            <w:r>
              <w:rPr>
                <w:rFonts w:eastAsiaTheme="minorEastAsia"/>
                <w:color w:val="000000" w:themeColor="text1"/>
                <w:kern w:val="0"/>
              </w:rPr>
              <w:t>110085</w:t>
            </w:r>
          </w:p>
        </w:tc>
        <w:tc>
          <w:tcPr>
            <w:tcW w:w="1658" w:type="dxa"/>
            <w:vAlign w:val="center"/>
          </w:tcPr>
          <w:p w:rsidR="00D75E2F" w:rsidRDefault="0085095E">
            <w:pPr>
              <w:jc w:val="center"/>
            </w:pPr>
            <w:r>
              <w:rPr>
                <w:rFonts w:eastAsiaTheme="minorEastAsia"/>
                <w:color w:val="000000" w:themeColor="text1"/>
                <w:kern w:val="0"/>
              </w:rPr>
              <w:t>通</w:t>
            </w:r>
            <w:r>
              <w:rPr>
                <w:rFonts w:eastAsiaTheme="minorEastAsia"/>
                <w:color w:val="000000" w:themeColor="text1"/>
                <w:kern w:val="0"/>
              </w:rPr>
              <w:t>22</w:t>
            </w:r>
            <w:r>
              <w:rPr>
                <w:rFonts w:eastAsiaTheme="minorEastAsia"/>
                <w:color w:val="000000" w:themeColor="text1"/>
                <w:kern w:val="0"/>
              </w:rPr>
              <w:t>转债</w:t>
            </w:r>
          </w:p>
        </w:tc>
        <w:tc>
          <w:tcPr>
            <w:tcW w:w="1697" w:type="dxa"/>
            <w:vAlign w:val="center"/>
          </w:tcPr>
          <w:p w:rsidR="00D75E2F" w:rsidRDefault="0085095E">
            <w:pPr>
              <w:jc w:val="right"/>
            </w:pPr>
            <w:r>
              <w:rPr>
                <w:rFonts w:eastAsiaTheme="minorEastAsia"/>
                <w:color w:val="000000" w:themeColor="text1"/>
                <w:kern w:val="0"/>
              </w:rPr>
              <w:t>15,992,421.59</w:t>
            </w:r>
          </w:p>
        </w:tc>
        <w:tc>
          <w:tcPr>
            <w:tcW w:w="1621" w:type="dxa"/>
            <w:vAlign w:val="center"/>
          </w:tcPr>
          <w:p w:rsidR="00D75E2F" w:rsidRDefault="0085095E">
            <w:pPr>
              <w:jc w:val="right"/>
            </w:pPr>
            <w:r>
              <w:rPr>
                <w:rFonts w:eastAsiaTheme="minorEastAsia"/>
                <w:color w:val="000000" w:themeColor="text1"/>
                <w:kern w:val="0"/>
              </w:rPr>
              <w:t>0.34</w:t>
            </w:r>
          </w:p>
        </w:tc>
      </w:tr>
      <w:tr w:rsidR="00D75E2F">
        <w:tc>
          <w:tcPr>
            <w:tcW w:w="1808" w:type="dxa"/>
            <w:vAlign w:val="center"/>
          </w:tcPr>
          <w:p w:rsidR="00D75E2F" w:rsidRDefault="0085095E">
            <w:pPr>
              <w:jc w:val="center"/>
            </w:pPr>
            <w:r>
              <w:rPr>
                <w:rFonts w:eastAsiaTheme="minorEastAsia"/>
                <w:color w:val="000000" w:themeColor="text1"/>
                <w:kern w:val="0"/>
              </w:rPr>
              <w:t>2</w:t>
            </w:r>
          </w:p>
        </w:tc>
        <w:tc>
          <w:tcPr>
            <w:tcW w:w="1729" w:type="dxa"/>
            <w:vAlign w:val="center"/>
          </w:tcPr>
          <w:p w:rsidR="00D75E2F" w:rsidRDefault="0085095E">
            <w:pPr>
              <w:jc w:val="center"/>
            </w:pPr>
            <w:r>
              <w:rPr>
                <w:rFonts w:eastAsiaTheme="minorEastAsia"/>
                <w:color w:val="000000" w:themeColor="text1"/>
                <w:kern w:val="0"/>
              </w:rPr>
              <w:t>118005</w:t>
            </w:r>
          </w:p>
        </w:tc>
        <w:tc>
          <w:tcPr>
            <w:tcW w:w="1658" w:type="dxa"/>
            <w:vAlign w:val="center"/>
          </w:tcPr>
          <w:p w:rsidR="00D75E2F" w:rsidRDefault="0085095E">
            <w:pPr>
              <w:jc w:val="center"/>
            </w:pPr>
            <w:r>
              <w:rPr>
                <w:rFonts w:eastAsiaTheme="minorEastAsia"/>
                <w:color w:val="000000" w:themeColor="text1"/>
                <w:kern w:val="0"/>
              </w:rPr>
              <w:t>天奈转债</w:t>
            </w:r>
          </w:p>
        </w:tc>
        <w:tc>
          <w:tcPr>
            <w:tcW w:w="1697" w:type="dxa"/>
            <w:vAlign w:val="center"/>
          </w:tcPr>
          <w:p w:rsidR="00D75E2F" w:rsidRDefault="0085095E">
            <w:pPr>
              <w:jc w:val="right"/>
            </w:pPr>
            <w:r>
              <w:rPr>
                <w:rFonts w:eastAsiaTheme="minorEastAsia"/>
                <w:color w:val="000000" w:themeColor="text1"/>
                <w:kern w:val="0"/>
              </w:rPr>
              <w:t>3,972,553.09</w:t>
            </w:r>
          </w:p>
        </w:tc>
        <w:tc>
          <w:tcPr>
            <w:tcW w:w="1621" w:type="dxa"/>
            <w:vAlign w:val="center"/>
          </w:tcPr>
          <w:p w:rsidR="00D75E2F" w:rsidRDefault="0085095E">
            <w:pPr>
              <w:jc w:val="right"/>
            </w:pPr>
            <w:r>
              <w:rPr>
                <w:rFonts w:eastAsiaTheme="minorEastAsia"/>
                <w:color w:val="000000" w:themeColor="text1"/>
                <w:kern w:val="0"/>
              </w:rPr>
              <w:t>0.08</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tbl>
      <w:tblPr>
        <w:tblStyle w:val="aff4"/>
        <w:tblW w:w="8513" w:type="dxa"/>
        <w:tblInd w:w="15" w:type="dxa"/>
        <w:tblLayout w:type="fixed"/>
        <w:tblLook w:val="04A0" w:firstRow="1" w:lastRow="0" w:firstColumn="1" w:lastColumn="0" w:noHBand="0" w:noVBand="1"/>
      </w:tblPr>
      <w:tblGrid>
        <w:gridCol w:w="1083"/>
        <w:gridCol w:w="1302"/>
        <w:gridCol w:w="1301"/>
        <w:gridCol w:w="1805"/>
        <w:gridCol w:w="1655"/>
        <w:gridCol w:w="1367"/>
      </w:tblGrid>
      <w:tr w:rsidR="00D06738" w:rsidRPr="00FF6B9A">
        <w:tc>
          <w:tcPr>
            <w:tcW w:w="108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1302"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股票代码</w:t>
            </w:r>
          </w:p>
        </w:tc>
        <w:tc>
          <w:tcPr>
            <w:tcW w:w="1301"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股票名称</w:t>
            </w:r>
          </w:p>
        </w:tc>
        <w:tc>
          <w:tcPr>
            <w:tcW w:w="1805"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流通受限部分的公允价值</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655"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p>
        </w:tc>
        <w:tc>
          <w:tcPr>
            <w:tcW w:w="136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流通受限情况说明</w:t>
            </w:r>
          </w:p>
        </w:tc>
      </w:tr>
      <w:tr w:rsidR="00D75E2F">
        <w:tc>
          <w:tcPr>
            <w:tcW w:w="1083" w:type="dxa"/>
            <w:vAlign w:val="center"/>
          </w:tcPr>
          <w:p w:rsidR="00D75E2F" w:rsidRDefault="0085095E">
            <w:pPr>
              <w:jc w:val="center"/>
            </w:pPr>
            <w:r>
              <w:rPr>
                <w:rFonts w:eastAsiaTheme="minorEastAsia"/>
                <w:color w:val="000000" w:themeColor="text1"/>
                <w:kern w:val="0"/>
              </w:rPr>
              <w:t>1</w:t>
            </w:r>
          </w:p>
        </w:tc>
        <w:tc>
          <w:tcPr>
            <w:tcW w:w="1302" w:type="dxa"/>
            <w:vAlign w:val="center"/>
          </w:tcPr>
          <w:p w:rsidR="00D75E2F" w:rsidRDefault="0085095E">
            <w:pPr>
              <w:jc w:val="center"/>
            </w:pPr>
            <w:r>
              <w:rPr>
                <w:rFonts w:eastAsiaTheme="minorEastAsia"/>
                <w:color w:val="000000" w:themeColor="text1"/>
                <w:kern w:val="0"/>
              </w:rPr>
              <w:t>600481</w:t>
            </w:r>
          </w:p>
        </w:tc>
        <w:tc>
          <w:tcPr>
            <w:tcW w:w="1301" w:type="dxa"/>
            <w:vAlign w:val="center"/>
          </w:tcPr>
          <w:p w:rsidR="00D75E2F" w:rsidRDefault="0085095E">
            <w:pPr>
              <w:jc w:val="center"/>
            </w:pPr>
            <w:r>
              <w:rPr>
                <w:rFonts w:eastAsiaTheme="minorEastAsia"/>
                <w:color w:val="000000" w:themeColor="text1"/>
                <w:kern w:val="0"/>
              </w:rPr>
              <w:t>双良节能</w:t>
            </w:r>
          </w:p>
        </w:tc>
        <w:tc>
          <w:tcPr>
            <w:tcW w:w="1805" w:type="dxa"/>
            <w:vAlign w:val="center"/>
          </w:tcPr>
          <w:p w:rsidR="00D75E2F" w:rsidRDefault="0085095E">
            <w:pPr>
              <w:jc w:val="right"/>
            </w:pPr>
            <w:r>
              <w:rPr>
                <w:rFonts w:eastAsiaTheme="minorEastAsia"/>
                <w:color w:val="000000" w:themeColor="text1"/>
                <w:kern w:val="0"/>
              </w:rPr>
              <w:t>57,898,186.96</w:t>
            </w:r>
          </w:p>
        </w:tc>
        <w:tc>
          <w:tcPr>
            <w:tcW w:w="1655" w:type="dxa"/>
            <w:vAlign w:val="center"/>
          </w:tcPr>
          <w:p w:rsidR="00D75E2F" w:rsidRDefault="0085095E">
            <w:pPr>
              <w:jc w:val="right"/>
            </w:pPr>
            <w:r>
              <w:rPr>
                <w:rFonts w:eastAsiaTheme="minorEastAsia"/>
                <w:color w:val="000000" w:themeColor="text1"/>
                <w:kern w:val="0"/>
              </w:rPr>
              <w:t>1.21</w:t>
            </w:r>
          </w:p>
        </w:tc>
        <w:tc>
          <w:tcPr>
            <w:tcW w:w="1367" w:type="dxa"/>
            <w:vAlign w:val="center"/>
          </w:tcPr>
          <w:p w:rsidR="00D75E2F" w:rsidRDefault="0085095E">
            <w:pPr>
              <w:jc w:val="right"/>
            </w:pPr>
            <w:r>
              <w:rPr>
                <w:rFonts w:eastAsiaTheme="minorEastAsia"/>
                <w:color w:val="000000" w:themeColor="text1"/>
                <w:kern w:val="0"/>
              </w:rPr>
              <w:t>非公开发行限售</w:t>
            </w:r>
          </w:p>
        </w:tc>
      </w:tr>
      <w:tr w:rsidR="00D75E2F">
        <w:tc>
          <w:tcPr>
            <w:tcW w:w="1083" w:type="dxa"/>
            <w:vAlign w:val="center"/>
          </w:tcPr>
          <w:p w:rsidR="00D75E2F" w:rsidRDefault="0085095E">
            <w:pPr>
              <w:jc w:val="center"/>
            </w:pPr>
            <w:r>
              <w:rPr>
                <w:rFonts w:eastAsiaTheme="minorEastAsia"/>
                <w:color w:val="000000" w:themeColor="text1"/>
                <w:kern w:val="0"/>
              </w:rPr>
              <w:t>2</w:t>
            </w:r>
          </w:p>
        </w:tc>
        <w:tc>
          <w:tcPr>
            <w:tcW w:w="1302" w:type="dxa"/>
            <w:vAlign w:val="center"/>
          </w:tcPr>
          <w:p w:rsidR="00D75E2F" w:rsidRDefault="0085095E">
            <w:pPr>
              <w:jc w:val="center"/>
            </w:pPr>
            <w:r>
              <w:rPr>
                <w:rFonts w:eastAsiaTheme="minorEastAsia"/>
                <w:color w:val="000000" w:themeColor="text1"/>
                <w:kern w:val="0"/>
              </w:rPr>
              <w:t>300390</w:t>
            </w:r>
          </w:p>
        </w:tc>
        <w:tc>
          <w:tcPr>
            <w:tcW w:w="1301" w:type="dxa"/>
            <w:vAlign w:val="center"/>
          </w:tcPr>
          <w:p w:rsidR="00D75E2F" w:rsidRDefault="0085095E">
            <w:pPr>
              <w:jc w:val="center"/>
            </w:pPr>
            <w:r>
              <w:rPr>
                <w:rFonts w:eastAsiaTheme="minorEastAsia"/>
                <w:color w:val="000000" w:themeColor="text1"/>
                <w:kern w:val="0"/>
              </w:rPr>
              <w:t>天华超净</w:t>
            </w:r>
          </w:p>
        </w:tc>
        <w:tc>
          <w:tcPr>
            <w:tcW w:w="1805" w:type="dxa"/>
            <w:vAlign w:val="center"/>
          </w:tcPr>
          <w:p w:rsidR="00D75E2F" w:rsidRDefault="0085095E">
            <w:pPr>
              <w:jc w:val="right"/>
            </w:pPr>
            <w:r>
              <w:rPr>
                <w:rFonts w:eastAsiaTheme="minorEastAsia"/>
                <w:color w:val="000000" w:themeColor="text1"/>
                <w:kern w:val="0"/>
              </w:rPr>
              <w:t>57,309,152.16</w:t>
            </w:r>
          </w:p>
        </w:tc>
        <w:tc>
          <w:tcPr>
            <w:tcW w:w="1655" w:type="dxa"/>
            <w:vAlign w:val="center"/>
          </w:tcPr>
          <w:p w:rsidR="00D75E2F" w:rsidRDefault="0085095E">
            <w:pPr>
              <w:jc w:val="right"/>
            </w:pPr>
            <w:r>
              <w:rPr>
                <w:rFonts w:eastAsiaTheme="minorEastAsia"/>
                <w:color w:val="000000" w:themeColor="text1"/>
                <w:kern w:val="0"/>
              </w:rPr>
              <w:t>1.20</w:t>
            </w:r>
          </w:p>
        </w:tc>
        <w:tc>
          <w:tcPr>
            <w:tcW w:w="1367" w:type="dxa"/>
            <w:vAlign w:val="center"/>
          </w:tcPr>
          <w:p w:rsidR="00D75E2F" w:rsidRDefault="0085095E">
            <w:pPr>
              <w:jc w:val="right"/>
            </w:pPr>
            <w:r>
              <w:rPr>
                <w:rFonts w:eastAsiaTheme="minorEastAsia"/>
                <w:color w:val="000000" w:themeColor="text1"/>
                <w:kern w:val="0"/>
              </w:rPr>
              <w:t>非公开发行限售</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因四舍五入原因，投资组合报告中分项之和与合计可能存在尾差。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6,413,010,211.95</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14,646,083.54</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6,427,656,295.49</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t>无。</w:t>
      </w:r>
    </w:p>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8.1 </w:t>
      </w:r>
      <w:r w:rsidRPr="00FF6B9A">
        <w:rPr>
          <w:rFonts w:eastAsiaTheme="minorEastAsia"/>
          <w:b/>
          <w:bCs/>
          <w:color w:val="000000" w:themeColor="text1"/>
          <w:kern w:val="0"/>
          <w:sz w:val="24"/>
          <w:szCs w:val="24"/>
        </w:rPr>
        <w:t>备查文件目录</w:t>
      </w:r>
    </w:p>
    <w:p w:rsidR="00D75E2F" w:rsidRDefault="0085095E">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一</w:t>
      </w:r>
      <w:r>
        <w:rPr>
          <w:rFonts w:eastAsiaTheme="minorEastAsia"/>
          <w:color w:val="000000" w:themeColor="text1"/>
        </w:rPr>
        <w:t>)</w:t>
      </w:r>
      <w:r>
        <w:rPr>
          <w:rFonts w:eastAsiaTheme="minorEastAsia"/>
          <w:color w:val="000000" w:themeColor="text1"/>
        </w:rPr>
        <w:t>中国证监会准予上投摩根远见两年持有期混合型证券投资基金募集注册的文件</w:t>
      </w:r>
    </w:p>
    <w:p w:rsidR="00D75E2F" w:rsidRDefault="0085095E">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二</w:t>
      </w:r>
      <w:r>
        <w:rPr>
          <w:rFonts w:eastAsiaTheme="minorEastAsia"/>
          <w:color w:val="000000" w:themeColor="text1"/>
        </w:rPr>
        <w:t>)</w:t>
      </w:r>
      <w:r>
        <w:rPr>
          <w:rFonts w:eastAsiaTheme="minorEastAsia"/>
          <w:color w:val="000000" w:themeColor="text1"/>
        </w:rPr>
        <w:t>上投摩根远见两年持有期混合型证券投资基金基金合同</w:t>
      </w:r>
    </w:p>
    <w:p w:rsidR="00D75E2F" w:rsidRDefault="0085095E">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三</w:t>
      </w:r>
      <w:r>
        <w:rPr>
          <w:rFonts w:eastAsiaTheme="minorEastAsia"/>
          <w:color w:val="000000" w:themeColor="text1"/>
        </w:rPr>
        <w:t>)</w:t>
      </w:r>
      <w:r>
        <w:rPr>
          <w:rFonts w:eastAsiaTheme="minorEastAsia"/>
          <w:color w:val="000000" w:themeColor="text1"/>
        </w:rPr>
        <w:t>上投摩根远见两年持有期混合型证券投资基金托管协议</w:t>
      </w:r>
    </w:p>
    <w:p w:rsidR="00D75E2F" w:rsidRDefault="0085095E">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四</w:t>
      </w:r>
      <w:r>
        <w:rPr>
          <w:rFonts w:eastAsiaTheme="minorEastAsia"/>
          <w:color w:val="000000" w:themeColor="text1"/>
        </w:rPr>
        <w:t>)</w:t>
      </w:r>
      <w:r>
        <w:rPr>
          <w:rFonts w:eastAsiaTheme="minorEastAsia"/>
          <w:color w:val="000000" w:themeColor="text1"/>
        </w:rPr>
        <w:t>法律意见书</w:t>
      </w:r>
    </w:p>
    <w:p w:rsidR="00D75E2F" w:rsidRDefault="0085095E">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五</w:t>
      </w:r>
      <w:r>
        <w:rPr>
          <w:rFonts w:eastAsiaTheme="minorEastAsia"/>
          <w:color w:val="000000" w:themeColor="text1"/>
        </w:rPr>
        <w:t>)</w:t>
      </w:r>
      <w:r>
        <w:rPr>
          <w:rFonts w:eastAsiaTheme="minorEastAsia"/>
          <w:color w:val="000000" w:themeColor="text1"/>
        </w:rPr>
        <w:t>基金管理人业务资格批件、营业执照</w:t>
      </w:r>
    </w:p>
    <w:p w:rsidR="00D75E2F" w:rsidRDefault="0085095E">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六</w:t>
      </w:r>
      <w:r>
        <w:rPr>
          <w:rFonts w:eastAsiaTheme="minorEastAsia"/>
          <w:color w:val="000000" w:themeColor="text1"/>
        </w:rPr>
        <w:t>)</w:t>
      </w:r>
      <w:r>
        <w:rPr>
          <w:rFonts w:eastAsiaTheme="minorEastAsia"/>
          <w:color w:val="000000" w:themeColor="text1"/>
        </w:rPr>
        <w:t>基金托管人业务资格批件、营业执照</w:t>
      </w:r>
    </w:p>
    <w:p w:rsidR="00D75E2F" w:rsidRDefault="0085095E">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七</w:t>
      </w:r>
      <w:r>
        <w:rPr>
          <w:rFonts w:eastAsiaTheme="minorEastAsia"/>
          <w:color w:val="000000" w:themeColor="text1"/>
        </w:rPr>
        <w:t>)</w:t>
      </w:r>
      <w:r>
        <w:rPr>
          <w:rFonts w:eastAsiaTheme="minorEastAsia"/>
          <w:color w:val="000000" w:themeColor="text1"/>
        </w:rPr>
        <w:t>上投摩根基金管理有限公司开放式基金业务规则</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w:t>
      </w:r>
      <w:r w:rsidRPr="00FF6B9A">
        <w:rPr>
          <w:rFonts w:eastAsiaTheme="minorEastAsia"/>
          <w:color w:val="000000" w:themeColor="text1"/>
        </w:rPr>
        <w:t>八</w:t>
      </w:r>
      <w:r w:rsidRPr="00FF6B9A">
        <w:rPr>
          <w:rFonts w:eastAsiaTheme="minorEastAsia"/>
          <w:color w:val="000000" w:themeColor="text1"/>
        </w:rPr>
        <w:t>)</w:t>
      </w:r>
      <w:r w:rsidRPr="00FF6B9A">
        <w:rPr>
          <w:rFonts w:eastAsiaTheme="minorEastAsia"/>
          <w:color w:val="000000" w:themeColor="text1"/>
        </w:rPr>
        <w:t>中国证监会要求的其他文件</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基金管理人或基金托管人处。</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上投摩根基金管理有限公司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二〇二三年一月二十日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159" w:rsidRDefault="00EB2159">
      <w:r>
        <w:separator/>
      </w:r>
    </w:p>
  </w:endnote>
  <w:endnote w:type="continuationSeparator" w:id="0">
    <w:p w:rsidR="00EB2159" w:rsidRDefault="00EB2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85095E" w:rsidRPr="0085095E">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85095E">
      <w:rPr>
        <w:rStyle w:val="aff"/>
        <w:noProof/>
      </w:rPr>
      <w:t>2</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159" w:rsidRDefault="00EB2159">
      <w:r>
        <w:separator/>
      </w:r>
    </w:p>
  </w:footnote>
  <w:footnote w:type="continuationSeparator" w:id="0">
    <w:p w:rsidR="00EB2159" w:rsidRDefault="00EB2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上投摩根远见两年持有期混合型证券投资基金</w:t>
    </w:r>
    <w:r>
      <w:rPr>
        <w:rFonts w:hint="eastAsia"/>
      </w:rPr>
      <w:t>2022</w:t>
    </w:r>
    <w:r>
      <w:rPr>
        <w:rFonts w:hint="eastAsia"/>
      </w:rPr>
      <w:t>年第</w:t>
    </w:r>
    <w:r>
      <w:rPr>
        <w:rFonts w:hint="eastAsia"/>
      </w:rPr>
      <w:t>4</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44FA"/>
    <w:rsid w:val="00837845"/>
    <w:rsid w:val="008442C4"/>
    <w:rsid w:val="00846739"/>
    <w:rsid w:val="0085095E"/>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5FD5"/>
    <w:rsid w:val="00CA7703"/>
    <w:rsid w:val="00CB0F92"/>
    <w:rsid w:val="00CD4E6D"/>
    <w:rsid w:val="00CD5707"/>
    <w:rsid w:val="00CD7702"/>
    <w:rsid w:val="00CE29EA"/>
    <w:rsid w:val="00CF6572"/>
    <w:rsid w:val="00D02347"/>
    <w:rsid w:val="00D04755"/>
    <w:rsid w:val="00D06738"/>
    <w:rsid w:val="00D13737"/>
    <w:rsid w:val="00D14A0D"/>
    <w:rsid w:val="00D1638E"/>
    <w:rsid w:val="00D21FFF"/>
    <w:rsid w:val="00D272A5"/>
    <w:rsid w:val="00D43AFB"/>
    <w:rsid w:val="00D53190"/>
    <w:rsid w:val="00D57B7C"/>
    <w:rsid w:val="00D65B44"/>
    <w:rsid w:val="00D75E2F"/>
    <w:rsid w:val="00D8099B"/>
    <w:rsid w:val="00D866A8"/>
    <w:rsid w:val="00D92F47"/>
    <w:rsid w:val="00D94B8D"/>
    <w:rsid w:val="00D967D3"/>
    <w:rsid w:val="00D96C8D"/>
    <w:rsid w:val="00DA2876"/>
    <w:rsid w:val="00DB24D4"/>
    <w:rsid w:val="00DC0B51"/>
    <w:rsid w:val="00DE27F7"/>
    <w:rsid w:val="00E44E18"/>
    <w:rsid w:val="00E54301"/>
    <w:rsid w:val="00E55ABD"/>
    <w:rsid w:val="00E60817"/>
    <w:rsid w:val="00E71F78"/>
    <w:rsid w:val="00E90C35"/>
    <w:rsid w:val="00EA70F1"/>
    <w:rsid w:val="00EB2159"/>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8DD600-C3EA-4546-B290-15D2E1AE0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1198</Words>
  <Characters>6830</Characters>
  <Application>Microsoft Office Word</Application>
  <DocSecurity>0</DocSecurity>
  <Lines>56</Lines>
  <Paragraphs>16</Paragraphs>
  <ScaleCrop>false</ScaleCrop>
  <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Olivia.Gu@FA</cp:lastModifiedBy>
  <cp:revision>269</cp:revision>
  <dcterms:created xsi:type="dcterms:W3CDTF">2012-10-16T06:07:00Z</dcterms:created>
  <dcterms:modified xsi:type="dcterms:W3CDTF">2023-01-19T06:04:00Z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