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摩根远见两年持有期混合型证券投资基金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2023</w:t>
      </w:r>
      <w:r w:rsidRPr="00FF6B9A">
        <w:rPr>
          <w:rFonts w:eastAsiaTheme="minorEastAsia"/>
          <w:b/>
          <w:color w:val="000000" w:themeColor="text1"/>
          <w:sz w:val="36"/>
          <w:szCs w:val="36"/>
        </w:rPr>
        <w:t>年第</w:t>
      </w:r>
      <w:r w:rsidRPr="00FF6B9A">
        <w:rPr>
          <w:rFonts w:eastAsiaTheme="minorEastAsia"/>
          <w:b/>
          <w:color w:val="000000" w:themeColor="text1"/>
          <w:sz w:val="36"/>
          <w:szCs w:val="36"/>
        </w:rPr>
        <w:t>3</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2023</w:t>
      </w:r>
      <w:r w:rsidRPr="00FF6B9A">
        <w:rPr>
          <w:rFonts w:eastAsiaTheme="minorEastAsia"/>
          <w:b/>
          <w:color w:val="000000" w:themeColor="text1"/>
          <w:sz w:val="36"/>
          <w:szCs w:val="36"/>
        </w:rPr>
        <w:t>年</w:t>
      </w:r>
      <w:r w:rsidRPr="00FF6B9A">
        <w:rPr>
          <w:rFonts w:eastAsiaTheme="minorEastAsia"/>
          <w:b/>
          <w:color w:val="000000" w:themeColor="text1"/>
          <w:sz w:val="36"/>
          <w:szCs w:val="36"/>
        </w:rPr>
        <w:t>9</w:t>
      </w:r>
      <w:r w:rsidRPr="00FF6B9A">
        <w:rPr>
          <w:rFonts w:eastAsiaTheme="minorEastAsia"/>
          <w:b/>
          <w:color w:val="000000" w:themeColor="text1"/>
          <w:sz w:val="36"/>
          <w:szCs w:val="36"/>
        </w:rPr>
        <w:t>月</w:t>
      </w:r>
      <w:r w:rsidRPr="00FF6B9A">
        <w:rPr>
          <w:rFonts w:eastAsiaTheme="minorEastAsia"/>
          <w:b/>
          <w:color w:val="000000" w:themeColor="text1"/>
          <w:sz w:val="36"/>
          <w:szCs w:val="36"/>
        </w:rPr>
        <w:t>30</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基金管理人：摩根基金管理（中国）有限公司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报告送出日期：二〇二三年十月二十五日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C027A9" w:rsidRDefault="00BA173D">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C027A9" w:rsidRDefault="00BA173D">
      <w:pPr>
        <w:spacing w:line="360" w:lineRule="auto"/>
        <w:ind w:firstLineChars="200" w:firstLine="420"/>
        <w:rPr>
          <w:rFonts w:eastAsiaTheme="minorEastAsia"/>
          <w:color w:val="000000" w:themeColor="text1"/>
        </w:rPr>
      </w:pPr>
      <w:r>
        <w:rPr>
          <w:rFonts w:eastAsiaTheme="minorEastAsia"/>
          <w:color w:val="000000" w:themeColor="text1"/>
        </w:rPr>
        <w:t>基金托管人中国银行股份有限公司根据本基金合同规定，于</w:t>
      </w:r>
      <w:r>
        <w:rPr>
          <w:rFonts w:eastAsiaTheme="minorEastAsia"/>
          <w:color w:val="000000" w:themeColor="text1"/>
        </w:rPr>
        <w:t>2023</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w:t>
      </w:r>
      <w:r>
        <w:rPr>
          <w:rFonts w:eastAsiaTheme="minorEastAsia"/>
          <w:color w:val="000000" w:themeColor="text1"/>
        </w:rPr>
        <w:t>24</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C027A9" w:rsidRDefault="00BA173D">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C027A9" w:rsidRDefault="00BA173D">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C027A9" w:rsidRDefault="00BA173D">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2023</w:t>
      </w:r>
      <w:r w:rsidRPr="00FF6B9A">
        <w:rPr>
          <w:rFonts w:eastAsiaTheme="minorEastAsia"/>
          <w:color w:val="000000" w:themeColor="text1"/>
        </w:rPr>
        <w:t>年</w:t>
      </w:r>
      <w:r w:rsidRPr="00FF6B9A">
        <w:rPr>
          <w:rFonts w:eastAsiaTheme="minorEastAsia"/>
          <w:color w:val="000000" w:themeColor="text1"/>
        </w:rPr>
        <w:t>7</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9</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摩根远见两年持有期混合</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010610</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010610</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2021</w:t>
            </w:r>
            <w:r w:rsidRPr="00FF6B9A">
              <w:rPr>
                <w:rFonts w:eastAsiaTheme="minorEastAsia"/>
                <w:color w:val="000000" w:themeColor="text1"/>
                <w:kern w:val="0"/>
              </w:rPr>
              <w:t>年</w:t>
            </w:r>
            <w:r w:rsidRPr="00FF6B9A">
              <w:rPr>
                <w:rFonts w:eastAsiaTheme="minorEastAsia"/>
                <w:color w:val="000000" w:themeColor="text1"/>
                <w:kern w:val="0"/>
              </w:rPr>
              <w:t>1</w:t>
            </w:r>
            <w:r w:rsidRPr="00FF6B9A">
              <w:rPr>
                <w:rFonts w:eastAsiaTheme="minorEastAsia"/>
                <w:color w:val="000000" w:themeColor="text1"/>
                <w:kern w:val="0"/>
              </w:rPr>
              <w:t>月</w:t>
            </w:r>
            <w:r w:rsidRPr="00FF6B9A">
              <w:rPr>
                <w:rFonts w:eastAsiaTheme="minorEastAsia"/>
                <w:color w:val="000000" w:themeColor="text1"/>
                <w:kern w:val="0"/>
              </w:rPr>
              <w:t>11</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5,433,389,355.42</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采用定量及定性研究方法，通过自上而下资产配置与自下而上精选个股相结合，基于严格的风险控制，力争实现基金资产的长期增值。</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C027A9" w:rsidRDefault="00BA173D">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rsidR="00C027A9" w:rsidRDefault="00BA173D">
            <w:pPr>
              <w:adjustRightInd w:val="0"/>
              <w:spacing w:before="29" w:line="360" w:lineRule="auto"/>
              <w:ind w:left="17"/>
              <w:rPr>
                <w:rFonts w:eastAsiaTheme="minorEastAsia"/>
                <w:color w:val="000000" w:themeColor="text1"/>
              </w:rPr>
            </w:pPr>
            <w:r>
              <w:rPr>
                <w:rFonts w:eastAsiaTheme="minorEastAsia"/>
                <w:color w:val="000000" w:themeColor="text1"/>
                <w:kern w:val="0"/>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rPr>
              <w:t xml:space="preserve"> </w:t>
            </w:r>
            <w:r>
              <w:rPr>
                <w:rFonts w:eastAsiaTheme="minorEastAsia"/>
                <w:color w:val="000000" w:themeColor="text1"/>
                <w:kern w:val="0"/>
              </w:rPr>
              <w:lastRenderedPageBreak/>
              <w:t xml:space="preserve">GDP </w:t>
            </w:r>
            <w:r>
              <w:rPr>
                <w:rFonts w:eastAsiaTheme="minorEastAsia"/>
                <w:color w:val="000000" w:themeColor="text1"/>
                <w:kern w:val="0"/>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C027A9" w:rsidRDefault="00BA173D">
            <w:pPr>
              <w:adjustRightInd w:val="0"/>
              <w:spacing w:before="29" w:line="360" w:lineRule="auto"/>
              <w:ind w:left="17"/>
              <w:rPr>
                <w:rFonts w:eastAsiaTheme="minorEastAsia"/>
                <w:color w:val="000000" w:themeColor="text1"/>
              </w:rPr>
            </w:pPr>
            <w:r>
              <w:rPr>
                <w:rFonts w:eastAsiaTheme="minorEastAsia"/>
                <w:color w:val="000000" w:themeColor="text1"/>
                <w:kern w:val="0"/>
              </w:rPr>
              <w:t>在控制风险的前提下，本基金将优先配置股票资产，本基金股票资产占基金资产的投资比例为</w:t>
            </w:r>
            <w:r>
              <w:rPr>
                <w:rFonts w:eastAsiaTheme="minorEastAsia"/>
                <w:color w:val="000000" w:themeColor="text1"/>
                <w:kern w:val="0"/>
              </w:rPr>
              <w:t>60%-95%</w:t>
            </w:r>
            <w:r>
              <w:rPr>
                <w:rFonts w:eastAsiaTheme="minorEastAsia"/>
                <w:color w:val="000000" w:themeColor="text1"/>
                <w:kern w:val="0"/>
              </w:rPr>
              <w:t>，其中港股通标的股票的投资比例不超过基金资产的</w:t>
            </w:r>
            <w:r>
              <w:rPr>
                <w:rFonts w:eastAsiaTheme="minorEastAsia"/>
                <w:color w:val="000000" w:themeColor="text1"/>
                <w:kern w:val="0"/>
              </w:rPr>
              <w:t>30%</w:t>
            </w:r>
            <w:r>
              <w:rPr>
                <w:rFonts w:eastAsiaTheme="minorEastAsia"/>
                <w:color w:val="000000" w:themeColor="text1"/>
                <w:kern w:val="0"/>
              </w:rPr>
              <w:t>，且不超过股票资产的</w:t>
            </w:r>
            <w:r>
              <w:rPr>
                <w:rFonts w:eastAsiaTheme="minorEastAsia"/>
                <w:color w:val="000000" w:themeColor="text1"/>
                <w:kern w:val="0"/>
              </w:rPr>
              <w:t>50%</w:t>
            </w:r>
            <w:r>
              <w:rPr>
                <w:rFonts w:eastAsiaTheme="minorEastAsia"/>
                <w:color w:val="000000" w:themeColor="text1"/>
                <w:kern w:val="0"/>
              </w:rPr>
              <w:t>。</w:t>
            </w:r>
          </w:p>
          <w:p w:rsidR="00C027A9" w:rsidRDefault="00BA173D">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、股票投资策略</w:t>
            </w:r>
          </w:p>
          <w:p w:rsidR="00C027A9" w:rsidRDefault="00BA173D">
            <w:pPr>
              <w:adjustRightInd w:val="0"/>
              <w:spacing w:before="29" w:line="360" w:lineRule="auto"/>
              <w:ind w:left="17"/>
              <w:rPr>
                <w:rFonts w:eastAsiaTheme="minorEastAsia"/>
                <w:color w:val="000000" w:themeColor="text1"/>
              </w:rPr>
            </w:pPr>
            <w:r>
              <w:rPr>
                <w:rFonts w:eastAsiaTheme="minorEastAsia"/>
                <w:color w:val="000000" w:themeColor="text1"/>
                <w:kern w:val="0"/>
              </w:rPr>
              <w:t>本基金坚持</w:t>
            </w:r>
            <w:r>
              <w:rPr>
                <w:rFonts w:eastAsiaTheme="minorEastAsia"/>
                <w:color w:val="000000" w:themeColor="text1"/>
                <w:kern w:val="0"/>
              </w:rPr>
              <w:t>“</w:t>
            </w:r>
            <w:r>
              <w:rPr>
                <w:rFonts w:eastAsiaTheme="minorEastAsia"/>
                <w:color w:val="000000" w:themeColor="text1"/>
                <w:kern w:val="0"/>
              </w:rPr>
              <w:t>挖掘优势行业高成长个股</w:t>
            </w:r>
            <w:r>
              <w:rPr>
                <w:rFonts w:eastAsiaTheme="minorEastAsia"/>
                <w:color w:val="000000" w:themeColor="text1"/>
                <w:kern w:val="0"/>
              </w:rPr>
              <w:t>”</w:t>
            </w:r>
            <w:r>
              <w:rPr>
                <w:rFonts w:eastAsiaTheme="minorEastAsia"/>
                <w:color w:val="000000" w:themeColor="text1"/>
                <w:kern w:val="0"/>
              </w:rPr>
              <w:t>的选股理念，依托基金管理人的研究平台，自上而下形成行业配置观点，选择中长期有较大发展空间的优势行业进行重点配置；同时自下而上形成个股配置观点，挖掘并灵活投资于各行业中最具有投资价值和成长性的上市公司；通过行业配置与个股选择，获取超越业绩比较基准的超额收益。</w:t>
            </w:r>
          </w:p>
          <w:p w:rsidR="00C027A9" w:rsidRDefault="00BA173D">
            <w:pPr>
              <w:adjustRightInd w:val="0"/>
              <w:spacing w:before="29" w:line="360" w:lineRule="auto"/>
              <w:ind w:left="17"/>
              <w:rPr>
                <w:rFonts w:eastAsiaTheme="minorEastAsia"/>
                <w:color w:val="000000" w:themeColor="text1"/>
              </w:rPr>
            </w:pPr>
            <w:r>
              <w:rPr>
                <w:rFonts w:eastAsiaTheme="minorEastAsia"/>
                <w:color w:val="000000" w:themeColor="text1"/>
                <w:kern w:val="0"/>
              </w:rPr>
              <w:t>3</w:t>
            </w:r>
            <w:r>
              <w:rPr>
                <w:rFonts w:eastAsiaTheme="minorEastAsia"/>
                <w:color w:val="000000" w:themeColor="text1"/>
                <w:kern w:val="0"/>
              </w:rPr>
              <w:t>、港股投资策略</w:t>
            </w:r>
          </w:p>
          <w:p w:rsidR="00C027A9" w:rsidRDefault="00BA173D">
            <w:pPr>
              <w:adjustRightInd w:val="0"/>
              <w:spacing w:before="29" w:line="360" w:lineRule="auto"/>
              <w:ind w:left="17"/>
              <w:rPr>
                <w:rFonts w:eastAsiaTheme="minorEastAsia"/>
                <w:color w:val="000000" w:themeColor="text1"/>
              </w:rPr>
            </w:pPr>
            <w:r>
              <w:rPr>
                <w:rFonts w:eastAsiaTheme="minorEastAsia"/>
                <w:color w:val="000000" w:themeColor="text1"/>
                <w:kern w:val="0"/>
              </w:rPr>
              <w:t>本基金可通过内地与香港股票市场交易互联互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C027A9" w:rsidRDefault="00BA173D">
            <w:pPr>
              <w:adjustRightInd w:val="0"/>
              <w:spacing w:before="29" w:line="360" w:lineRule="auto"/>
              <w:ind w:left="17"/>
              <w:rPr>
                <w:rFonts w:eastAsiaTheme="minorEastAsia"/>
                <w:color w:val="000000" w:themeColor="text1"/>
              </w:rPr>
            </w:pPr>
            <w:r>
              <w:rPr>
                <w:rFonts w:eastAsiaTheme="minorEastAsia"/>
                <w:color w:val="000000" w:themeColor="text1"/>
                <w:kern w:val="0"/>
              </w:rPr>
              <w:t>本基金将自上而下地甄选行业，通过对行业政策、景气度、估值吸引力比较、市场预期等标准确定行业配置方案，并通过自下而上方法分析个股，结合各项定量和定性指标挑选出最具上涨潜力的标的。</w:t>
            </w:r>
          </w:p>
          <w:p w:rsidR="00C027A9" w:rsidRDefault="00BA173D">
            <w:pPr>
              <w:adjustRightInd w:val="0"/>
              <w:spacing w:before="29" w:line="360" w:lineRule="auto"/>
              <w:ind w:left="17"/>
              <w:rPr>
                <w:rFonts w:eastAsiaTheme="minorEastAsia"/>
                <w:color w:val="000000" w:themeColor="text1"/>
              </w:rPr>
            </w:pPr>
            <w:r>
              <w:rPr>
                <w:rFonts w:eastAsiaTheme="minorEastAsia"/>
                <w:color w:val="000000" w:themeColor="text1"/>
                <w:kern w:val="0"/>
              </w:rPr>
              <w:t>4</w:t>
            </w:r>
            <w:r>
              <w:rPr>
                <w:rFonts w:eastAsiaTheme="minorEastAsia"/>
                <w:color w:val="000000" w:themeColor="text1"/>
                <w:kern w:val="0"/>
              </w:rPr>
              <w:t>、债券投资策略</w:t>
            </w:r>
          </w:p>
          <w:p w:rsidR="00C027A9" w:rsidRDefault="00BA173D">
            <w:pPr>
              <w:adjustRightInd w:val="0"/>
              <w:spacing w:before="29" w:line="360" w:lineRule="auto"/>
              <w:ind w:left="17"/>
              <w:rPr>
                <w:rFonts w:eastAsiaTheme="minorEastAsia"/>
                <w:color w:val="000000" w:themeColor="text1"/>
              </w:rPr>
            </w:pPr>
            <w:r>
              <w:rPr>
                <w:rFonts w:eastAsiaTheme="minorEastAsia"/>
                <w:color w:val="000000" w:themeColor="text1"/>
                <w:kern w:val="0"/>
              </w:rPr>
              <w:lastRenderedPageBreak/>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C027A9" w:rsidRDefault="00BA173D">
            <w:pPr>
              <w:adjustRightInd w:val="0"/>
              <w:spacing w:before="29" w:line="360" w:lineRule="auto"/>
              <w:ind w:left="17"/>
              <w:rPr>
                <w:rFonts w:eastAsiaTheme="minorEastAsia"/>
                <w:color w:val="000000" w:themeColor="text1"/>
              </w:rPr>
            </w:pPr>
            <w:r>
              <w:rPr>
                <w:rFonts w:eastAsiaTheme="minorEastAsia"/>
                <w:color w:val="000000" w:themeColor="text1"/>
                <w:kern w:val="0"/>
              </w:rPr>
              <w:t>5</w:t>
            </w:r>
            <w:r>
              <w:rPr>
                <w:rFonts w:eastAsiaTheme="minorEastAsia"/>
                <w:color w:val="000000" w:themeColor="text1"/>
                <w:kern w:val="0"/>
              </w:rPr>
              <w:t>、其他投资策略</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包括股指期货投资策略、资产支持证券投资策略、股票期权投资策略、证券公司短期公司债券投资策略、存托凭证投资策略。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w:t>
            </w:r>
            <w:r w:rsidRPr="00FF6B9A">
              <w:rPr>
                <w:rFonts w:eastAsiaTheme="minorEastAsia"/>
                <w:color w:val="000000" w:themeColor="text1"/>
                <w:kern w:val="0"/>
              </w:rPr>
              <w:t>800</w:t>
            </w:r>
            <w:r w:rsidRPr="00FF6B9A">
              <w:rPr>
                <w:rFonts w:eastAsiaTheme="minorEastAsia"/>
                <w:color w:val="000000" w:themeColor="text1"/>
                <w:kern w:val="0"/>
              </w:rPr>
              <w:t>指数收益率</w:t>
            </w:r>
            <w:r w:rsidRPr="00FF6B9A">
              <w:rPr>
                <w:rFonts w:eastAsiaTheme="minorEastAsia"/>
                <w:color w:val="000000" w:themeColor="text1"/>
                <w:kern w:val="0"/>
              </w:rPr>
              <w:t>*75%+</w:t>
            </w:r>
            <w:r w:rsidRPr="00FF6B9A">
              <w:rPr>
                <w:rFonts w:eastAsiaTheme="minorEastAsia"/>
                <w:color w:val="000000" w:themeColor="text1"/>
                <w:kern w:val="0"/>
              </w:rPr>
              <w:t>中证港股通指数收益率</w:t>
            </w:r>
            <w:r w:rsidRPr="00FF6B9A">
              <w:rPr>
                <w:rFonts w:eastAsiaTheme="minorEastAsia"/>
                <w:color w:val="000000" w:themeColor="text1"/>
                <w:kern w:val="0"/>
              </w:rPr>
              <w:t>*10%+</w:t>
            </w:r>
            <w:r w:rsidRPr="00FF6B9A">
              <w:rPr>
                <w:rFonts w:eastAsiaTheme="minorEastAsia"/>
                <w:color w:val="000000" w:themeColor="text1"/>
                <w:kern w:val="0"/>
              </w:rPr>
              <w:t>上证国债指数收益率</w:t>
            </w:r>
            <w:r w:rsidRPr="00FF6B9A">
              <w:rPr>
                <w:rFonts w:eastAsiaTheme="minorEastAsia"/>
                <w:color w:val="000000" w:themeColor="text1"/>
                <w:kern w:val="0"/>
              </w:rPr>
              <w:t>*15%</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本基金属于混合型基金产品，预期风险和收益水平高于债券型基金和货币市场基金，低于股票型基金。</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摩根基金管理（中国）有限公司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BA173D" w:rsidRPr="00FF6B9A" w:rsidTr="00BA173D">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(2023</w:t>
            </w:r>
            <w:r w:rsidRPr="00FF6B9A">
              <w:rPr>
                <w:rFonts w:eastAsiaTheme="minorEastAsia"/>
                <w:color w:val="000000" w:themeColor="text1"/>
              </w:rPr>
              <w:t>年</w:t>
            </w:r>
            <w:r w:rsidRPr="00FF6B9A">
              <w:rPr>
                <w:rFonts w:eastAsiaTheme="minorEastAsia"/>
                <w:color w:val="000000" w:themeColor="text1"/>
              </w:rPr>
              <w:t>7</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-2023</w:t>
            </w:r>
            <w:r w:rsidRPr="00FF6B9A">
              <w:rPr>
                <w:rFonts w:eastAsiaTheme="minorEastAsia"/>
                <w:color w:val="000000" w:themeColor="text1"/>
              </w:rPr>
              <w:t>年</w:t>
            </w:r>
            <w:r w:rsidRPr="00FF6B9A">
              <w:rPr>
                <w:rFonts w:eastAsiaTheme="minorEastAsia"/>
                <w:color w:val="000000" w:themeColor="text1"/>
              </w:rPr>
              <w:t>9</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w:t>
            </w:r>
            <w:r w:rsidRPr="00FF6B9A">
              <w:rPr>
                <w:rFonts w:eastAsiaTheme="minorEastAsia"/>
                <w:color w:val="000000" w:themeColor="text1"/>
              </w:rPr>
              <w:t>)</w:t>
            </w:r>
          </w:p>
        </w:tc>
      </w:tr>
      <w:tr w:rsidR="00BA173D" w:rsidRPr="00FF6B9A" w:rsidTr="00BA173D">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-220,710,442.97</w:t>
            </w:r>
          </w:p>
        </w:tc>
      </w:tr>
      <w:tr w:rsidR="00BA173D" w:rsidRPr="00FF6B9A" w:rsidTr="00BA173D">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-758,978,411.68</w:t>
            </w:r>
          </w:p>
        </w:tc>
      </w:tr>
      <w:tr w:rsidR="00BA173D" w:rsidRPr="00FF6B9A" w:rsidTr="00BA173D">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-0.1370</w:t>
            </w:r>
          </w:p>
        </w:tc>
      </w:tr>
      <w:tr w:rsidR="00BA173D" w:rsidRPr="00FF6B9A" w:rsidTr="00BA173D">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3,668,890,272.77</w:t>
            </w:r>
          </w:p>
        </w:tc>
      </w:tr>
      <w:tr w:rsidR="00BA173D" w:rsidRPr="00FF6B9A" w:rsidTr="00BA173D">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0.6752</w:t>
            </w:r>
          </w:p>
        </w:tc>
      </w:tr>
    </w:tbl>
    <w:p w:rsidR="00C027A9" w:rsidRDefault="00BA173D">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lastRenderedPageBreak/>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323AD6">
        <w:tc>
          <w:tcPr>
            <w:tcW w:w="1395" w:type="dxa"/>
            <w:vAlign w:val="center"/>
          </w:tcPr>
          <w:p w:rsidR="00323AD6" w:rsidRDefault="00323AD6" w:rsidP="00323AD6">
            <w:pPr>
              <w:jc w:val="left"/>
            </w:pPr>
            <w:r>
              <w:rPr>
                <w:rFonts w:eastAsiaTheme="minorEastAsia"/>
                <w:color w:val="000000" w:themeColor="text1"/>
                <w:kern w:val="0"/>
              </w:rPr>
              <w:t>过去三个月</w:t>
            </w:r>
          </w:p>
        </w:tc>
        <w:tc>
          <w:tcPr>
            <w:tcW w:w="1092" w:type="dxa"/>
            <w:vAlign w:val="center"/>
          </w:tcPr>
          <w:p w:rsidR="00323AD6" w:rsidRDefault="00323AD6" w:rsidP="00323AD6">
            <w:pPr>
              <w:jc w:val="center"/>
            </w:pPr>
            <w:r>
              <w:rPr>
                <w:rFonts w:eastAsiaTheme="minorEastAsia"/>
                <w:color w:val="000000" w:themeColor="text1"/>
                <w:kern w:val="0"/>
              </w:rPr>
              <w:t>-16.80%</w:t>
            </w:r>
          </w:p>
        </w:tc>
        <w:tc>
          <w:tcPr>
            <w:tcW w:w="1161" w:type="dxa"/>
            <w:vAlign w:val="center"/>
          </w:tcPr>
          <w:p w:rsidR="00323AD6" w:rsidRDefault="00323AD6" w:rsidP="00323AD6">
            <w:pPr>
              <w:jc w:val="center"/>
            </w:pPr>
            <w:r>
              <w:rPr>
                <w:rFonts w:eastAsiaTheme="minorEastAsia"/>
                <w:color w:val="000000" w:themeColor="text1"/>
                <w:kern w:val="0"/>
              </w:rPr>
              <w:t>1.68%</w:t>
            </w:r>
          </w:p>
        </w:tc>
        <w:tc>
          <w:tcPr>
            <w:tcW w:w="1181" w:type="dxa"/>
            <w:vAlign w:val="center"/>
          </w:tcPr>
          <w:p w:rsidR="00323AD6" w:rsidRDefault="00323AD6" w:rsidP="00323AD6">
            <w:pPr>
              <w:jc w:val="center"/>
            </w:pPr>
            <w:r>
              <w:rPr>
                <w:rFonts w:eastAsiaTheme="minorEastAsia"/>
                <w:color w:val="000000" w:themeColor="text1"/>
                <w:kern w:val="0"/>
              </w:rPr>
              <w:t>-3.63%</w:t>
            </w:r>
          </w:p>
        </w:tc>
        <w:tc>
          <w:tcPr>
            <w:tcW w:w="1188" w:type="dxa"/>
            <w:vAlign w:val="center"/>
          </w:tcPr>
          <w:p w:rsidR="00323AD6" w:rsidRDefault="00323AD6" w:rsidP="00323AD6">
            <w:pPr>
              <w:jc w:val="center"/>
            </w:pPr>
            <w:r>
              <w:rPr>
                <w:rFonts w:eastAsiaTheme="minorEastAsia"/>
                <w:color w:val="000000" w:themeColor="text1"/>
                <w:kern w:val="0"/>
              </w:rPr>
              <w:t>0.75%</w:t>
            </w:r>
          </w:p>
        </w:tc>
        <w:tc>
          <w:tcPr>
            <w:tcW w:w="1199" w:type="dxa"/>
            <w:vAlign w:val="center"/>
          </w:tcPr>
          <w:p w:rsidR="00323AD6" w:rsidRDefault="00323AD6" w:rsidP="00323AD6">
            <w:pPr>
              <w:jc w:val="center"/>
            </w:pPr>
            <w:r>
              <w:rPr>
                <w:rFonts w:eastAsiaTheme="minorEastAsia"/>
                <w:color w:val="000000" w:themeColor="text1"/>
                <w:kern w:val="0"/>
              </w:rPr>
              <w:t>-13.17%</w:t>
            </w:r>
          </w:p>
        </w:tc>
        <w:tc>
          <w:tcPr>
            <w:tcW w:w="1204" w:type="dxa"/>
            <w:vAlign w:val="center"/>
          </w:tcPr>
          <w:p w:rsidR="00323AD6" w:rsidRDefault="00323AD6" w:rsidP="00323AD6">
            <w:pPr>
              <w:jc w:val="center"/>
            </w:pPr>
            <w:r>
              <w:rPr>
                <w:rFonts w:eastAsiaTheme="minorEastAsia"/>
                <w:color w:val="000000" w:themeColor="text1"/>
                <w:kern w:val="0"/>
              </w:rPr>
              <w:t>0.93%</w:t>
            </w:r>
          </w:p>
        </w:tc>
      </w:tr>
      <w:tr w:rsidR="00323AD6">
        <w:tc>
          <w:tcPr>
            <w:tcW w:w="1395" w:type="dxa"/>
            <w:vAlign w:val="center"/>
          </w:tcPr>
          <w:p w:rsidR="00323AD6" w:rsidRDefault="00323AD6" w:rsidP="00323AD6">
            <w:pPr>
              <w:jc w:val="left"/>
            </w:pPr>
            <w:r>
              <w:rPr>
                <w:rFonts w:eastAsiaTheme="minorEastAsia"/>
                <w:color w:val="000000" w:themeColor="text1"/>
                <w:kern w:val="0"/>
              </w:rPr>
              <w:t>过去六个月</w:t>
            </w:r>
          </w:p>
        </w:tc>
        <w:tc>
          <w:tcPr>
            <w:tcW w:w="1092" w:type="dxa"/>
            <w:vAlign w:val="center"/>
          </w:tcPr>
          <w:p w:rsidR="00323AD6" w:rsidRDefault="00323AD6" w:rsidP="00323AD6">
            <w:pPr>
              <w:jc w:val="center"/>
            </w:pPr>
            <w:r>
              <w:rPr>
                <w:rFonts w:eastAsiaTheme="minorEastAsia"/>
                <w:color w:val="000000" w:themeColor="text1"/>
                <w:kern w:val="0"/>
              </w:rPr>
              <w:t>-10.21%</w:t>
            </w:r>
          </w:p>
        </w:tc>
        <w:tc>
          <w:tcPr>
            <w:tcW w:w="1161" w:type="dxa"/>
            <w:vAlign w:val="center"/>
          </w:tcPr>
          <w:p w:rsidR="00323AD6" w:rsidRDefault="00323AD6" w:rsidP="00323AD6">
            <w:pPr>
              <w:jc w:val="center"/>
            </w:pPr>
            <w:r>
              <w:rPr>
                <w:rFonts w:eastAsiaTheme="minorEastAsia"/>
                <w:color w:val="000000" w:themeColor="text1"/>
                <w:kern w:val="0"/>
              </w:rPr>
              <w:t>1.75%</w:t>
            </w:r>
          </w:p>
        </w:tc>
        <w:tc>
          <w:tcPr>
            <w:tcW w:w="1181" w:type="dxa"/>
            <w:vAlign w:val="center"/>
          </w:tcPr>
          <w:p w:rsidR="00323AD6" w:rsidRDefault="00323AD6" w:rsidP="00323AD6">
            <w:pPr>
              <w:jc w:val="center"/>
            </w:pPr>
            <w:r>
              <w:rPr>
                <w:rFonts w:eastAsiaTheme="minorEastAsia"/>
                <w:color w:val="000000" w:themeColor="text1"/>
                <w:kern w:val="0"/>
              </w:rPr>
              <w:t>-7.27%</w:t>
            </w:r>
          </w:p>
        </w:tc>
        <w:tc>
          <w:tcPr>
            <w:tcW w:w="1188" w:type="dxa"/>
            <w:vAlign w:val="center"/>
          </w:tcPr>
          <w:p w:rsidR="00323AD6" w:rsidRDefault="00323AD6" w:rsidP="00323AD6">
            <w:pPr>
              <w:jc w:val="center"/>
            </w:pPr>
            <w:r>
              <w:rPr>
                <w:rFonts w:eastAsiaTheme="minorEastAsia"/>
                <w:color w:val="000000" w:themeColor="text1"/>
                <w:kern w:val="0"/>
              </w:rPr>
              <w:t>0.71%</w:t>
            </w:r>
          </w:p>
        </w:tc>
        <w:tc>
          <w:tcPr>
            <w:tcW w:w="1199" w:type="dxa"/>
            <w:vAlign w:val="center"/>
          </w:tcPr>
          <w:p w:rsidR="00323AD6" w:rsidRDefault="00323AD6" w:rsidP="00323AD6">
            <w:pPr>
              <w:jc w:val="center"/>
            </w:pPr>
            <w:r>
              <w:rPr>
                <w:rFonts w:eastAsiaTheme="minorEastAsia"/>
                <w:color w:val="000000" w:themeColor="text1"/>
                <w:kern w:val="0"/>
              </w:rPr>
              <w:t>-2.94%</w:t>
            </w:r>
          </w:p>
        </w:tc>
        <w:tc>
          <w:tcPr>
            <w:tcW w:w="1204" w:type="dxa"/>
            <w:vAlign w:val="center"/>
          </w:tcPr>
          <w:p w:rsidR="00323AD6" w:rsidRDefault="00323AD6" w:rsidP="00323AD6">
            <w:pPr>
              <w:jc w:val="center"/>
            </w:pPr>
            <w:r>
              <w:rPr>
                <w:rFonts w:eastAsiaTheme="minorEastAsia"/>
                <w:color w:val="000000" w:themeColor="text1"/>
                <w:kern w:val="0"/>
              </w:rPr>
              <w:t>1.04%</w:t>
            </w:r>
          </w:p>
        </w:tc>
      </w:tr>
      <w:tr w:rsidR="00323AD6">
        <w:tc>
          <w:tcPr>
            <w:tcW w:w="1395" w:type="dxa"/>
            <w:vAlign w:val="center"/>
          </w:tcPr>
          <w:p w:rsidR="00323AD6" w:rsidRDefault="00323AD6" w:rsidP="00323AD6">
            <w:pPr>
              <w:jc w:val="left"/>
            </w:pPr>
            <w:r>
              <w:rPr>
                <w:rFonts w:eastAsiaTheme="minorEastAsia"/>
                <w:color w:val="000000" w:themeColor="text1"/>
                <w:kern w:val="0"/>
              </w:rPr>
              <w:t>过去一年</w:t>
            </w:r>
          </w:p>
        </w:tc>
        <w:tc>
          <w:tcPr>
            <w:tcW w:w="1092" w:type="dxa"/>
            <w:vAlign w:val="center"/>
          </w:tcPr>
          <w:p w:rsidR="00323AD6" w:rsidRDefault="00323AD6" w:rsidP="00323AD6">
            <w:pPr>
              <w:jc w:val="center"/>
            </w:pPr>
            <w:r>
              <w:rPr>
                <w:rFonts w:eastAsiaTheme="minorEastAsia"/>
                <w:color w:val="000000" w:themeColor="text1"/>
                <w:kern w:val="0"/>
              </w:rPr>
              <w:t>-15.66%</w:t>
            </w:r>
          </w:p>
        </w:tc>
        <w:tc>
          <w:tcPr>
            <w:tcW w:w="1161" w:type="dxa"/>
            <w:vAlign w:val="center"/>
          </w:tcPr>
          <w:p w:rsidR="00323AD6" w:rsidRDefault="00323AD6" w:rsidP="00323AD6">
            <w:pPr>
              <w:jc w:val="center"/>
            </w:pPr>
            <w:r>
              <w:rPr>
                <w:rFonts w:eastAsiaTheme="minorEastAsia"/>
                <w:color w:val="000000" w:themeColor="text1"/>
                <w:kern w:val="0"/>
              </w:rPr>
              <w:t>1.53%</w:t>
            </w:r>
          </w:p>
        </w:tc>
        <w:tc>
          <w:tcPr>
            <w:tcW w:w="1181" w:type="dxa"/>
            <w:vAlign w:val="center"/>
          </w:tcPr>
          <w:p w:rsidR="00323AD6" w:rsidRDefault="00323AD6" w:rsidP="00323AD6">
            <w:pPr>
              <w:jc w:val="center"/>
            </w:pPr>
            <w:r>
              <w:rPr>
                <w:rFonts w:eastAsiaTheme="minorEastAsia"/>
                <w:color w:val="000000" w:themeColor="text1"/>
                <w:kern w:val="0"/>
              </w:rPr>
              <w:t>-0.52%</w:t>
            </w:r>
          </w:p>
        </w:tc>
        <w:tc>
          <w:tcPr>
            <w:tcW w:w="1188" w:type="dxa"/>
            <w:vAlign w:val="center"/>
          </w:tcPr>
          <w:p w:rsidR="00323AD6" w:rsidRDefault="00323AD6" w:rsidP="00323AD6">
            <w:pPr>
              <w:jc w:val="center"/>
            </w:pPr>
            <w:r>
              <w:rPr>
                <w:rFonts w:eastAsiaTheme="minorEastAsia"/>
                <w:color w:val="000000" w:themeColor="text1"/>
                <w:kern w:val="0"/>
              </w:rPr>
              <w:t>0.80%</w:t>
            </w:r>
          </w:p>
        </w:tc>
        <w:tc>
          <w:tcPr>
            <w:tcW w:w="1199" w:type="dxa"/>
            <w:vAlign w:val="center"/>
          </w:tcPr>
          <w:p w:rsidR="00323AD6" w:rsidRDefault="00323AD6" w:rsidP="00323AD6">
            <w:pPr>
              <w:jc w:val="center"/>
            </w:pPr>
            <w:r>
              <w:rPr>
                <w:rFonts w:eastAsiaTheme="minorEastAsia"/>
                <w:color w:val="000000" w:themeColor="text1"/>
                <w:kern w:val="0"/>
              </w:rPr>
              <w:t>-15.14%</w:t>
            </w:r>
          </w:p>
        </w:tc>
        <w:tc>
          <w:tcPr>
            <w:tcW w:w="1204" w:type="dxa"/>
            <w:vAlign w:val="center"/>
          </w:tcPr>
          <w:p w:rsidR="00323AD6" w:rsidRDefault="00323AD6" w:rsidP="00323AD6">
            <w:pPr>
              <w:jc w:val="center"/>
            </w:pPr>
            <w:r>
              <w:rPr>
                <w:rFonts w:eastAsiaTheme="minorEastAsia"/>
                <w:color w:val="000000" w:themeColor="text1"/>
                <w:kern w:val="0"/>
              </w:rPr>
              <w:t>0.73%</w:t>
            </w:r>
          </w:p>
        </w:tc>
      </w:tr>
      <w:tr w:rsidR="00323AD6">
        <w:tc>
          <w:tcPr>
            <w:tcW w:w="1395" w:type="dxa"/>
            <w:vAlign w:val="center"/>
          </w:tcPr>
          <w:p w:rsidR="00323AD6" w:rsidRDefault="00323AD6" w:rsidP="00323AD6">
            <w:pPr>
              <w:jc w:val="left"/>
            </w:pPr>
            <w:r>
              <w:rPr>
                <w:rFonts w:eastAsiaTheme="minorEastAsia"/>
                <w:color w:val="000000" w:themeColor="text1"/>
                <w:kern w:val="0"/>
              </w:rPr>
              <w:t>过去三年</w:t>
            </w:r>
          </w:p>
        </w:tc>
        <w:tc>
          <w:tcPr>
            <w:tcW w:w="1092" w:type="dxa"/>
            <w:vAlign w:val="center"/>
          </w:tcPr>
          <w:p w:rsidR="00323AD6" w:rsidRDefault="00323AD6" w:rsidP="00323AD6">
            <w:pPr>
              <w:jc w:val="center"/>
            </w:pPr>
            <w:r>
              <w:rPr>
                <w:rFonts w:eastAsiaTheme="minorEastAsia"/>
                <w:color w:val="000000" w:themeColor="text1"/>
                <w:kern w:val="0"/>
              </w:rPr>
              <w:t>-</w:t>
            </w:r>
          </w:p>
        </w:tc>
        <w:tc>
          <w:tcPr>
            <w:tcW w:w="1161" w:type="dxa"/>
            <w:vAlign w:val="center"/>
          </w:tcPr>
          <w:p w:rsidR="00323AD6" w:rsidRDefault="00323AD6" w:rsidP="00323AD6">
            <w:pPr>
              <w:jc w:val="center"/>
            </w:pPr>
            <w:r>
              <w:rPr>
                <w:rFonts w:eastAsiaTheme="minorEastAsia"/>
                <w:color w:val="000000" w:themeColor="text1"/>
                <w:kern w:val="0"/>
              </w:rPr>
              <w:t>-</w:t>
            </w:r>
          </w:p>
        </w:tc>
        <w:tc>
          <w:tcPr>
            <w:tcW w:w="1181" w:type="dxa"/>
            <w:vAlign w:val="center"/>
          </w:tcPr>
          <w:p w:rsidR="00323AD6" w:rsidRDefault="00323AD6" w:rsidP="00323AD6">
            <w:pPr>
              <w:jc w:val="center"/>
            </w:pPr>
            <w:r>
              <w:rPr>
                <w:rFonts w:eastAsiaTheme="minorEastAsia"/>
                <w:color w:val="000000" w:themeColor="text1"/>
                <w:kern w:val="0"/>
              </w:rPr>
              <w:t>-</w:t>
            </w:r>
          </w:p>
        </w:tc>
        <w:tc>
          <w:tcPr>
            <w:tcW w:w="1188" w:type="dxa"/>
            <w:vAlign w:val="center"/>
          </w:tcPr>
          <w:p w:rsidR="00323AD6" w:rsidRDefault="00323AD6" w:rsidP="00323AD6">
            <w:pPr>
              <w:jc w:val="center"/>
            </w:pPr>
            <w:r>
              <w:rPr>
                <w:rFonts w:eastAsiaTheme="minorEastAsia"/>
                <w:color w:val="000000" w:themeColor="text1"/>
                <w:kern w:val="0"/>
              </w:rPr>
              <w:t>-</w:t>
            </w:r>
          </w:p>
        </w:tc>
        <w:tc>
          <w:tcPr>
            <w:tcW w:w="1199" w:type="dxa"/>
            <w:vAlign w:val="center"/>
          </w:tcPr>
          <w:p w:rsidR="00323AD6" w:rsidRDefault="00323AD6" w:rsidP="00323AD6">
            <w:pPr>
              <w:jc w:val="center"/>
            </w:pPr>
            <w:r>
              <w:rPr>
                <w:rFonts w:eastAsiaTheme="minorEastAsia"/>
                <w:color w:val="000000" w:themeColor="text1"/>
                <w:kern w:val="0"/>
              </w:rPr>
              <w:t>-</w:t>
            </w:r>
          </w:p>
        </w:tc>
        <w:tc>
          <w:tcPr>
            <w:tcW w:w="1204" w:type="dxa"/>
            <w:vAlign w:val="center"/>
          </w:tcPr>
          <w:p w:rsidR="00323AD6" w:rsidRDefault="00323AD6" w:rsidP="00323AD6">
            <w:pPr>
              <w:jc w:val="center"/>
            </w:pPr>
            <w:r>
              <w:rPr>
                <w:rFonts w:eastAsiaTheme="minorEastAsia"/>
                <w:color w:val="000000" w:themeColor="text1"/>
                <w:kern w:val="0"/>
              </w:rPr>
              <w:t>-</w:t>
            </w:r>
          </w:p>
        </w:tc>
      </w:tr>
      <w:tr w:rsidR="00323AD6">
        <w:tc>
          <w:tcPr>
            <w:tcW w:w="1395" w:type="dxa"/>
            <w:vAlign w:val="center"/>
          </w:tcPr>
          <w:p w:rsidR="00323AD6" w:rsidRDefault="00323AD6" w:rsidP="00323AD6">
            <w:pPr>
              <w:jc w:val="left"/>
            </w:pPr>
            <w:r>
              <w:rPr>
                <w:rFonts w:eastAsiaTheme="minorEastAsia"/>
                <w:color w:val="000000" w:themeColor="text1"/>
                <w:kern w:val="0"/>
              </w:rPr>
              <w:t>过去五年</w:t>
            </w:r>
          </w:p>
        </w:tc>
        <w:tc>
          <w:tcPr>
            <w:tcW w:w="1092" w:type="dxa"/>
            <w:vAlign w:val="center"/>
          </w:tcPr>
          <w:p w:rsidR="00323AD6" w:rsidRDefault="00323AD6" w:rsidP="00323AD6">
            <w:pPr>
              <w:jc w:val="center"/>
            </w:pPr>
            <w:r>
              <w:rPr>
                <w:rFonts w:eastAsiaTheme="minorEastAsia"/>
                <w:color w:val="000000" w:themeColor="text1"/>
                <w:kern w:val="0"/>
              </w:rPr>
              <w:t>-</w:t>
            </w:r>
          </w:p>
        </w:tc>
        <w:tc>
          <w:tcPr>
            <w:tcW w:w="1161" w:type="dxa"/>
            <w:vAlign w:val="center"/>
          </w:tcPr>
          <w:p w:rsidR="00323AD6" w:rsidRDefault="00323AD6" w:rsidP="00323AD6">
            <w:pPr>
              <w:jc w:val="center"/>
            </w:pPr>
            <w:r>
              <w:rPr>
                <w:rFonts w:eastAsiaTheme="minorEastAsia"/>
                <w:color w:val="000000" w:themeColor="text1"/>
                <w:kern w:val="0"/>
              </w:rPr>
              <w:t>-</w:t>
            </w:r>
          </w:p>
        </w:tc>
        <w:tc>
          <w:tcPr>
            <w:tcW w:w="1181" w:type="dxa"/>
            <w:vAlign w:val="center"/>
          </w:tcPr>
          <w:p w:rsidR="00323AD6" w:rsidRDefault="00323AD6" w:rsidP="00323AD6">
            <w:pPr>
              <w:jc w:val="center"/>
            </w:pPr>
            <w:r>
              <w:rPr>
                <w:rFonts w:eastAsiaTheme="minorEastAsia"/>
                <w:color w:val="000000" w:themeColor="text1"/>
                <w:kern w:val="0"/>
              </w:rPr>
              <w:t>-</w:t>
            </w:r>
          </w:p>
        </w:tc>
        <w:tc>
          <w:tcPr>
            <w:tcW w:w="1188" w:type="dxa"/>
            <w:vAlign w:val="center"/>
          </w:tcPr>
          <w:p w:rsidR="00323AD6" w:rsidRDefault="00323AD6" w:rsidP="00323AD6">
            <w:pPr>
              <w:jc w:val="center"/>
            </w:pPr>
            <w:r>
              <w:rPr>
                <w:rFonts w:eastAsiaTheme="minorEastAsia"/>
                <w:color w:val="000000" w:themeColor="text1"/>
                <w:kern w:val="0"/>
              </w:rPr>
              <w:t>-</w:t>
            </w:r>
          </w:p>
        </w:tc>
        <w:tc>
          <w:tcPr>
            <w:tcW w:w="1199" w:type="dxa"/>
            <w:vAlign w:val="center"/>
          </w:tcPr>
          <w:p w:rsidR="00323AD6" w:rsidRDefault="00323AD6" w:rsidP="00323AD6">
            <w:pPr>
              <w:jc w:val="center"/>
            </w:pPr>
            <w:r>
              <w:rPr>
                <w:rFonts w:eastAsiaTheme="minorEastAsia"/>
                <w:color w:val="000000" w:themeColor="text1"/>
                <w:kern w:val="0"/>
              </w:rPr>
              <w:t>-</w:t>
            </w:r>
          </w:p>
        </w:tc>
        <w:tc>
          <w:tcPr>
            <w:tcW w:w="1204" w:type="dxa"/>
            <w:vAlign w:val="center"/>
          </w:tcPr>
          <w:p w:rsidR="00323AD6" w:rsidRDefault="00323AD6" w:rsidP="00323AD6">
            <w:pPr>
              <w:jc w:val="center"/>
            </w:pPr>
            <w:r>
              <w:rPr>
                <w:rFonts w:eastAsiaTheme="minorEastAsia"/>
                <w:color w:val="000000" w:themeColor="text1"/>
                <w:kern w:val="0"/>
              </w:rPr>
              <w:t>-</w:t>
            </w:r>
          </w:p>
        </w:tc>
      </w:tr>
      <w:tr w:rsidR="00323AD6">
        <w:tc>
          <w:tcPr>
            <w:tcW w:w="1395" w:type="dxa"/>
            <w:vAlign w:val="center"/>
          </w:tcPr>
          <w:p w:rsidR="00323AD6" w:rsidRDefault="00323AD6" w:rsidP="00323AD6">
            <w:pPr>
              <w:jc w:val="left"/>
            </w:pPr>
            <w:r>
              <w:rPr>
                <w:rFonts w:eastAsiaTheme="minorEastAsia"/>
                <w:color w:val="000000" w:themeColor="text1"/>
                <w:kern w:val="0"/>
              </w:rPr>
              <w:t>自基金合同生效起至今</w:t>
            </w:r>
          </w:p>
        </w:tc>
        <w:tc>
          <w:tcPr>
            <w:tcW w:w="1092" w:type="dxa"/>
            <w:vAlign w:val="center"/>
          </w:tcPr>
          <w:p w:rsidR="00323AD6" w:rsidRDefault="00323AD6" w:rsidP="00323AD6">
            <w:pPr>
              <w:jc w:val="center"/>
            </w:pPr>
            <w:r>
              <w:rPr>
                <w:rFonts w:eastAsiaTheme="minorEastAsia"/>
                <w:color w:val="000000" w:themeColor="text1"/>
                <w:kern w:val="0"/>
              </w:rPr>
              <w:t>-32.48%</w:t>
            </w:r>
          </w:p>
        </w:tc>
        <w:tc>
          <w:tcPr>
            <w:tcW w:w="1161" w:type="dxa"/>
            <w:vAlign w:val="center"/>
          </w:tcPr>
          <w:p w:rsidR="00323AD6" w:rsidRDefault="00323AD6" w:rsidP="00323AD6">
            <w:pPr>
              <w:jc w:val="center"/>
            </w:pPr>
            <w:r>
              <w:rPr>
                <w:rFonts w:eastAsiaTheme="minorEastAsia"/>
                <w:color w:val="000000" w:themeColor="text1"/>
                <w:kern w:val="0"/>
              </w:rPr>
              <w:t>1.73%</w:t>
            </w:r>
          </w:p>
        </w:tc>
        <w:tc>
          <w:tcPr>
            <w:tcW w:w="1181" w:type="dxa"/>
            <w:vAlign w:val="center"/>
          </w:tcPr>
          <w:p w:rsidR="00323AD6" w:rsidRDefault="00323AD6" w:rsidP="00323AD6">
            <w:pPr>
              <w:jc w:val="center"/>
            </w:pPr>
            <w:r>
              <w:rPr>
                <w:rFonts w:eastAsiaTheme="minorEastAsia"/>
                <w:color w:val="000000" w:themeColor="text1"/>
                <w:kern w:val="0"/>
              </w:rPr>
              <w:t>-22.93%</w:t>
            </w:r>
          </w:p>
        </w:tc>
        <w:tc>
          <w:tcPr>
            <w:tcW w:w="1188" w:type="dxa"/>
            <w:vAlign w:val="center"/>
          </w:tcPr>
          <w:p w:rsidR="00323AD6" w:rsidRDefault="00323AD6" w:rsidP="00323AD6">
            <w:pPr>
              <w:jc w:val="center"/>
            </w:pPr>
            <w:r>
              <w:rPr>
                <w:rFonts w:eastAsiaTheme="minorEastAsia"/>
                <w:color w:val="000000" w:themeColor="text1"/>
                <w:kern w:val="0"/>
              </w:rPr>
              <w:t>0.93%</w:t>
            </w:r>
          </w:p>
        </w:tc>
        <w:tc>
          <w:tcPr>
            <w:tcW w:w="1199" w:type="dxa"/>
            <w:vAlign w:val="center"/>
          </w:tcPr>
          <w:p w:rsidR="00323AD6" w:rsidRDefault="00323AD6" w:rsidP="00323AD6">
            <w:pPr>
              <w:jc w:val="center"/>
            </w:pPr>
            <w:r>
              <w:rPr>
                <w:rFonts w:eastAsiaTheme="minorEastAsia"/>
                <w:color w:val="000000" w:themeColor="text1"/>
                <w:kern w:val="0"/>
              </w:rPr>
              <w:t>-9.55%</w:t>
            </w:r>
          </w:p>
        </w:tc>
        <w:tc>
          <w:tcPr>
            <w:tcW w:w="1204" w:type="dxa"/>
            <w:vAlign w:val="center"/>
          </w:tcPr>
          <w:p w:rsidR="00323AD6" w:rsidRDefault="00323AD6" w:rsidP="00323AD6">
            <w:pPr>
              <w:jc w:val="center"/>
            </w:pPr>
            <w:r>
              <w:rPr>
                <w:rFonts w:eastAsiaTheme="minorEastAsia"/>
                <w:color w:val="000000" w:themeColor="text1"/>
                <w:kern w:val="0"/>
              </w:rPr>
              <w:t>0.80%</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摩根远见两年持有期混合型证券投资基金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(2021</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1</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11</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2023</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9</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30</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BA173D">
      <w:pPr>
        <w:pStyle w:val="ae"/>
        <w:snapToGrid w:val="0"/>
        <w:spacing w:before="120" w:line="360" w:lineRule="auto"/>
        <w:jc w:val="center"/>
        <w:rPr>
          <w:rFonts w:ascii="Times New Roman" w:eastAsiaTheme="minorEastAsia" w:hAnsi="Times New Roman" w:cs="Times New Roman"/>
          <w:color w:val="000000" w:themeColor="text1"/>
          <w:sz w:val="24"/>
          <w:szCs w:val="24"/>
        </w:rPr>
      </w:pPr>
      <w:bookmarkStart w:id="0" w:name="_GoBack"/>
      <w:bookmarkEnd w:id="0"/>
      <w:r w:rsidRPr="00FF6B9A">
        <w:rPr>
          <w:rFonts w:ascii="Times New Roman" w:eastAsiaTheme="minorEastAsia" w:hAnsi="Times New Roman" w:cs="Times New Roman"/>
          <w:noProof/>
          <w:color w:val="000000" w:themeColor="text1"/>
          <w:sz w:val="24"/>
          <w:szCs w:val="24"/>
        </w:rPr>
        <w:lastRenderedPageBreak/>
        <w:drawing>
          <wp:inline distT="0" distB="0" distL="0" distR="0" wp14:anchorId="472E6B08" wp14:editId="5ACCF722">
            <wp:extent cx="5276850" cy="30861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C027A9" w:rsidRDefault="00BA173D">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w:t>
      </w:r>
      <w:r>
        <w:rPr>
          <w:rFonts w:eastAsiaTheme="minorEastAsia"/>
          <w:color w:val="000000" w:themeColor="text1"/>
        </w:rPr>
        <w:t>11</w:t>
      </w:r>
      <w:r>
        <w:rPr>
          <w:rFonts w:eastAsiaTheme="minorEastAsia"/>
          <w:color w:val="000000" w:themeColor="text1"/>
        </w:rPr>
        <w:t>日，图示的时间段为合同生效日至本报告期末。</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 xml:space="preserve"> 6 </w:t>
      </w:r>
      <w:r w:rsidRPr="00FF6B9A">
        <w:rPr>
          <w:rFonts w:eastAsiaTheme="minorEastAsia"/>
          <w:color w:val="000000" w:themeColor="text1"/>
        </w:rPr>
        <w:t>个月，建仓期结束时资产配置比例符合本基金基金合同规定。</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C027A9">
        <w:tc>
          <w:tcPr>
            <w:tcW w:w="851" w:type="dxa"/>
            <w:vAlign w:val="center"/>
          </w:tcPr>
          <w:p w:rsidR="00C027A9" w:rsidRDefault="00BA173D">
            <w:pPr>
              <w:jc w:val="center"/>
            </w:pPr>
            <w:r>
              <w:rPr>
                <w:rFonts w:eastAsiaTheme="minorEastAsia"/>
                <w:color w:val="000000" w:themeColor="text1"/>
              </w:rPr>
              <w:t>杜猛</w:t>
            </w:r>
          </w:p>
        </w:tc>
        <w:tc>
          <w:tcPr>
            <w:tcW w:w="850" w:type="dxa"/>
            <w:vAlign w:val="center"/>
          </w:tcPr>
          <w:p w:rsidR="00C027A9" w:rsidRDefault="00BA173D">
            <w:pPr>
              <w:jc w:val="center"/>
            </w:pPr>
            <w:r>
              <w:rPr>
                <w:rFonts w:eastAsiaTheme="minorEastAsia"/>
                <w:color w:val="000000" w:themeColor="text1"/>
              </w:rPr>
              <w:t>本基金基金经理、副总经理兼投资总监</w:t>
            </w:r>
          </w:p>
        </w:tc>
        <w:tc>
          <w:tcPr>
            <w:tcW w:w="1560" w:type="dxa"/>
            <w:vAlign w:val="center"/>
          </w:tcPr>
          <w:p w:rsidR="00C027A9" w:rsidRDefault="00BA173D">
            <w:pPr>
              <w:jc w:val="center"/>
            </w:pPr>
            <w:r>
              <w:rPr>
                <w:rFonts w:eastAsiaTheme="minorEastAsia"/>
                <w:color w:val="000000" w:themeColor="text1"/>
              </w:rPr>
              <w:t>2021-01-11</w:t>
            </w:r>
          </w:p>
        </w:tc>
        <w:tc>
          <w:tcPr>
            <w:tcW w:w="1559" w:type="dxa"/>
            <w:vAlign w:val="center"/>
          </w:tcPr>
          <w:p w:rsidR="00C027A9" w:rsidRDefault="00BA173D">
            <w:pPr>
              <w:jc w:val="center"/>
            </w:pPr>
            <w:r>
              <w:rPr>
                <w:rFonts w:eastAsiaTheme="minorEastAsia"/>
                <w:color w:val="000000" w:themeColor="text1"/>
              </w:rPr>
              <w:t>-</w:t>
            </w:r>
          </w:p>
        </w:tc>
        <w:tc>
          <w:tcPr>
            <w:tcW w:w="1417" w:type="dxa"/>
            <w:vAlign w:val="center"/>
          </w:tcPr>
          <w:p w:rsidR="00C027A9" w:rsidRDefault="00BA173D">
            <w:pPr>
              <w:jc w:val="center"/>
            </w:pPr>
            <w:r>
              <w:rPr>
                <w:rFonts w:eastAsiaTheme="minorEastAsia"/>
                <w:color w:val="000000" w:themeColor="text1"/>
              </w:rPr>
              <w:t>21</w:t>
            </w:r>
            <w:r>
              <w:rPr>
                <w:rFonts w:eastAsiaTheme="minorEastAsia"/>
                <w:color w:val="000000" w:themeColor="text1"/>
              </w:rPr>
              <w:t>年</w:t>
            </w:r>
          </w:p>
        </w:tc>
        <w:tc>
          <w:tcPr>
            <w:tcW w:w="2694" w:type="dxa"/>
            <w:vAlign w:val="center"/>
          </w:tcPr>
          <w:p w:rsidR="00C027A9" w:rsidRDefault="00BA173D">
            <w:r>
              <w:rPr>
                <w:rFonts w:eastAsiaTheme="minorEastAsia"/>
                <w:color w:val="000000" w:themeColor="text1"/>
              </w:rPr>
              <w:t>杜猛先生曾任天同证券有限责任公司研究员，中原证券有限责任公司研究员，国信证券有限责任公司研究员，中银国际证券有限责任公司研究员。</w:t>
            </w:r>
            <w:r>
              <w:rPr>
                <w:rFonts w:eastAsiaTheme="minorEastAsia"/>
                <w:color w:val="000000" w:themeColor="text1"/>
              </w:rPr>
              <w:t>2007</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月起加入摩根基金管理（中国）有限公司（原上投摩根基金管理有限公司），历任行业专家、基金经理助理、基金经理、总经理助理</w:t>
            </w:r>
            <w:r>
              <w:rPr>
                <w:rFonts w:eastAsiaTheme="minorEastAsia"/>
                <w:color w:val="000000" w:themeColor="text1"/>
              </w:rPr>
              <w:t>/</w:t>
            </w:r>
            <w:r>
              <w:rPr>
                <w:rFonts w:eastAsiaTheme="minorEastAsia"/>
                <w:color w:val="000000" w:themeColor="text1"/>
              </w:rPr>
              <w:t>国内权益投资一部投资总监兼资深基金经理，现任副总经</w:t>
            </w:r>
            <w:r>
              <w:rPr>
                <w:rFonts w:eastAsiaTheme="minorEastAsia"/>
                <w:color w:val="000000" w:themeColor="text1"/>
              </w:rPr>
              <w:lastRenderedPageBreak/>
              <w:t>理兼投资总监。</w:t>
            </w:r>
          </w:p>
        </w:tc>
      </w:tr>
    </w:tbl>
    <w:p w:rsidR="00C027A9" w:rsidRDefault="00BA173D">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lastRenderedPageBreak/>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rsidR="00C027A9" w:rsidRDefault="00BA173D">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2.</w:t>
      </w:r>
      <w:r>
        <w:rPr>
          <w:rFonts w:eastAsiaTheme="minorEastAsia"/>
          <w:color w:val="000000" w:themeColor="text1"/>
        </w:rPr>
        <w:t>杜猛先生为本基金首任基金经理，其任职日期指本基金基金合同生效之日。</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3.</w:t>
      </w:r>
      <w:r w:rsidRPr="00FF6B9A">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C027A9" w:rsidRDefault="00BA173D">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C027A9" w:rsidRDefault="00BA173D">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C027A9" w:rsidRDefault="00BA173D">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C027A9" w:rsidRDefault="00BA173D">
      <w:pPr>
        <w:spacing w:line="360" w:lineRule="auto"/>
        <w:ind w:firstLineChars="200" w:firstLine="420"/>
        <w:rPr>
          <w:rFonts w:eastAsiaTheme="minorEastAsia"/>
          <w:color w:val="000000" w:themeColor="text1"/>
        </w:rPr>
      </w:pPr>
      <w:r>
        <w:rPr>
          <w:rFonts w:eastAsiaTheme="minorEastAsia"/>
          <w:color w:val="000000" w:themeColor="text1"/>
        </w:rPr>
        <w:t>2023</w:t>
      </w:r>
      <w:r>
        <w:rPr>
          <w:rFonts w:eastAsiaTheme="minorEastAsia"/>
          <w:color w:val="000000" w:themeColor="text1"/>
        </w:rPr>
        <w:t>年三季度受内外部环境的影响市场继续下行，沪深</w:t>
      </w:r>
      <w:r>
        <w:rPr>
          <w:rFonts w:eastAsiaTheme="minorEastAsia"/>
          <w:color w:val="000000" w:themeColor="text1"/>
        </w:rPr>
        <w:t>300</w:t>
      </w:r>
      <w:r>
        <w:rPr>
          <w:rFonts w:eastAsiaTheme="minorEastAsia"/>
          <w:color w:val="000000" w:themeColor="text1"/>
        </w:rPr>
        <w:t>、创业板等指数均创出年内新低，市场成交量也出现萎缩。对于经济复苏的担忧应当是主要原因，另外叠加美国高利率的影响造成了部分资金流出。在三季度政府出台了地产的放松政策，一些经济刺激政策也是可预期的。从市场交易行为看，投资者在缩短自己的投资久期，体现为投资行为更趋短期和对高股息的偏好，对于长期的成长股表现出信心不足。我们认为这种现象的出现可能是阶段性的，也无法对长期投资形成有效的指导，但是也增加了部分低估值高分红股票。本基金基于长期成长的选股逻辑，重点投资了各个产业中的优质公司。</w:t>
      </w:r>
    </w:p>
    <w:p w:rsidR="00C027A9" w:rsidRDefault="00BA173D">
      <w:pPr>
        <w:spacing w:line="360" w:lineRule="auto"/>
        <w:ind w:firstLineChars="200" w:firstLine="420"/>
        <w:rPr>
          <w:rFonts w:eastAsiaTheme="minorEastAsia"/>
          <w:color w:val="000000" w:themeColor="text1"/>
        </w:rPr>
      </w:pPr>
      <w:r>
        <w:rPr>
          <w:rFonts w:eastAsiaTheme="minorEastAsia"/>
          <w:color w:val="000000" w:themeColor="text1"/>
        </w:rPr>
        <w:t>2023</w:t>
      </w:r>
      <w:r>
        <w:rPr>
          <w:rFonts w:eastAsiaTheme="minorEastAsia"/>
          <w:color w:val="000000" w:themeColor="text1"/>
        </w:rPr>
        <w:t>年有些高开低走，其实可能是符合正常规律的。经济的见底回升和复苏不可能一蹴而就，需要有一个过程，市场在年初过于乐观，但当前又过度地悲观。随着经济和社会的逐步正常化，不同的行业会回到自身的运行规律中去，当然合理有效的经济政策可以更好的推动这一进程，我们已经看到一些提前出清的行业开始出现向上的趋势。对于权益市场，经过两年多的回调股票估值已经到了相当有吸引力的位置，当下是非常好的长期布局时点，信心在目前的情况下是非常重要的。</w:t>
      </w:r>
    </w:p>
    <w:p w:rsidR="00C027A9" w:rsidRDefault="00BA173D">
      <w:pPr>
        <w:spacing w:line="360" w:lineRule="auto"/>
        <w:ind w:firstLineChars="200" w:firstLine="420"/>
        <w:rPr>
          <w:rFonts w:eastAsiaTheme="minorEastAsia"/>
          <w:color w:val="000000" w:themeColor="text1"/>
        </w:rPr>
      </w:pPr>
      <w:r>
        <w:rPr>
          <w:rFonts w:eastAsiaTheme="minorEastAsia"/>
          <w:color w:val="000000" w:themeColor="text1"/>
        </w:rPr>
        <w:t>人工智能在上半年获得了市场的高度关注，但在三季度有大幅度的回落，这里面有交易层面的因素，也有行业发展的因素。但是作为未来可能深刻影响人类社会的技术，人工智能的发展才刚刚起步，仍然值得我们持续关注。医药行业的吸引力也越来越大，经过两年多的回调，医药股的估值已经回到历史极低区间。虽然有医疗反腐的负面影响，但是我们认为不会改变行业长期发展的逻辑，中国进入老龄化社会对医药的需求是明确。此外医药创新也为医药行业的持续增长提供了极大的动力，对此我们会持续跟踪和研究。</w:t>
      </w:r>
      <w:r>
        <w:rPr>
          <w:rFonts w:eastAsiaTheme="minorEastAsia"/>
          <w:color w:val="000000" w:themeColor="text1"/>
        </w:rPr>
        <w:t xml:space="preserve"> </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我们会努力在市场中挑选估值和成长性匹配的优质品种，寻找各个产业中长期成长的公司，力争为基金持有人创造持续稳定收益。</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本报告期摩根远见两年份额净值增长率为</w:t>
      </w:r>
      <w:r w:rsidRPr="00FF6B9A">
        <w:rPr>
          <w:rFonts w:eastAsiaTheme="minorEastAsia"/>
          <w:color w:val="000000" w:themeColor="text1"/>
        </w:rPr>
        <w:t>:-16.80%</w:t>
      </w:r>
      <w:r w:rsidRPr="00FF6B9A">
        <w:rPr>
          <w:rFonts w:eastAsiaTheme="minorEastAsia"/>
          <w:color w:val="000000" w:themeColor="text1"/>
        </w:rPr>
        <w:t>，同期业绩比较基准收益率为</w:t>
      </w:r>
      <w:r w:rsidRPr="00FF6B9A">
        <w:rPr>
          <w:rFonts w:eastAsiaTheme="minorEastAsia"/>
          <w:color w:val="000000" w:themeColor="text1"/>
        </w:rPr>
        <w:t>:-3.63%</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lastRenderedPageBreak/>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3,246,461,698.58</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87.56</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3,246,461,698.58</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87.56</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4,533,750.48</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0.12</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4,533,750.48</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0.12</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350,660,211.29</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9.46</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105,867,270.45</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2.86</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3,707,522,930.80</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注：本基金本报告期末通过港股通交易机制投资的港股公允价值为人民币</w:t>
      </w:r>
      <w:r w:rsidRPr="00FF6B9A">
        <w:rPr>
          <w:rFonts w:eastAsiaTheme="minorEastAsia"/>
          <w:color w:val="000000" w:themeColor="text1"/>
        </w:rPr>
        <w:t>182,408,544.78</w:t>
      </w:r>
      <w:r w:rsidRPr="00FF6B9A">
        <w:rPr>
          <w:rFonts w:eastAsiaTheme="minorEastAsia"/>
          <w:color w:val="000000" w:themeColor="text1"/>
        </w:rPr>
        <w:t>元，占期末净值比例为</w:t>
      </w:r>
      <w:r w:rsidRPr="00FF6B9A">
        <w:rPr>
          <w:rFonts w:eastAsiaTheme="minorEastAsia"/>
          <w:color w:val="000000" w:themeColor="text1"/>
        </w:rPr>
        <w:t>4.97%</w:t>
      </w:r>
      <w:r w:rsidRPr="00FF6B9A">
        <w:rPr>
          <w:rFonts w:eastAsiaTheme="minorEastAsia"/>
          <w:color w:val="000000" w:themeColor="text1"/>
        </w:rPr>
        <w:t>。</w:t>
      </w:r>
      <w:r w:rsidRPr="00FF6B9A">
        <w:rPr>
          <w:rFonts w:eastAsiaTheme="minorEastAsia"/>
          <w:color w:val="000000" w:themeColor="text1"/>
        </w:rPr>
        <w:t xml:space="preserve">  </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2,149,878.60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0.06</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125,294.40</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2,844,549,167.13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77.53</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lastRenderedPageBreak/>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33,020,470.35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0.90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128,149,337.32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3.49</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2,413,000.00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0.07</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30,044,976.00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0.82</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22,673,958.00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0.62</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927,072.00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0.03</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3,064,053,153.80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83.51</w:t>
            </w:r>
          </w:p>
        </w:tc>
      </w:tr>
    </w:tbl>
    <w:p w:rsidR="00D06738" w:rsidRPr="00FF6B9A" w:rsidRDefault="00454D20">
      <w:pPr>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 5.2.2</w:t>
      </w:r>
      <w:r w:rsidRPr="00FF6B9A">
        <w:rPr>
          <w:rFonts w:eastAsiaTheme="minorEastAsia"/>
          <w:b/>
          <w:bCs/>
          <w:color w:val="000000" w:themeColor="text1"/>
          <w:kern w:val="0"/>
          <w:sz w:val="24"/>
          <w:szCs w:val="24"/>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行业类别</w:t>
            </w:r>
          </w:p>
        </w:tc>
        <w:tc>
          <w:tcPr>
            <w:tcW w:w="311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公允价值（人民币）</w:t>
            </w:r>
          </w:p>
        </w:tc>
        <w:tc>
          <w:tcPr>
            <w:tcW w:w="311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p>
        </w:tc>
      </w:tr>
      <w:tr w:rsidR="00C027A9">
        <w:trPr>
          <w:jc w:val="center"/>
        </w:trPr>
        <w:tc>
          <w:tcPr>
            <w:tcW w:w="2397" w:type="dxa"/>
            <w:vAlign w:val="center"/>
          </w:tcPr>
          <w:p w:rsidR="00C027A9" w:rsidRDefault="00BA173D">
            <w:pPr>
              <w:jc w:val="center"/>
            </w:pPr>
            <w:r>
              <w:rPr>
                <w:rFonts w:eastAsiaTheme="minorEastAsia"/>
                <w:color w:val="000000" w:themeColor="text1"/>
                <w:kern w:val="0"/>
              </w:rPr>
              <w:t>A</w:t>
            </w:r>
            <w:r>
              <w:rPr>
                <w:rFonts w:eastAsiaTheme="minorEastAsia"/>
                <w:color w:val="000000" w:themeColor="text1"/>
                <w:kern w:val="0"/>
              </w:rPr>
              <w:t>基础材料</w:t>
            </w:r>
          </w:p>
        </w:tc>
        <w:tc>
          <w:tcPr>
            <w:tcW w:w="3119" w:type="dxa"/>
            <w:vAlign w:val="center"/>
          </w:tcPr>
          <w:p w:rsidR="00C027A9" w:rsidRDefault="00BA173D">
            <w:pPr>
              <w:jc w:val="center"/>
            </w:pPr>
            <w:r>
              <w:rPr>
                <w:rFonts w:eastAsiaTheme="minorEastAsia"/>
                <w:color w:val="000000" w:themeColor="text1"/>
                <w:kern w:val="0"/>
              </w:rPr>
              <w:t>-</w:t>
            </w:r>
          </w:p>
        </w:tc>
        <w:tc>
          <w:tcPr>
            <w:tcW w:w="3118" w:type="dxa"/>
            <w:vAlign w:val="center"/>
          </w:tcPr>
          <w:p w:rsidR="00C027A9" w:rsidRDefault="00BA173D">
            <w:pPr>
              <w:jc w:val="center"/>
            </w:pPr>
            <w:r>
              <w:rPr>
                <w:rFonts w:eastAsiaTheme="minorEastAsia"/>
                <w:color w:val="000000" w:themeColor="text1"/>
                <w:kern w:val="0"/>
              </w:rPr>
              <w:t>-</w:t>
            </w:r>
          </w:p>
        </w:tc>
      </w:tr>
      <w:tr w:rsidR="00C027A9">
        <w:trPr>
          <w:jc w:val="center"/>
        </w:trPr>
        <w:tc>
          <w:tcPr>
            <w:tcW w:w="2397" w:type="dxa"/>
            <w:vAlign w:val="center"/>
          </w:tcPr>
          <w:p w:rsidR="00C027A9" w:rsidRDefault="00BA173D">
            <w:pPr>
              <w:jc w:val="center"/>
            </w:pPr>
            <w:r>
              <w:rPr>
                <w:rFonts w:eastAsiaTheme="minorEastAsia"/>
                <w:color w:val="000000" w:themeColor="text1"/>
                <w:kern w:val="0"/>
              </w:rPr>
              <w:t>B</w:t>
            </w:r>
            <w:r>
              <w:rPr>
                <w:rFonts w:eastAsiaTheme="minorEastAsia"/>
                <w:color w:val="000000" w:themeColor="text1"/>
                <w:kern w:val="0"/>
              </w:rPr>
              <w:t>消费者非必需品</w:t>
            </w:r>
          </w:p>
        </w:tc>
        <w:tc>
          <w:tcPr>
            <w:tcW w:w="3119" w:type="dxa"/>
            <w:vAlign w:val="center"/>
          </w:tcPr>
          <w:p w:rsidR="00C027A9" w:rsidRDefault="00BA173D">
            <w:pPr>
              <w:jc w:val="center"/>
            </w:pPr>
            <w:r>
              <w:rPr>
                <w:rFonts w:eastAsiaTheme="minorEastAsia"/>
                <w:color w:val="000000" w:themeColor="text1"/>
                <w:kern w:val="0"/>
              </w:rPr>
              <w:t>21,338,731.08</w:t>
            </w:r>
          </w:p>
        </w:tc>
        <w:tc>
          <w:tcPr>
            <w:tcW w:w="3118" w:type="dxa"/>
            <w:vAlign w:val="center"/>
          </w:tcPr>
          <w:p w:rsidR="00C027A9" w:rsidRDefault="00BA173D">
            <w:pPr>
              <w:jc w:val="center"/>
            </w:pPr>
            <w:r>
              <w:rPr>
                <w:rFonts w:eastAsiaTheme="minorEastAsia"/>
                <w:color w:val="000000" w:themeColor="text1"/>
                <w:kern w:val="0"/>
              </w:rPr>
              <w:t>0.58</w:t>
            </w:r>
          </w:p>
        </w:tc>
      </w:tr>
      <w:tr w:rsidR="00C027A9">
        <w:trPr>
          <w:jc w:val="center"/>
        </w:trPr>
        <w:tc>
          <w:tcPr>
            <w:tcW w:w="2397" w:type="dxa"/>
            <w:vAlign w:val="center"/>
          </w:tcPr>
          <w:p w:rsidR="00C027A9" w:rsidRDefault="00BA173D">
            <w:pPr>
              <w:jc w:val="center"/>
            </w:pPr>
            <w:r>
              <w:rPr>
                <w:rFonts w:eastAsiaTheme="minorEastAsia"/>
                <w:color w:val="000000" w:themeColor="text1"/>
                <w:kern w:val="0"/>
              </w:rPr>
              <w:t>C</w:t>
            </w:r>
            <w:r>
              <w:rPr>
                <w:rFonts w:eastAsiaTheme="minorEastAsia"/>
                <w:color w:val="000000" w:themeColor="text1"/>
                <w:kern w:val="0"/>
              </w:rPr>
              <w:t>消费者常用品</w:t>
            </w:r>
          </w:p>
        </w:tc>
        <w:tc>
          <w:tcPr>
            <w:tcW w:w="3119" w:type="dxa"/>
            <w:vAlign w:val="center"/>
          </w:tcPr>
          <w:p w:rsidR="00C027A9" w:rsidRDefault="00BA173D">
            <w:pPr>
              <w:jc w:val="center"/>
            </w:pPr>
            <w:r>
              <w:rPr>
                <w:rFonts w:eastAsiaTheme="minorEastAsia"/>
                <w:color w:val="000000" w:themeColor="text1"/>
                <w:kern w:val="0"/>
              </w:rPr>
              <w:t>13,048.70</w:t>
            </w:r>
          </w:p>
        </w:tc>
        <w:tc>
          <w:tcPr>
            <w:tcW w:w="3118" w:type="dxa"/>
            <w:vAlign w:val="center"/>
          </w:tcPr>
          <w:p w:rsidR="00C027A9" w:rsidRDefault="00BA173D">
            <w:pPr>
              <w:jc w:val="center"/>
            </w:pPr>
            <w:r>
              <w:rPr>
                <w:rFonts w:eastAsiaTheme="minorEastAsia"/>
                <w:color w:val="000000" w:themeColor="text1"/>
                <w:kern w:val="0"/>
              </w:rPr>
              <w:t>0.00</w:t>
            </w:r>
          </w:p>
        </w:tc>
      </w:tr>
      <w:tr w:rsidR="00C027A9">
        <w:trPr>
          <w:jc w:val="center"/>
        </w:trPr>
        <w:tc>
          <w:tcPr>
            <w:tcW w:w="2397" w:type="dxa"/>
            <w:vAlign w:val="center"/>
          </w:tcPr>
          <w:p w:rsidR="00C027A9" w:rsidRDefault="00BA173D">
            <w:pPr>
              <w:jc w:val="center"/>
            </w:pPr>
            <w:r>
              <w:rPr>
                <w:rFonts w:eastAsiaTheme="minorEastAsia"/>
                <w:color w:val="000000" w:themeColor="text1"/>
                <w:kern w:val="0"/>
              </w:rPr>
              <w:t>D</w:t>
            </w:r>
            <w:r>
              <w:rPr>
                <w:rFonts w:eastAsiaTheme="minorEastAsia"/>
                <w:color w:val="000000" w:themeColor="text1"/>
                <w:kern w:val="0"/>
              </w:rPr>
              <w:t>能源</w:t>
            </w:r>
          </w:p>
        </w:tc>
        <w:tc>
          <w:tcPr>
            <w:tcW w:w="3119" w:type="dxa"/>
            <w:vAlign w:val="center"/>
          </w:tcPr>
          <w:p w:rsidR="00C027A9" w:rsidRDefault="00BA173D">
            <w:pPr>
              <w:jc w:val="center"/>
            </w:pPr>
            <w:r>
              <w:rPr>
                <w:rFonts w:eastAsiaTheme="minorEastAsia"/>
                <w:color w:val="000000" w:themeColor="text1"/>
                <w:kern w:val="0"/>
              </w:rPr>
              <w:t>-</w:t>
            </w:r>
          </w:p>
        </w:tc>
        <w:tc>
          <w:tcPr>
            <w:tcW w:w="3118" w:type="dxa"/>
            <w:vAlign w:val="center"/>
          </w:tcPr>
          <w:p w:rsidR="00C027A9" w:rsidRDefault="00BA173D">
            <w:pPr>
              <w:jc w:val="center"/>
            </w:pPr>
            <w:r>
              <w:rPr>
                <w:rFonts w:eastAsiaTheme="minorEastAsia"/>
                <w:color w:val="000000" w:themeColor="text1"/>
                <w:kern w:val="0"/>
              </w:rPr>
              <w:t>-</w:t>
            </w:r>
          </w:p>
        </w:tc>
      </w:tr>
      <w:tr w:rsidR="00C027A9">
        <w:trPr>
          <w:jc w:val="center"/>
        </w:trPr>
        <w:tc>
          <w:tcPr>
            <w:tcW w:w="2397" w:type="dxa"/>
            <w:vAlign w:val="center"/>
          </w:tcPr>
          <w:p w:rsidR="00C027A9" w:rsidRDefault="00BA173D">
            <w:pPr>
              <w:jc w:val="center"/>
            </w:pPr>
            <w:r>
              <w:rPr>
                <w:rFonts w:eastAsiaTheme="minorEastAsia"/>
                <w:color w:val="000000" w:themeColor="text1"/>
                <w:kern w:val="0"/>
              </w:rPr>
              <w:t>E</w:t>
            </w:r>
            <w:r>
              <w:rPr>
                <w:rFonts w:eastAsiaTheme="minorEastAsia"/>
                <w:color w:val="000000" w:themeColor="text1"/>
                <w:kern w:val="0"/>
              </w:rPr>
              <w:t>金融</w:t>
            </w:r>
          </w:p>
        </w:tc>
        <w:tc>
          <w:tcPr>
            <w:tcW w:w="3119" w:type="dxa"/>
            <w:vAlign w:val="center"/>
          </w:tcPr>
          <w:p w:rsidR="00C027A9" w:rsidRDefault="00BA173D">
            <w:pPr>
              <w:jc w:val="center"/>
            </w:pPr>
            <w:r>
              <w:rPr>
                <w:rFonts w:eastAsiaTheme="minorEastAsia"/>
                <w:color w:val="000000" w:themeColor="text1"/>
                <w:kern w:val="0"/>
              </w:rPr>
              <w:t>-</w:t>
            </w:r>
          </w:p>
        </w:tc>
        <w:tc>
          <w:tcPr>
            <w:tcW w:w="3118" w:type="dxa"/>
            <w:vAlign w:val="center"/>
          </w:tcPr>
          <w:p w:rsidR="00C027A9" w:rsidRDefault="00BA173D">
            <w:pPr>
              <w:jc w:val="center"/>
            </w:pPr>
            <w:r>
              <w:rPr>
                <w:rFonts w:eastAsiaTheme="minorEastAsia"/>
                <w:color w:val="000000" w:themeColor="text1"/>
                <w:kern w:val="0"/>
              </w:rPr>
              <w:t>-</w:t>
            </w:r>
          </w:p>
        </w:tc>
      </w:tr>
      <w:tr w:rsidR="00C027A9">
        <w:trPr>
          <w:jc w:val="center"/>
        </w:trPr>
        <w:tc>
          <w:tcPr>
            <w:tcW w:w="2397" w:type="dxa"/>
            <w:vAlign w:val="center"/>
          </w:tcPr>
          <w:p w:rsidR="00C027A9" w:rsidRDefault="00BA173D">
            <w:pPr>
              <w:jc w:val="center"/>
            </w:pPr>
            <w:r>
              <w:rPr>
                <w:rFonts w:eastAsiaTheme="minorEastAsia"/>
                <w:color w:val="000000" w:themeColor="text1"/>
                <w:kern w:val="0"/>
              </w:rPr>
              <w:t>F</w:t>
            </w:r>
            <w:r>
              <w:rPr>
                <w:rFonts w:eastAsiaTheme="minorEastAsia"/>
                <w:color w:val="000000" w:themeColor="text1"/>
                <w:kern w:val="0"/>
              </w:rPr>
              <w:t>医疗保健</w:t>
            </w:r>
          </w:p>
        </w:tc>
        <w:tc>
          <w:tcPr>
            <w:tcW w:w="3119" w:type="dxa"/>
            <w:vAlign w:val="center"/>
          </w:tcPr>
          <w:p w:rsidR="00C027A9" w:rsidRDefault="00BA173D">
            <w:pPr>
              <w:jc w:val="center"/>
            </w:pPr>
            <w:r>
              <w:rPr>
                <w:rFonts w:eastAsiaTheme="minorEastAsia"/>
                <w:color w:val="000000" w:themeColor="text1"/>
                <w:kern w:val="0"/>
              </w:rPr>
              <w:t>-</w:t>
            </w:r>
          </w:p>
        </w:tc>
        <w:tc>
          <w:tcPr>
            <w:tcW w:w="3118" w:type="dxa"/>
            <w:vAlign w:val="center"/>
          </w:tcPr>
          <w:p w:rsidR="00C027A9" w:rsidRDefault="00BA173D">
            <w:pPr>
              <w:jc w:val="center"/>
            </w:pPr>
            <w:r>
              <w:rPr>
                <w:rFonts w:eastAsiaTheme="minorEastAsia"/>
                <w:color w:val="000000" w:themeColor="text1"/>
                <w:kern w:val="0"/>
              </w:rPr>
              <w:t>-</w:t>
            </w:r>
          </w:p>
        </w:tc>
      </w:tr>
      <w:tr w:rsidR="00C027A9">
        <w:trPr>
          <w:jc w:val="center"/>
        </w:trPr>
        <w:tc>
          <w:tcPr>
            <w:tcW w:w="2397" w:type="dxa"/>
            <w:vAlign w:val="center"/>
          </w:tcPr>
          <w:p w:rsidR="00C027A9" w:rsidRDefault="00BA173D">
            <w:pPr>
              <w:jc w:val="center"/>
            </w:pPr>
            <w:r>
              <w:rPr>
                <w:rFonts w:eastAsiaTheme="minorEastAsia"/>
                <w:color w:val="000000" w:themeColor="text1"/>
                <w:kern w:val="0"/>
              </w:rPr>
              <w:t>G</w:t>
            </w:r>
            <w:r>
              <w:rPr>
                <w:rFonts w:eastAsiaTheme="minorEastAsia"/>
                <w:color w:val="000000" w:themeColor="text1"/>
                <w:kern w:val="0"/>
              </w:rPr>
              <w:t>工业</w:t>
            </w:r>
          </w:p>
        </w:tc>
        <w:tc>
          <w:tcPr>
            <w:tcW w:w="3119" w:type="dxa"/>
            <w:vAlign w:val="center"/>
          </w:tcPr>
          <w:p w:rsidR="00C027A9" w:rsidRDefault="00BA173D">
            <w:pPr>
              <w:jc w:val="center"/>
            </w:pPr>
            <w:r>
              <w:rPr>
                <w:rFonts w:eastAsiaTheme="minorEastAsia"/>
                <w:color w:val="000000" w:themeColor="text1"/>
                <w:kern w:val="0"/>
              </w:rPr>
              <w:t>-</w:t>
            </w:r>
          </w:p>
        </w:tc>
        <w:tc>
          <w:tcPr>
            <w:tcW w:w="3118" w:type="dxa"/>
            <w:vAlign w:val="center"/>
          </w:tcPr>
          <w:p w:rsidR="00C027A9" w:rsidRDefault="00BA173D">
            <w:pPr>
              <w:jc w:val="center"/>
            </w:pPr>
            <w:r>
              <w:rPr>
                <w:rFonts w:eastAsiaTheme="minorEastAsia"/>
                <w:color w:val="000000" w:themeColor="text1"/>
                <w:kern w:val="0"/>
              </w:rPr>
              <w:t>-</w:t>
            </w:r>
          </w:p>
        </w:tc>
      </w:tr>
      <w:tr w:rsidR="00C027A9">
        <w:trPr>
          <w:jc w:val="center"/>
        </w:trPr>
        <w:tc>
          <w:tcPr>
            <w:tcW w:w="2397" w:type="dxa"/>
            <w:vAlign w:val="center"/>
          </w:tcPr>
          <w:p w:rsidR="00C027A9" w:rsidRDefault="00BA173D">
            <w:pPr>
              <w:jc w:val="center"/>
            </w:pPr>
            <w:r>
              <w:rPr>
                <w:rFonts w:eastAsiaTheme="minorEastAsia"/>
                <w:color w:val="000000" w:themeColor="text1"/>
                <w:kern w:val="0"/>
              </w:rPr>
              <w:t>H</w:t>
            </w:r>
            <w:r>
              <w:rPr>
                <w:rFonts w:eastAsiaTheme="minorEastAsia"/>
                <w:color w:val="000000" w:themeColor="text1"/>
                <w:kern w:val="0"/>
              </w:rPr>
              <w:t>信息技术</w:t>
            </w:r>
          </w:p>
        </w:tc>
        <w:tc>
          <w:tcPr>
            <w:tcW w:w="3119" w:type="dxa"/>
            <w:vAlign w:val="center"/>
          </w:tcPr>
          <w:p w:rsidR="00C027A9" w:rsidRDefault="00BA173D">
            <w:pPr>
              <w:jc w:val="center"/>
            </w:pPr>
            <w:r>
              <w:rPr>
                <w:rFonts w:eastAsiaTheme="minorEastAsia"/>
                <w:color w:val="000000" w:themeColor="text1"/>
                <w:kern w:val="0"/>
              </w:rPr>
              <w:t>-</w:t>
            </w:r>
          </w:p>
        </w:tc>
        <w:tc>
          <w:tcPr>
            <w:tcW w:w="3118" w:type="dxa"/>
            <w:vAlign w:val="center"/>
          </w:tcPr>
          <w:p w:rsidR="00C027A9" w:rsidRDefault="00BA173D">
            <w:pPr>
              <w:jc w:val="center"/>
            </w:pPr>
            <w:r>
              <w:rPr>
                <w:rFonts w:eastAsiaTheme="minorEastAsia"/>
                <w:color w:val="000000" w:themeColor="text1"/>
                <w:kern w:val="0"/>
              </w:rPr>
              <w:t>-</w:t>
            </w:r>
          </w:p>
        </w:tc>
      </w:tr>
      <w:tr w:rsidR="00C027A9">
        <w:trPr>
          <w:jc w:val="center"/>
        </w:trPr>
        <w:tc>
          <w:tcPr>
            <w:tcW w:w="2397" w:type="dxa"/>
            <w:vAlign w:val="center"/>
          </w:tcPr>
          <w:p w:rsidR="00C027A9" w:rsidRDefault="00BA173D">
            <w:pPr>
              <w:jc w:val="center"/>
            </w:pPr>
            <w:r>
              <w:rPr>
                <w:rFonts w:eastAsiaTheme="minorEastAsia"/>
                <w:color w:val="000000" w:themeColor="text1"/>
                <w:kern w:val="0"/>
              </w:rPr>
              <w:t>I</w:t>
            </w:r>
            <w:r>
              <w:rPr>
                <w:rFonts w:eastAsiaTheme="minorEastAsia"/>
                <w:color w:val="000000" w:themeColor="text1"/>
                <w:kern w:val="0"/>
              </w:rPr>
              <w:t>电信服务</w:t>
            </w:r>
          </w:p>
        </w:tc>
        <w:tc>
          <w:tcPr>
            <w:tcW w:w="3119" w:type="dxa"/>
            <w:vAlign w:val="center"/>
          </w:tcPr>
          <w:p w:rsidR="00C027A9" w:rsidRDefault="00BA173D">
            <w:pPr>
              <w:jc w:val="center"/>
            </w:pPr>
            <w:r>
              <w:rPr>
                <w:rFonts w:eastAsiaTheme="minorEastAsia"/>
                <w:color w:val="000000" w:themeColor="text1"/>
                <w:kern w:val="0"/>
              </w:rPr>
              <w:t>161,056,765.00</w:t>
            </w:r>
          </w:p>
        </w:tc>
        <w:tc>
          <w:tcPr>
            <w:tcW w:w="3118" w:type="dxa"/>
            <w:vAlign w:val="center"/>
          </w:tcPr>
          <w:p w:rsidR="00C027A9" w:rsidRDefault="00BA173D">
            <w:pPr>
              <w:jc w:val="center"/>
            </w:pPr>
            <w:r>
              <w:rPr>
                <w:rFonts w:eastAsiaTheme="minorEastAsia"/>
                <w:color w:val="000000" w:themeColor="text1"/>
                <w:kern w:val="0"/>
              </w:rPr>
              <w:t>4.39</w:t>
            </w:r>
          </w:p>
        </w:tc>
      </w:tr>
      <w:tr w:rsidR="00C027A9">
        <w:trPr>
          <w:jc w:val="center"/>
        </w:trPr>
        <w:tc>
          <w:tcPr>
            <w:tcW w:w="2397" w:type="dxa"/>
            <w:vAlign w:val="center"/>
          </w:tcPr>
          <w:p w:rsidR="00C027A9" w:rsidRDefault="00BA173D">
            <w:pPr>
              <w:jc w:val="center"/>
            </w:pPr>
            <w:r>
              <w:rPr>
                <w:rFonts w:eastAsiaTheme="minorEastAsia"/>
                <w:color w:val="000000" w:themeColor="text1"/>
                <w:kern w:val="0"/>
              </w:rPr>
              <w:t>J</w:t>
            </w:r>
            <w:r>
              <w:rPr>
                <w:rFonts w:eastAsiaTheme="minorEastAsia"/>
                <w:color w:val="000000" w:themeColor="text1"/>
                <w:kern w:val="0"/>
              </w:rPr>
              <w:t>公用事业</w:t>
            </w:r>
          </w:p>
        </w:tc>
        <w:tc>
          <w:tcPr>
            <w:tcW w:w="3119" w:type="dxa"/>
            <w:vAlign w:val="center"/>
          </w:tcPr>
          <w:p w:rsidR="00C027A9" w:rsidRDefault="00BA173D">
            <w:pPr>
              <w:jc w:val="center"/>
            </w:pPr>
            <w:r>
              <w:rPr>
                <w:rFonts w:eastAsiaTheme="minorEastAsia"/>
                <w:color w:val="000000" w:themeColor="text1"/>
                <w:kern w:val="0"/>
              </w:rPr>
              <w:t>-</w:t>
            </w:r>
          </w:p>
        </w:tc>
        <w:tc>
          <w:tcPr>
            <w:tcW w:w="3118" w:type="dxa"/>
            <w:vAlign w:val="center"/>
          </w:tcPr>
          <w:p w:rsidR="00C027A9" w:rsidRDefault="00BA173D">
            <w:pPr>
              <w:jc w:val="center"/>
            </w:pPr>
            <w:r>
              <w:rPr>
                <w:rFonts w:eastAsiaTheme="minorEastAsia"/>
                <w:color w:val="000000" w:themeColor="text1"/>
                <w:kern w:val="0"/>
              </w:rPr>
              <w:t>-</w:t>
            </w:r>
          </w:p>
        </w:tc>
      </w:tr>
      <w:tr w:rsidR="00C027A9">
        <w:trPr>
          <w:jc w:val="center"/>
        </w:trPr>
        <w:tc>
          <w:tcPr>
            <w:tcW w:w="2397" w:type="dxa"/>
            <w:vAlign w:val="center"/>
          </w:tcPr>
          <w:p w:rsidR="00C027A9" w:rsidRDefault="00BA173D">
            <w:pPr>
              <w:jc w:val="center"/>
            </w:pPr>
            <w:r>
              <w:rPr>
                <w:rFonts w:eastAsiaTheme="minorEastAsia"/>
                <w:color w:val="000000" w:themeColor="text1"/>
                <w:kern w:val="0"/>
              </w:rPr>
              <w:t>K</w:t>
            </w:r>
            <w:r>
              <w:rPr>
                <w:rFonts w:eastAsiaTheme="minorEastAsia"/>
                <w:color w:val="000000" w:themeColor="text1"/>
                <w:kern w:val="0"/>
              </w:rPr>
              <w:t>房地产</w:t>
            </w:r>
          </w:p>
        </w:tc>
        <w:tc>
          <w:tcPr>
            <w:tcW w:w="3119" w:type="dxa"/>
            <w:vAlign w:val="center"/>
          </w:tcPr>
          <w:p w:rsidR="00C027A9" w:rsidRDefault="00BA173D">
            <w:pPr>
              <w:jc w:val="center"/>
            </w:pPr>
            <w:r>
              <w:rPr>
                <w:rFonts w:eastAsiaTheme="minorEastAsia"/>
                <w:color w:val="000000" w:themeColor="text1"/>
                <w:kern w:val="0"/>
              </w:rPr>
              <w:t>-</w:t>
            </w:r>
          </w:p>
        </w:tc>
        <w:tc>
          <w:tcPr>
            <w:tcW w:w="3118" w:type="dxa"/>
            <w:vAlign w:val="center"/>
          </w:tcPr>
          <w:p w:rsidR="00C027A9" w:rsidRDefault="00BA173D">
            <w:pPr>
              <w:jc w:val="center"/>
            </w:pPr>
            <w:r>
              <w:rPr>
                <w:rFonts w:eastAsiaTheme="minorEastAsia"/>
                <w:color w:val="000000" w:themeColor="text1"/>
                <w:kern w:val="0"/>
              </w:rPr>
              <w:t>-</w:t>
            </w:r>
          </w:p>
        </w:tc>
      </w:tr>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合计</w:t>
            </w:r>
          </w:p>
        </w:tc>
        <w:tc>
          <w:tcPr>
            <w:tcW w:w="3119"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182,408,544.78</w:t>
            </w:r>
          </w:p>
        </w:tc>
        <w:tc>
          <w:tcPr>
            <w:tcW w:w="3118"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4.97</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C027A9">
        <w:tc>
          <w:tcPr>
            <w:tcW w:w="817" w:type="dxa"/>
            <w:vAlign w:val="center"/>
          </w:tcPr>
          <w:p w:rsidR="00C027A9" w:rsidRDefault="00BA173D">
            <w:pPr>
              <w:jc w:val="center"/>
            </w:pPr>
            <w:r>
              <w:rPr>
                <w:rFonts w:eastAsiaTheme="minorEastAsia"/>
                <w:kern w:val="0"/>
                <w:sz w:val="24"/>
                <w:szCs w:val="24"/>
              </w:rPr>
              <w:t>1</w:t>
            </w:r>
          </w:p>
        </w:tc>
        <w:tc>
          <w:tcPr>
            <w:tcW w:w="1276" w:type="dxa"/>
            <w:vAlign w:val="center"/>
          </w:tcPr>
          <w:p w:rsidR="00C027A9" w:rsidRDefault="00BA173D">
            <w:pPr>
              <w:jc w:val="center"/>
            </w:pPr>
            <w:r>
              <w:rPr>
                <w:rFonts w:eastAsiaTheme="minorEastAsia"/>
                <w:kern w:val="0"/>
                <w:sz w:val="24"/>
                <w:szCs w:val="24"/>
              </w:rPr>
              <w:t>002236</w:t>
            </w:r>
          </w:p>
        </w:tc>
        <w:tc>
          <w:tcPr>
            <w:tcW w:w="1701" w:type="dxa"/>
            <w:vAlign w:val="center"/>
          </w:tcPr>
          <w:p w:rsidR="00C027A9" w:rsidRDefault="00BA173D">
            <w:pPr>
              <w:jc w:val="center"/>
            </w:pPr>
            <w:r>
              <w:rPr>
                <w:rFonts w:eastAsiaTheme="minorEastAsia"/>
                <w:kern w:val="0"/>
                <w:sz w:val="24"/>
                <w:szCs w:val="24"/>
              </w:rPr>
              <w:t>大华股份</w:t>
            </w:r>
          </w:p>
        </w:tc>
        <w:tc>
          <w:tcPr>
            <w:tcW w:w="1276" w:type="dxa"/>
            <w:vAlign w:val="center"/>
          </w:tcPr>
          <w:p w:rsidR="00C027A9" w:rsidRDefault="00BA173D">
            <w:pPr>
              <w:jc w:val="right"/>
            </w:pPr>
            <w:r>
              <w:rPr>
                <w:rFonts w:eastAsiaTheme="minorEastAsia"/>
                <w:kern w:val="0"/>
                <w:sz w:val="24"/>
                <w:szCs w:val="24"/>
              </w:rPr>
              <w:t>15,980,94</w:t>
            </w:r>
            <w:r>
              <w:rPr>
                <w:rFonts w:eastAsiaTheme="minorEastAsia"/>
                <w:kern w:val="0"/>
                <w:sz w:val="24"/>
                <w:szCs w:val="24"/>
              </w:rPr>
              <w:lastRenderedPageBreak/>
              <w:t>7.00</w:t>
            </w:r>
          </w:p>
        </w:tc>
        <w:tc>
          <w:tcPr>
            <w:tcW w:w="1842" w:type="dxa"/>
            <w:vAlign w:val="center"/>
          </w:tcPr>
          <w:p w:rsidR="00C027A9" w:rsidRDefault="00BA173D">
            <w:pPr>
              <w:jc w:val="right"/>
            </w:pPr>
            <w:r>
              <w:rPr>
                <w:rFonts w:eastAsiaTheme="minorEastAsia"/>
                <w:kern w:val="0"/>
                <w:sz w:val="24"/>
                <w:szCs w:val="24"/>
              </w:rPr>
              <w:lastRenderedPageBreak/>
              <w:t>355,895,689.69</w:t>
            </w:r>
          </w:p>
        </w:tc>
        <w:tc>
          <w:tcPr>
            <w:tcW w:w="1616" w:type="dxa"/>
            <w:vAlign w:val="center"/>
          </w:tcPr>
          <w:p w:rsidR="00C027A9" w:rsidRDefault="00BA173D">
            <w:pPr>
              <w:jc w:val="right"/>
            </w:pPr>
            <w:r>
              <w:rPr>
                <w:rFonts w:eastAsiaTheme="minorEastAsia"/>
                <w:kern w:val="0"/>
                <w:sz w:val="24"/>
                <w:szCs w:val="24"/>
              </w:rPr>
              <w:t>9.70</w:t>
            </w:r>
          </w:p>
        </w:tc>
      </w:tr>
      <w:tr w:rsidR="00C027A9">
        <w:tc>
          <w:tcPr>
            <w:tcW w:w="817" w:type="dxa"/>
            <w:vAlign w:val="center"/>
          </w:tcPr>
          <w:p w:rsidR="00C027A9" w:rsidRDefault="00BA173D">
            <w:pPr>
              <w:jc w:val="center"/>
            </w:pPr>
            <w:r>
              <w:rPr>
                <w:rFonts w:eastAsiaTheme="minorEastAsia"/>
                <w:kern w:val="0"/>
                <w:sz w:val="24"/>
                <w:szCs w:val="24"/>
              </w:rPr>
              <w:t>2</w:t>
            </w:r>
          </w:p>
        </w:tc>
        <w:tc>
          <w:tcPr>
            <w:tcW w:w="1276" w:type="dxa"/>
            <w:vAlign w:val="center"/>
          </w:tcPr>
          <w:p w:rsidR="00C027A9" w:rsidRDefault="00BA173D">
            <w:pPr>
              <w:jc w:val="center"/>
            </w:pPr>
            <w:r>
              <w:rPr>
                <w:rFonts w:eastAsiaTheme="minorEastAsia"/>
                <w:kern w:val="0"/>
                <w:sz w:val="24"/>
                <w:szCs w:val="24"/>
              </w:rPr>
              <w:t>300308</w:t>
            </w:r>
          </w:p>
        </w:tc>
        <w:tc>
          <w:tcPr>
            <w:tcW w:w="1701" w:type="dxa"/>
            <w:vAlign w:val="center"/>
          </w:tcPr>
          <w:p w:rsidR="00C027A9" w:rsidRDefault="00BA173D">
            <w:pPr>
              <w:jc w:val="center"/>
            </w:pPr>
            <w:r>
              <w:rPr>
                <w:rFonts w:eastAsiaTheme="minorEastAsia"/>
                <w:kern w:val="0"/>
                <w:sz w:val="24"/>
                <w:szCs w:val="24"/>
              </w:rPr>
              <w:t>中际旭创</w:t>
            </w:r>
          </w:p>
        </w:tc>
        <w:tc>
          <w:tcPr>
            <w:tcW w:w="1276" w:type="dxa"/>
            <w:vAlign w:val="center"/>
          </w:tcPr>
          <w:p w:rsidR="00C027A9" w:rsidRDefault="00BA173D">
            <w:pPr>
              <w:jc w:val="right"/>
            </w:pPr>
            <w:r>
              <w:rPr>
                <w:rFonts w:eastAsiaTheme="minorEastAsia"/>
                <w:kern w:val="0"/>
                <w:sz w:val="24"/>
                <w:szCs w:val="24"/>
              </w:rPr>
              <w:t>2,904,638.00</w:t>
            </w:r>
          </w:p>
        </w:tc>
        <w:tc>
          <w:tcPr>
            <w:tcW w:w="1842" w:type="dxa"/>
            <w:vAlign w:val="center"/>
          </w:tcPr>
          <w:p w:rsidR="00C027A9" w:rsidRDefault="00BA173D">
            <w:pPr>
              <w:jc w:val="right"/>
            </w:pPr>
            <w:r>
              <w:rPr>
                <w:rFonts w:eastAsiaTheme="minorEastAsia"/>
                <w:kern w:val="0"/>
                <w:sz w:val="24"/>
                <w:szCs w:val="24"/>
              </w:rPr>
              <w:t>336,357,080.40</w:t>
            </w:r>
          </w:p>
        </w:tc>
        <w:tc>
          <w:tcPr>
            <w:tcW w:w="1616" w:type="dxa"/>
            <w:vAlign w:val="center"/>
          </w:tcPr>
          <w:p w:rsidR="00C027A9" w:rsidRDefault="00BA173D">
            <w:pPr>
              <w:jc w:val="right"/>
            </w:pPr>
            <w:r>
              <w:rPr>
                <w:rFonts w:eastAsiaTheme="minorEastAsia"/>
                <w:kern w:val="0"/>
                <w:sz w:val="24"/>
                <w:szCs w:val="24"/>
              </w:rPr>
              <w:t>9.17</w:t>
            </w:r>
          </w:p>
        </w:tc>
      </w:tr>
      <w:tr w:rsidR="00C027A9">
        <w:tc>
          <w:tcPr>
            <w:tcW w:w="817" w:type="dxa"/>
            <w:vAlign w:val="center"/>
          </w:tcPr>
          <w:p w:rsidR="00C027A9" w:rsidRDefault="00BA173D">
            <w:pPr>
              <w:jc w:val="center"/>
            </w:pPr>
            <w:r>
              <w:rPr>
                <w:rFonts w:eastAsiaTheme="minorEastAsia"/>
                <w:kern w:val="0"/>
                <w:sz w:val="24"/>
                <w:szCs w:val="24"/>
              </w:rPr>
              <w:t>3</w:t>
            </w:r>
          </w:p>
        </w:tc>
        <w:tc>
          <w:tcPr>
            <w:tcW w:w="1276" w:type="dxa"/>
            <w:vAlign w:val="center"/>
          </w:tcPr>
          <w:p w:rsidR="00C027A9" w:rsidRDefault="00BA173D">
            <w:pPr>
              <w:jc w:val="center"/>
            </w:pPr>
            <w:r>
              <w:rPr>
                <w:rFonts w:eastAsiaTheme="minorEastAsia"/>
                <w:kern w:val="0"/>
                <w:sz w:val="24"/>
                <w:szCs w:val="24"/>
              </w:rPr>
              <w:t>300394</w:t>
            </w:r>
          </w:p>
        </w:tc>
        <w:tc>
          <w:tcPr>
            <w:tcW w:w="1701" w:type="dxa"/>
            <w:vAlign w:val="center"/>
          </w:tcPr>
          <w:p w:rsidR="00C027A9" w:rsidRDefault="00BA173D">
            <w:pPr>
              <w:jc w:val="center"/>
            </w:pPr>
            <w:r>
              <w:rPr>
                <w:rFonts w:eastAsiaTheme="minorEastAsia"/>
                <w:kern w:val="0"/>
                <w:sz w:val="24"/>
                <w:szCs w:val="24"/>
              </w:rPr>
              <w:t>天孚通信</w:t>
            </w:r>
          </w:p>
        </w:tc>
        <w:tc>
          <w:tcPr>
            <w:tcW w:w="1276" w:type="dxa"/>
            <w:vAlign w:val="center"/>
          </w:tcPr>
          <w:p w:rsidR="00C027A9" w:rsidRDefault="00BA173D">
            <w:pPr>
              <w:jc w:val="right"/>
            </w:pPr>
            <w:r>
              <w:rPr>
                <w:rFonts w:eastAsiaTheme="minorEastAsia"/>
                <w:kern w:val="0"/>
                <w:sz w:val="24"/>
                <w:szCs w:val="24"/>
              </w:rPr>
              <w:t>3,063,141.00</w:t>
            </w:r>
          </w:p>
        </w:tc>
        <w:tc>
          <w:tcPr>
            <w:tcW w:w="1842" w:type="dxa"/>
            <w:vAlign w:val="center"/>
          </w:tcPr>
          <w:p w:rsidR="00C027A9" w:rsidRDefault="00BA173D">
            <w:pPr>
              <w:jc w:val="right"/>
            </w:pPr>
            <w:r>
              <w:rPr>
                <w:rFonts w:eastAsiaTheme="minorEastAsia"/>
                <w:kern w:val="0"/>
                <w:sz w:val="24"/>
                <w:szCs w:val="24"/>
              </w:rPr>
              <w:t>290,998,395.00</w:t>
            </w:r>
          </w:p>
        </w:tc>
        <w:tc>
          <w:tcPr>
            <w:tcW w:w="1616" w:type="dxa"/>
            <w:vAlign w:val="center"/>
          </w:tcPr>
          <w:p w:rsidR="00C027A9" w:rsidRDefault="00BA173D">
            <w:pPr>
              <w:jc w:val="right"/>
            </w:pPr>
            <w:r>
              <w:rPr>
                <w:rFonts w:eastAsiaTheme="minorEastAsia"/>
                <w:kern w:val="0"/>
                <w:sz w:val="24"/>
                <w:szCs w:val="24"/>
              </w:rPr>
              <w:t>7.93</w:t>
            </w:r>
          </w:p>
        </w:tc>
      </w:tr>
      <w:tr w:rsidR="00C027A9">
        <w:tc>
          <w:tcPr>
            <w:tcW w:w="817" w:type="dxa"/>
            <w:vAlign w:val="center"/>
          </w:tcPr>
          <w:p w:rsidR="00C027A9" w:rsidRDefault="00BA173D">
            <w:pPr>
              <w:jc w:val="center"/>
            </w:pPr>
            <w:r>
              <w:rPr>
                <w:rFonts w:eastAsiaTheme="minorEastAsia"/>
                <w:kern w:val="0"/>
                <w:sz w:val="24"/>
                <w:szCs w:val="24"/>
              </w:rPr>
              <w:t>4</w:t>
            </w:r>
          </w:p>
        </w:tc>
        <w:tc>
          <w:tcPr>
            <w:tcW w:w="1276" w:type="dxa"/>
            <w:vAlign w:val="center"/>
          </w:tcPr>
          <w:p w:rsidR="00C027A9" w:rsidRDefault="00BA173D">
            <w:pPr>
              <w:jc w:val="center"/>
            </w:pPr>
            <w:r>
              <w:rPr>
                <w:rFonts w:eastAsiaTheme="minorEastAsia"/>
                <w:kern w:val="0"/>
                <w:sz w:val="24"/>
                <w:szCs w:val="24"/>
              </w:rPr>
              <w:t>300750</w:t>
            </w:r>
          </w:p>
        </w:tc>
        <w:tc>
          <w:tcPr>
            <w:tcW w:w="1701" w:type="dxa"/>
            <w:vAlign w:val="center"/>
          </w:tcPr>
          <w:p w:rsidR="00C027A9" w:rsidRDefault="00BA173D">
            <w:pPr>
              <w:jc w:val="center"/>
            </w:pPr>
            <w:r>
              <w:rPr>
                <w:rFonts w:eastAsiaTheme="minorEastAsia"/>
                <w:kern w:val="0"/>
                <w:sz w:val="24"/>
                <w:szCs w:val="24"/>
              </w:rPr>
              <w:t>宁德时代</w:t>
            </w:r>
          </w:p>
        </w:tc>
        <w:tc>
          <w:tcPr>
            <w:tcW w:w="1276" w:type="dxa"/>
            <w:vAlign w:val="center"/>
          </w:tcPr>
          <w:p w:rsidR="00C027A9" w:rsidRDefault="00BA173D">
            <w:pPr>
              <w:jc w:val="right"/>
            </w:pPr>
            <w:r>
              <w:rPr>
                <w:rFonts w:eastAsiaTheme="minorEastAsia"/>
                <w:kern w:val="0"/>
                <w:sz w:val="24"/>
                <w:szCs w:val="24"/>
              </w:rPr>
              <w:t>1,416,543.00</w:t>
            </w:r>
          </w:p>
        </w:tc>
        <w:tc>
          <w:tcPr>
            <w:tcW w:w="1842" w:type="dxa"/>
            <w:vAlign w:val="center"/>
          </w:tcPr>
          <w:p w:rsidR="00C027A9" w:rsidRDefault="00BA173D">
            <w:pPr>
              <w:jc w:val="right"/>
            </w:pPr>
            <w:r>
              <w:rPr>
                <w:rFonts w:eastAsiaTheme="minorEastAsia"/>
                <w:kern w:val="0"/>
                <w:sz w:val="24"/>
                <w:szCs w:val="24"/>
              </w:rPr>
              <w:t>287,600,725.29</w:t>
            </w:r>
          </w:p>
        </w:tc>
        <w:tc>
          <w:tcPr>
            <w:tcW w:w="1616" w:type="dxa"/>
            <w:vAlign w:val="center"/>
          </w:tcPr>
          <w:p w:rsidR="00C027A9" w:rsidRDefault="00BA173D">
            <w:pPr>
              <w:jc w:val="right"/>
            </w:pPr>
            <w:r>
              <w:rPr>
                <w:rFonts w:eastAsiaTheme="minorEastAsia"/>
                <w:kern w:val="0"/>
                <w:sz w:val="24"/>
                <w:szCs w:val="24"/>
              </w:rPr>
              <w:t>7.84</w:t>
            </w:r>
          </w:p>
        </w:tc>
      </w:tr>
      <w:tr w:rsidR="00C027A9">
        <w:tc>
          <w:tcPr>
            <w:tcW w:w="817" w:type="dxa"/>
            <w:vAlign w:val="center"/>
          </w:tcPr>
          <w:p w:rsidR="00C027A9" w:rsidRDefault="00BA173D">
            <w:pPr>
              <w:jc w:val="center"/>
            </w:pPr>
            <w:r>
              <w:rPr>
                <w:rFonts w:eastAsiaTheme="minorEastAsia"/>
                <w:kern w:val="0"/>
                <w:sz w:val="24"/>
                <w:szCs w:val="24"/>
              </w:rPr>
              <w:t>5</w:t>
            </w:r>
          </w:p>
        </w:tc>
        <w:tc>
          <w:tcPr>
            <w:tcW w:w="1276" w:type="dxa"/>
            <w:vAlign w:val="center"/>
          </w:tcPr>
          <w:p w:rsidR="00C027A9" w:rsidRDefault="00BA173D">
            <w:pPr>
              <w:jc w:val="center"/>
            </w:pPr>
            <w:r>
              <w:rPr>
                <w:rFonts w:eastAsiaTheme="minorEastAsia"/>
                <w:kern w:val="0"/>
                <w:sz w:val="24"/>
                <w:szCs w:val="24"/>
              </w:rPr>
              <w:t>601138</w:t>
            </w:r>
          </w:p>
        </w:tc>
        <w:tc>
          <w:tcPr>
            <w:tcW w:w="1701" w:type="dxa"/>
            <w:vAlign w:val="center"/>
          </w:tcPr>
          <w:p w:rsidR="00C027A9" w:rsidRDefault="00BA173D">
            <w:pPr>
              <w:jc w:val="center"/>
            </w:pPr>
            <w:r>
              <w:rPr>
                <w:rFonts w:eastAsiaTheme="minorEastAsia"/>
                <w:kern w:val="0"/>
                <w:sz w:val="24"/>
                <w:szCs w:val="24"/>
              </w:rPr>
              <w:t>工业富联</w:t>
            </w:r>
          </w:p>
        </w:tc>
        <w:tc>
          <w:tcPr>
            <w:tcW w:w="1276" w:type="dxa"/>
            <w:vAlign w:val="center"/>
          </w:tcPr>
          <w:p w:rsidR="00C027A9" w:rsidRDefault="00BA173D">
            <w:pPr>
              <w:jc w:val="right"/>
            </w:pPr>
            <w:r>
              <w:rPr>
                <w:rFonts w:eastAsiaTheme="minorEastAsia"/>
                <w:kern w:val="0"/>
                <w:sz w:val="24"/>
                <w:szCs w:val="24"/>
              </w:rPr>
              <w:t>10,885,804.00</w:t>
            </w:r>
          </w:p>
        </w:tc>
        <w:tc>
          <w:tcPr>
            <w:tcW w:w="1842" w:type="dxa"/>
            <w:vAlign w:val="center"/>
          </w:tcPr>
          <w:p w:rsidR="00C027A9" w:rsidRDefault="00BA173D">
            <w:pPr>
              <w:jc w:val="right"/>
            </w:pPr>
            <w:r>
              <w:rPr>
                <w:rFonts w:eastAsiaTheme="minorEastAsia"/>
                <w:kern w:val="0"/>
                <w:sz w:val="24"/>
                <w:szCs w:val="24"/>
              </w:rPr>
              <w:t>214,450,338.80</w:t>
            </w:r>
          </w:p>
        </w:tc>
        <w:tc>
          <w:tcPr>
            <w:tcW w:w="1616" w:type="dxa"/>
            <w:vAlign w:val="center"/>
          </w:tcPr>
          <w:p w:rsidR="00C027A9" w:rsidRDefault="00BA173D">
            <w:pPr>
              <w:jc w:val="right"/>
            </w:pPr>
            <w:r>
              <w:rPr>
                <w:rFonts w:eastAsiaTheme="minorEastAsia"/>
                <w:kern w:val="0"/>
                <w:sz w:val="24"/>
                <w:szCs w:val="24"/>
              </w:rPr>
              <w:t>5.85</w:t>
            </w:r>
          </w:p>
        </w:tc>
      </w:tr>
      <w:tr w:rsidR="00C027A9">
        <w:tc>
          <w:tcPr>
            <w:tcW w:w="817" w:type="dxa"/>
            <w:vAlign w:val="center"/>
          </w:tcPr>
          <w:p w:rsidR="00C027A9" w:rsidRDefault="00BA173D">
            <w:pPr>
              <w:jc w:val="center"/>
            </w:pPr>
            <w:r>
              <w:rPr>
                <w:rFonts w:eastAsiaTheme="minorEastAsia"/>
                <w:kern w:val="0"/>
                <w:sz w:val="24"/>
                <w:szCs w:val="24"/>
              </w:rPr>
              <w:t>6</w:t>
            </w:r>
          </w:p>
        </w:tc>
        <w:tc>
          <w:tcPr>
            <w:tcW w:w="1276" w:type="dxa"/>
            <w:vAlign w:val="center"/>
          </w:tcPr>
          <w:p w:rsidR="00C027A9" w:rsidRDefault="00BA173D">
            <w:pPr>
              <w:jc w:val="center"/>
            </w:pPr>
            <w:r>
              <w:rPr>
                <w:rFonts w:eastAsiaTheme="minorEastAsia"/>
                <w:kern w:val="0"/>
                <w:sz w:val="24"/>
                <w:szCs w:val="24"/>
              </w:rPr>
              <w:t>002475</w:t>
            </w:r>
          </w:p>
        </w:tc>
        <w:tc>
          <w:tcPr>
            <w:tcW w:w="1701" w:type="dxa"/>
            <w:vAlign w:val="center"/>
          </w:tcPr>
          <w:p w:rsidR="00C027A9" w:rsidRDefault="00BA173D">
            <w:pPr>
              <w:jc w:val="center"/>
            </w:pPr>
            <w:r>
              <w:rPr>
                <w:rFonts w:eastAsiaTheme="minorEastAsia"/>
                <w:kern w:val="0"/>
                <w:sz w:val="24"/>
                <w:szCs w:val="24"/>
              </w:rPr>
              <w:t>立讯精密</w:t>
            </w:r>
          </w:p>
        </w:tc>
        <w:tc>
          <w:tcPr>
            <w:tcW w:w="1276" w:type="dxa"/>
            <w:vAlign w:val="center"/>
          </w:tcPr>
          <w:p w:rsidR="00C027A9" w:rsidRDefault="00BA173D">
            <w:pPr>
              <w:jc w:val="right"/>
            </w:pPr>
            <w:r>
              <w:rPr>
                <w:rFonts w:eastAsiaTheme="minorEastAsia"/>
                <w:kern w:val="0"/>
                <w:sz w:val="24"/>
                <w:szCs w:val="24"/>
              </w:rPr>
              <w:t>5,784,610.00</w:t>
            </w:r>
          </w:p>
        </w:tc>
        <w:tc>
          <w:tcPr>
            <w:tcW w:w="1842" w:type="dxa"/>
            <w:vAlign w:val="center"/>
          </w:tcPr>
          <w:p w:rsidR="00C027A9" w:rsidRDefault="00BA173D">
            <w:pPr>
              <w:jc w:val="right"/>
            </w:pPr>
            <w:r>
              <w:rPr>
                <w:rFonts w:eastAsiaTheme="minorEastAsia"/>
                <w:kern w:val="0"/>
                <w:sz w:val="24"/>
                <w:szCs w:val="24"/>
              </w:rPr>
              <w:t>172,497,070.20</w:t>
            </w:r>
          </w:p>
        </w:tc>
        <w:tc>
          <w:tcPr>
            <w:tcW w:w="1616" w:type="dxa"/>
            <w:vAlign w:val="center"/>
          </w:tcPr>
          <w:p w:rsidR="00C027A9" w:rsidRDefault="00BA173D">
            <w:pPr>
              <w:jc w:val="right"/>
            </w:pPr>
            <w:r>
              <w:rPr>
                <w:rFonts w:eastAsiaTheme="minorEastAsia"/>
                <w:kern w:val="0"/>
                <w:sz w:val="24"/>
                <w:szCs w:val="24"/>
              </w:rPr>
              <w:t>4.70</w:t>
            </w:r>
          </w:p>
        </w:tc>
      </w:tr>
      <w:tr w:rsidR="00C027A9">
        <w:tc>
          <w:tcPr>
            <w:tcW w:w="817" w:type="dxa"/>
            <w:vAlign w:val="center"/>
          </w:tcPr>
          <w:p w:rsidR="00C027A9" w:rsidRDefault="00BA173D">
            <w:pPr>
              <w:jc w:val="center"/>
            </w:pPr>
            <w:r>
              <w:rPr>
                <w:rFonts w:eastAsiaTheme="minorEastAsia"/>
                <w:kern w:val="0"/>
                <w:sz w:val="24"/>
                <w:szCs w:val="24"/>
              </w:rPr>
              <w:t>7</w:t>
            </w:r>
          </w:p>
        </w:tc>
        <w:tc>
          <w:tcPr>
            <w:tcW w:w="1276" w:type="dxa"/>
            <w:vAlign w:val="center"/>
          </w:tcPr>
          <w:p w:rsidR="00C027A9" w:rsidRDefault="00BA173D">
            <w:pPr>
              <w:jc w:val="center"/>
            </w:pPr>
            <w:r>
              <w:rPr>
                <w:rFonts w:eastAsiaTheme="minorEastAsia"/>
                <w:kern w:val="0"/>
                <w:sz w:val="24"/>
                <w:szCs w:val="24"/>
              </w:rPr>
              <w:t>00700</w:t>
            </w:r>
          </w:p>
        </w:tc>
        <w:tc>
          <w:tcPr>
            <w:tcW w:w="1701" w:type="dxa"/>
            <w:vAlign w:val="center"/>
          </w:tcPr>
          <w:p w:rsidR="00C027A9" w:rsidRDefault="00BA173D">
            <w:pPr>
              <w:jc w:val="center"/>
            </w:pPr>
            <w:r>
              <w:rPr>
                <w:rFonts w:eastAsiaTheme="minorEastAsia"/>
                <w:kern w:val="0"/>
                <w:sz w:val="24"/>
                <w:szCs w:val="24"/>
              </w:rPr>
              <w:t>腾讯控股</w:t>
            </w:r>
          </w:p>
        </w:tc>
        <w:tc>
          <w:tcPr>
            <w:tcW w:w="1276" w:type="dxa"/>
            <w:vAlign w:val="center"/>
          </w:tcPr>
          <w:p w:rsidR="00C027A9" w:rsidRDefault="00BA173D">
            <w:pPr>
              <w:jc w:val="right"/>
            </w:pPr>
            <w:r>
              <w:rPr>
                <w:rFonts w:eastAsiaTheme="minorEastAsia"/>
                <w:kern w:val="0"/>
                <w:sz w:val="24"/>
                <w:szCs w:val="24"/>
              </w:rPr>
              <w:t>573,200.00</w:t>
            </w:r>
          </w:p>
        </w:tc>
        <w:tc>
          <w:tcPr>
            <w:tcW w:w="1842" w:type="dxa"/>
            <w:vAlign w:val="center"/>
          </w:tcPr>
          <w:p w:rsidR="00C027A9" w:rsidRDefault="00BA173D">
            <w:pPr>
              <w:jc w:val="right"/>
            </w:pPr>
            <w:r>
              <w:rPr>
                <w:rFonts w:eastAsiaTheme="minorEastAsia"/>
                <w:kern w:val="0"/>
                <w:sz w:val="24"/>
                <w:szCs w:val="24"/>
              </w:rPr>
              <w:t>161,056,765.00</w:t>
            </w:r>
          </w:p>
        </w:tc>
        <w:tc>
          <w:tcPr>
            <w:tcW w:w="1616" w:type="dxa"/>
            <w:vAlign w:val="center"/>
          </w:tcPr>
          <w:p w:rsidR="00C027A9" w:rsidRDefault="00BA173D">
            <w:pPr>
              <w:jc w:val="right"/>
            </w:pPr>
            <w:r>
              <w:rPr>
                <w:rFonts w:eastAsiaTheme="minorEastAsia"/>
                <w:kern w:val="0"/>
                <w:sz w:val="24"/>
                <w:szCs w:val="24"/>
              </w:rPr>
              <w:t>4.39</w:t>
            </w:r>
          </w:p>
        </w:tc>
      </w:tr>
      <w:tr w:rsidR="00C027A9">
        <w:tc>
          <w:tcPr>
            <w:tcW w:w="817" w:type="dxa"/>
            <w:vAlign w:val="center"/>
          </w:tcPr>
          <w:p w:rsidR="00C027A9" w:rsidRDefault="00BA173D">
            <w:pPr>
              <w:jc w:val="center"/>
            </w:pPr>
            <w:r>
              <w:rPr>
                <w:rFonts w:eastAsiaTheme="minorEastAsia"/>
                <w:kern w:val="0"/>
                <w:sz w:val="24"/>
                <w:szCs w:val="24"/>
              </w:rPr>
              <w:t>8</w:t>
            </w:r>
          </w:p>
        </w:tc>
        <w:tc>
          <w:tcPr>
            <w:tcW w:w="1276" w:type="dxa"/>
            <w:vAlign w:val="center"/>
          </w:tcPr>
          <w:p w:rsidR="00C027A9" w:rsidRDefault="00BA173D">
            <w:pPr>
              <w:jc w:val="center"/>
            </w:pPr>
            <w:r>
              <w:rPr>
                <w:rFonts w:eastAsiaTheme="minorEastAsia"/>
                <w:kern w:val="0"/>
                <w:sz w:val="24"/>
                <w:szCs w:val="24"/>
              </w:rPr>
              <w:t>002180</w:t>
            </w:r>
          </w:p>
        </w:tc>
        <w:tc>
          <w:tcPr>
            <w:tcW w:w="1701" w:type="dxa"/>
            <w:vAlign w:val="center"/>
          </w:tcPr>
          <w:p w:rsidR="00C027A9" w:rsidRDefault="00BA173D">
            <w:pPr>
              <w:jc w:val="center"/>
            </w:pPr>
            <w:r>
              <w:rPr>
                <w:rFonts w:eastAsiaTheme="minorEastAsia"/>
                <w:kern w:val="0"/>
                <w:sz w:val="24"/>
                <w:szCs w:val="24"/>
              </w:rPr>
              <w:t>纳思达</w:t>
            </w:r>
          </w:p>
        </w:tc>
        <w:tc>
          <w:tcPr>
            <w:tcW w:w="1276" w:type="dxa"/>
            <w:vAlign w:val="center"/>
          </w:tcPr>
          <w:p w:rsidR="00C027A9" w:rsidRDefault="00BA173D">
            <w:pPr>
              <w:jc w:val="right"/>
            </w:pPr>
            <w:r>
              <w:rPr>
                <w:rFonts w:eastAsiaTheme="minorEastAsia"/>
                <w:kern w:val="0"/>
                <w:sz w:val="24"/>
                <w:szCs w:val="24"/>
              </w:rPr>
              <w:t>5,287,164.00</w:t>
            </w:r>
          </w:p>
        </w:tc>
        <w:tc>
          <w:tcPr>
            <w:tcW w:w="1842" w:type="dxa"/>
            <w:vAlign w:val="center"/>
          </w:tcPr>
          <w:p w:rsidR="00C027A9" w:rsidRDefault="00BA173D">
            <w:pPr>
              <w:jc w:val="right"/>
            </w:pPr>
            <w:r>
              <w:rPr>
                <w:rFonts w:eastAsiaTheme="minorEastAsia"/>
                <w:kern w:val="0"/>
                <w:sz w:val="24"/>
                <w:szCs w:val="24"/>
              </w:rPr>
              <w:t>136,726,061.04</w:t>
            </w:r>
          </w:p>
        </w:tc>
        <w:tc>
          <w:tcPr>
            <w:tcW w:w="1616" w:type="dxa"/>
            <w:vAlign w:val="center"/>
          </w:tcPr>
          <w:p w:rsidR="00C027A9" w:rsidRDefault="00BA173D">
            <w:pPr>
              <w:jc w:val="right"/>
            </w:pPr>
            <w:r>
              <w:rPr>
                <w:rFonts w:eastAsiaTheme="minorEastAsia"/>
                <w:kern w:val="0"/>
                <w:sz w:val="24"/>
                <w:szCs w:val="24"/>
              </w:rPr>
              <w:t>3.73</w:t>
            </w:r>
          </w:p>
        </w:tc>
      </w:tr>
      <w:tr w:rsidR="00C027A9">
        <w:tc>
          <w:tcPr>
            <w:tcW w:w="817" w:type="dxa"/>
            <w:vAlign w:val="center"/>
          </w:tcPr>
          <w:p w:rsidR="00C027A9" w:rsidRDefault="00BA173D">
            <w:pPr>
              <w:jc w:val="center"/>
            </w:pPr>
            <w:r>
              <w:rPr>
                <w:rFonts w:eastAsiaTheme="minorEastAsia"/>
                <w:kern w:val="0"/>
                <w:sz w:val="24"/>
                <w:szCs w:val="24"/>
              </w:rPr>
              <w:t>9</w:t>
            </w:r>
          </w:p>
        </w:tc>
        <w:tc>
          <w:tcPr>
            <w:tcW w:w="1276" w:type="dxa"/>
            <w:vAlign w:val="center"/>
          </w:tcPr>
          <w:p w:rsidR="00C027A9" w:rsidRDefault="00BA173D">
            <w:pPr>
              <w:jc w:val="center"/>
            </w:pPr>
            <w:r>
              <w:rPr>
                <w:rFonts w:eastAsiaTheme="minorEastAsia"/>
                <w:kern w:val="0"/>
                <w:sz w:val="24"/>
                <w:szCs w:val="24"/>
              </w:rPr>
              <w:t>688472</w:t>
            </w:r>
          </w:p>
        </w:tc>
        <w:tc>
          <w:tcPr>
            <w:tcW w:w="1701" w:type="dxa"/>
            <w:vAlign w:val="center"/>
          </w:tcPr>
          <w:p w:rsidR="00C027A9" w:rsidRDefault="00BA173D">
            <w:pPr>
              <w:jc w:val="center"/>
            </w:pPr>
            <w:r>
              <w:rPr>
                <w:rFonts w:eastAsiaTheme="minorEastAsia"/>
                <w:kern w:val="0"/>
                <w:sz w:val="24"/>
                <w:szCs w:val="24"/>
              </w:rPr>
              <w:t>阿特斯</w:t>
            </w:r>
          </w:p>
        </w:tc>
        <w:tc>
          <w:tcPr>
            <w:tcW w:w="1276" w:type="dxa"/>
            <w:vAlign w:val="center"/>
          </w:tcPr>
          <w:p w:rsidR="00C027A9" w:rsidRDefault="00BA173D">
            <w:pPr>
              <w:jc w:val="right"/>
            </w:pPr>
            <w:r>
              <w:rPr>
                <w:rFonts w:eastAsiaTheme="minorEastAsia"/>
                <w:kern w:val="0"/>
                <w:sz w:val="24"/>
                <w:szCs w:val="24"/>
              </w:rPr>
              <w:t>7,489,516.00</w:t>
            </w:r>
          </w:p>
        </w:tc>
        <w:tc>
          <w:tcPr>
            <w:tcW w:w="1842" w:type="dxa"/>
            <w:vAlign w:val="center"/>
          </w:tcPr>
          <w:p w:rsidR="00C027A9" w:rsidRDefault="00BA173D">
            <w:pPr>
              <w:jc w:val="right"/>
            </w:pPr>
            <w:r>
              <w:rPr>
                <w:rFonts w:eastAsiaTheme="minorEastAsia"/>
                <w:kern w:val="0"/>
                <w:sz w:val="24"/>
                <w:szCs w:val="24"/>
              </w:rPr>
              <w:t>106,500,917.52</w:t>
            </w:r>
          </w:p>
        </w:tc>
        <w:tc>
          <w:tcPr>
            <w:tcW w:w="1616" w:type="dxa"/>
            <w:vAlign w:val="center"/>
          </w:tcPr>
          <w:p w:rsidR="00C027A9" w:rsidRDefault="00BA173D">
            <w:pPr>
              <w:jc w:val="right"/>
            </w:pPr>
            <w:r>
              <w:rPr>
                <w:rFonts w:eastAsiaTheme="minorEastAsia"/>
                <w:kern w:val="0"/>
                <w:sz w:val="24"/>
                <w:szCs w:val="24"/>
              </w:rPr>
              <w:t>2.90</w:t>
            </w:r>
          </w:p>
        </w:tc>
      </w:tr>
      <w:tr w:rsidR="00C027A9">
        <w:tc>
          <w:tcPr>
            <w:tcW w:w="817" w:type="dxa"/>
            <w:vAlign w:val="center"/>
          </w:tcPr>
          <w:p w:rsidR="00C027A9" w:rsidRDefault="00BA173D">
            <w:pPr>
              <w:jc w:val="center"/>
            </w:pPr>
            <w:r>
              <w:rPr>
                <w:rFonts w:eastAsiaTheme="minorEastAsia"/>
                <w:kern w:val="0"/>
                <w:sz w:val="24"/>
                <w:szCs w:val="24"/>
              </w:rPr>
              <w:t>10</w:t>
            </w:r>
          </w:p>
        </w:tc>
        <w:tc>
          <w:tcPr>
            <w:tcW w:w="1276" w:type="dxa"/>
            <w:vAlign w:val="center"/>
          </w:tcPr>
          <w:p w:rsidR="00C027A9" w:rsidRDefault="00BA173D">
            <w:pPr>
              <w:jc w:val="center"/>
            </w:pPr>
            <w:r>
              <w:rPr>
                <w:rFonts w:eastAsiaTheme="minorEastAsia"/>
                <w:kern w:val="0"/>
                <w:sz w:val="24"/>
                <w:szCs w:val="24"/>
              </w:rPr>
              <w:t>600941</w:t>
            </w:r>
          </w:p>
        </w:tc>
        <w:tc>
          <w:tcPr>
            <w:tcW w:w="1701" w:type="dxa"/>
            <w:vAlign w:val="center"/>
          </w:tcPr>
          <w:p w:rsidR="00C027A9" w:rsidRDefault="00BA173D">
            <w:pPr>
              <w:jc w:val="center"/>
            </w:pPr>
            <w:r>
              <w:rPr>
                <w:rFonts w:eastAsiaTheme="minorEastAsia"/>
                <w:kern w:val="0"/>
                <w:sz w:val="24"/>
                <w:szCs w:val="24"/>
              </w:rPr>
              <w:t>中国移动</w:t>
            </w:r>
          </w:p>
        </w:tc>
        <w:tc>
          <w:tcPr>
            <w:tcW w:w="1276" w:type="dxa"/>
            <w:vAlign w:val="center"/>
          </w:tcPr>
          <w:p w:rsidR="00C027A9" w:rsidRDefault="00BA173D">
            <w:pPr>
              <w:jc w:val="right"/>
            </w:pPr>
            <w:r>
              <w:rPr>
                <w:rFonts w:eastAsiaTheme="minorEastAsia"/>
                <w:kern w:val="0"/>
                <w:sz w:val="24"/>
                <w:szCs w:val="24"/>
              </w:rPr>
              <w:t>1,080,371.00</w:t>
            </w:r>
          </w:p>
        </w:tc>
        <w:tc>
          <w:tcPr>
            <w:tcW w:w="1842" w:type="dxa"/>
            <w:vAlign w:val="center"/>
          </w:tcPr>
          <w:p w:rsidR="00C027A9" w:rsidRDefault="00BA173D">
            <w:pPr>
              <w:jc w:val="right"/>
            </w:pPr>
            <w:r>
              <w:rPr>
                <w:rFonts w:eastAsiaTheme="minorEastAsia"/>
                <w:kern w:val="0"/>
                <w:sz w:val="24"/>
                <w:szCs w:val="24"/>
              </w:rPr>
              <w:t>104,601,520.22</w:t>
            </w:r>
          </w:p>
        </w:tc>
        <w:tc>
          <w:tcPr>
            <w:tcW w:w="1616" w:type="dxa"/>
            <w:vAlign w:val="center"/>
          </w:tcPr>
          <w:p w:rsidR="00C027A9" w:rsidRDefault="00BA173D">
            <w:pPr>
              <w:jc w:val="right"/>
            </w:pPr>
            <w:r>
              <w:rPr>
                <w:rFonts w:eastAsiaTheme="minorEastAsia"/>
                <w:kern w:val="0"/>
                <w:sz w:val="24"/>
                <w:szCs w:val="24"/>
              </w:rPr>
              <w:t>2.85</w:t>
            </w:r>
          </w:p>
        </w:tc>
      </w:tr>
      <w:bookmarkEnd w:id="1"/>
    </w:tbl>
    <w:p w:rsidR="00D06738" w:rsidRPr="00FA5A70"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tbl>
      <w:tblPr>
        <w:tblStyle w:val="aff4"/>
        <w:tblW w:w="8755" w:type="dxa"/>
        <w:jc w:val="center"/>
        <w:tblLayout w:type="fixed"/>
        <w:tblLook w:val="04A0" w:firstRow="1" w:lastRow="0" w:firstColumn="1" w:lastColumn="0" w:noHBand="0" w:noVBand="1"/>
      </w:tblPr>
      <w:tblGrid>
        <w:gridCol w:w="817"/>
        <w:gridCol w:w="3260"/>
        <w:gridCol w:w="2949"/>
        <w:gridCol w:w="1729"/>
      </w:tblGrid>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26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债券品种</w:t>
            </w:r>
          </w:p>
        </w:tc>
        <w:tc>
          <w:tcPr>
            <w:tcW w:w="294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国家债券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央行票据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其中：政策性金融债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企业短期融资券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中期票据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可转债（可交换债）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4,533,750.48</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0.12</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同业存单</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9</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其他</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10</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合计</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4,533,750.48</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0.12</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lastRenderedPageBreak/>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tbl>
      <w:tblPr>
        <w:tblStyle w:val="aff4"/>
        <w:tblW w:w="8528" w:type="dxa"/>
        <w:tblLayout w:type="fixed"/>
        <w:tblLook w:val="04A0" w:firstRow="1" w:lastRow="0" w:firstColumn="1" w:lastColumn="0" w:noHBand="0" w:noVBand="1"/>
      </w:tblPr>
      <w:tblGrid>
        <w:gridCol w:w="1252"/>
        <w:gridCol w:w="1310"/>
        <w:gridCol w:w="1282"/>
        <w:gridCol w:w="1426"/>
        <w:gridCol w:w="1646"/>
        <w:gridCol w:w="1612"/>
      </w:tblGrid>
      <w:tr w:rsidR="00D06738" w:rsidRPr="00FF6B9A">
        <w:tc>
          <w:tcPr>
            <w:tcW w:w="125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31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债券代码</w:t>
            </w:r>
          </w:p>
        </w:tc>
        <w:tc>
          <w:tcPr>
            <w:tcW w:w="128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债券名称</w:t>
            </w:r>
          </w:p>
        </w:tc>
        <w:tc>
          <w:tcPr>
            <w:tcW w:w="142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数量</w:t>
            </w:r>
            <w:r w:rsidRPr="00FF6B9A">
              <w:rPr>
                <w:rFonts w:eastAsiaTheme="minorEastAsia"/>
                <w:color w:val="000000" w:themeColor="text1"/>
                <w:kern w:val="0"/>
              </w:rPr>
              <w:t>(</w:t>
            </w:r>
            <w:r w:rsidRPr="00FF6B9A">
              <w:rPr>
                <w:rFonts w:eastAsiaTheme="minorEastAsia"/>
                <w:color w:val="000000" w:themeColor="text1"/>
                <w:kern w:val="0"/>
              </w:rPr>
              <w:t>张</w:t>
            </w:r>
            <w:r w:rsidRPr="00FF6B9A">
              <w:rPr>
                <w:rFonts w:eastAsiaTheme="minorEastAsia"/>
                <w:color w:val="000000" w:themeColor="text1"/>
                <w:kern w:val="0"/>
              </w:rPr>
              <w:t>)</w:t>
            </w:r>
          </w:p>
        </w:tc>
        <w:tc>
          <w:tcPr>
            <w:tcW w:w="164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1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C027A9">
        <w:tc>
          <w:tcPr>
            <w:tcW w:w="1252" w:type="dxa"/>
            <w:vAlign w:val="center"/>
          </w:tcPr>
          <w:p w:rsidR="00C027A9" w:rsidRDefault="00BA173D">
            <w:pPr>
              <w:jc w:val="center"/>
            </w:pPr>
            <w:r>
              <w:rPr>
                <w:rFonts w:eastAsiaTheme="minorEastAsia"/>
                <w:color w:val="000000" w:themeColor="text1"/>
                <w:kern w:val="0"/>
              </w:rPr>
              <w:t>1</w:t>
            </w:r>
          </w:p>
        </w:tc>
        <w:tc>
          <w:tcPr>
            <w:tcW w:w="1310" w:type="dxa"/>
            <w:vAlign w:val="center"/>
          </w:tcPr>
          <w:p w:rsidR="00C027A9" w:rsidRDefault="00BA173D">
            <w:pPr>
              <w:jc w:val="center"/>
            </w:pPr>
            <w:r>
              <w:rPr>
                <w:rFonts w:eastAsiaTheme="minorEastAsia"/>
                <w:color w:val="000000" w:themeColor="text1"/>
                <w:kern w:val="0"/>
              </w:rPr>
              <w:t>110095</w:t>
            </w:r>
          </w:p>
        </w:tc>
        <w:tc>
          <w:tcPr>
            <w:tcW w:w="1282" w:type="dxa"/>
            <w:vAlign w:val="center"/>
          </w:tcPr>
          <w:p w:rsidR="00C027A9" w:rsidRDefault="00BA173D">
            <w:pPr>
              <w:jc w:val="center"/>
            </w:pPr>
            <w:r>
              <w:rPr>
                <w:rFonts w:eastAsiaTheme="minorEastAsia"/>
                <w:color w:val="000000" w:themeColor="text1"/>
                <w:kern w:val="0"/>
              </w:rPr>
              <w:t>双良转债</w:t>
            </w:r>
          </w:p>
        </w:tc>
        <w:tc>
          <w:tcPr>
            <w:tcW w:w="1426" w:type="dxa"/>
            <w:vAlign w:val="center"/>
          </w:tcPr>
          <w:p w:rsidR="00C027A9" w:rsidRDefault="00BA173D">
            <w:pPr>
              <w:jc w:val="right"/>
            </w:pPr>
            <w:r>
              <w:rPr>
                <w:rFonts w:eastAsiaTheme="minorEastAsia"/>
                <w:color w:val="000000" w:themeColor="text1"/>
                <w:kern w:val="0"/>
              </w:rPr>
              <w:t>38,090</w:t>
            </w:r>
          </w:p>
        </w:tc>
        <w:tc>
          <w:tcPr>
            <w:tcW w:w="1646" w:type="dxa"/>
            <w:vAlign w:val="center"/>
          </w:tcPr>
          <w:p w:rsidR="00C027A9" w:rsidRDefault="00BA173D">
            <w:pPr>
              <w:jc w:val="right"/>
            </w:pPr>
            <w:r>
              <w:rPr>
                <w:rFonts w:eastAsiaTheme="minorEastAsia"/>
                <w:color w:val="000000" w:themeColor="text1"/>
                <w:kern w:val="0"/>
              </w:rPr>
              <w:t>4,482,190.14</w:t>
            </w:r>
          </w:p>
        </w:tc>
        <w:tc>
          <w:tcPr>
            <w:tcW w:w="1612" w:type="dxa"/>
            <w:vAlign w:val="center"/>
          </w:tcPr>
          <w:p w:rsidR="00C027A9" w:rsidRDefault="00BA173D">
            <w:pPr>
              <w:jc w:val="right"/>
            </w:pPr>
            <w:r>
              <w:rPr>
                <w:rFonts w:eastAsiaTheme="minorEastAsia"/>
                <w:color w:val="000000" w:themeColor="text1"/>
                <w:kern w:val="0"/>
              </w:rPr>
              <w:t>0.12</w:t>
            </w:r>
          </w:p>
        </w:tc>
      </w:tr>
      <w:tr w:rsidR="00C027A9">
        <w:tc>
          <w:tcPr>
            <w:tcW w:w="1252" w:type="dxa"/>
            <w:vAlign w:val="center"/>
          </w:tcPr>
          <w:p w:rsidR="00C027A9" w:rsidRDefault="00BA173D">
            <w:pPr>
              <w:jc w:val="center"/>
            </w:pPr>
            <w:r>
              <w:rPr>
                <w:rFonts w:eastAsiaTheme="minorEastAsia"/>
                <w:color w:val="000000" w:themeColor="text1"/>
                <w:kern w:val="0"/>
              </w:rPr>
              <w:t>2</w:t>
            </w:r>
          </w:p>
        </w:tc>
        <w:tc>
          <w:tcPr>
            <w:tcW w:w="1310" w:type="dxa"/>
            <w:vAlign w:val="center"/>
          </w:tcPr>
          <w:p w:rsidR="00C027A9" w:rsidRDefault="00BA173D">
            <w:pPr>
              <w:jc w:val="center"/>
            </w:pPr>
            <w:r>
              <w:rPr>
                <w:rFonts w:eastAsiaTheme="minorEastAsia"/>
                <w:color w:val="000000" w:themeColor="text1"/>
                <w:kern w:val="0"/>
              </w:rPr>
              <w:t>118005</w:t>
            </w:r>
          </w:p>
        </w:tc>
        <w:tc>
          <w:tcPr>
            <w:tcW w:w="1282" w:type="dxa"/>
            <w:vAlign w:val="center"/>
          </w:tcPr>
          <w:p w:rsidR="00C027A9" w:rsidRDefault="00BA173D">
            <w:pPr>
              <w:jc w:val="center"/>
            </w:pPr>
            <w:r>
              <w:rPr>
                <w:rFonts w:eastAsiaTheme="minorEastAsia"/>
                <w:color w:val="000000" w:themeColor="text1"/>
                <w:kern w:val="0"/>
              </w:rPr>
              <w:t>天奈转债</w:t>
            </w:r>
          </w:p>
        </w:tc>
        <w:tc>
          <w:tcPr>
            <w:tcW w:w="1426" w:type="dxa"/>
            <w:vAlign w:val="center"/>
          </w:tcPr>
          <w:p w:rsidR="00C027A9" w:rsidRDefault="00BA173D">
            <w:pPr>
              <w:jc w:val="right"/>
            </w:pPr>
            <w:r>
              <w:rPr>
                <w:rFonts w:eastAsiaTheme="minorEastAsia"/>
                <w:color w:val="000000" w:themeColor="text1"/>
                <w:kern w:val="0"/>
              </w:rPr>
              <w:t>500</w:t>
            </w:r>
          </w:p>
        </w:tc>
        <w:tc>
          <w:tcPr>
            <w:tcW w:w="1646" w:type="dxa"/>
            <w:vAlign w:val="center"/>
          </w:tcPr>
          <w:p w:rsidR="00C027A9" w:rsidRDefault="00BA173D">
            <w:pPr>
              <w:jc w:val="right"/>
            </w:pPr>
            <w:r>
              <w:rPr>
                <w:rFonts w:eastAsiaTheme="minorEastAsia"/>
                <w:color w:val="000000" w:themeColor="text1"/>
                <w:kern w:val="0"/>
              </w:rPr>
              <w:t>51,560.34</w:t>
            </w:r>
          </w:p>
        </w:tc>
        <w:tc>
          <w:tcPr>
            <w:tcW w:w="1612" w:type="dxa"/>
            <w:vAlign w:val="center"/>
          </w:tcPr>
          <w:p w:rsidR="00C027A9" w:rsidRDefault="00BA173D">
            <w:pPr>
              <w:jc w:val="right"/>
            </w:pPr>
            <w:r>
              <w:rPr>
                <w:rFonts w:eastAsiaTheme="minorEastAsia"/>
                <w:color w:val="000000" w:themeColor="text1"/>
                <w:kern w:val="0"/>
              </w:rPr>
              <w:t>0.00</w:t>
            </w:r>
          </w:p>
        </w:tc>
      </w:tr>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本基金投资的前十名证券的发行主体本期未出现被监管部门立案调查，或在报告编制日前一年内受到公开谴责、处罚的情形。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778,631.11</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lastRenderedPageBreak/>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105,051,512.72</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37,126.62</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105,867,270.45</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tbl>
      <w:tblPr>
        <w:tblStyle w:val="aff4"/>
        <w:tblW w:w="8513" w:type="dxa"/>
        <w:tblInd w:w="15" w:type="dxa"/>
        <w:tblLayout w:type="fixed"/>
        <w:tblLook w:val="04A0" w:firstRow="1" w:lastRow="0" w:firstColumn="1" w:lastColumn="0" w:noHBand="0" w:noVBand="1"/>
      </w:tblPr>
      <w:tblGrid>
        <w:gridCol w:w="1808"/>
        <w:gridCol w:w="1729"/>
        <w:gridCol w:w="1658"/>
        <w:gridCol w:w="1697"/>
        <w:gridCol w:w="1621"/>
      </w:tblGrid>
      <w:tr w:rsidR="00D06738" w:rsidRPr="00FF6B9A">
        <w:tc>
          <w:tcPr>
            <w:tcW w:w="180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72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债券代码</w:t>
            </w:r>
          </w:p>
        </w:tc>
        <w:tc>
          <w:tcPr>
            <w:tcW w:w="165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债券名称</w:t>
            </w:r>
          </w:p>
        </w:tc>
        <w:tc>
          <w:tcPr>
            <w:tcW w:w="16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21"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p>
        </w:tc>
      </w:tr>
      <w:tr w:rsidR="00C027A9">
        <w:tc>
          <w:tcPr>
            <w:tcW w:w="1808" w:type="dxa"/>
            <w:vAlign w:val="center"/>
          </w:tcPr>
          <w:p w:rsidR="00C027A9" w:rsidRDefault="00BA173D">
            <w:pPr>
              <w:jc w:val="center"/>
            </w:pPr>
            <w:r>
              <w:rPr>
                <w:rFonts w:eastAsiaTheme="minorEastAsia"/>
                <w:color w:val="000000" w:themeColor="text1"/>
                <w:kern w:val="0"/>
              </w:rPr>
              <w:t>1</w:t>
            </w:r>
          </w:p>
        </w:tc>
        <w:tc>
          <w:tcPr>
            <w:tcW w:w="1729" w:type="dxa"/>
            <w:vAlign w:val="center"/>
          </w:tcPr>
          <w:p w:rsidR="00C027A9" w:rsidRDefault="00BA173D">
            <w:pPr>
              <w:jc w:val="center"/>
            </w:pPr>
            <w:r>
              <w:rPr>
                <w:rFonts w:eastAsiaTheme="minorEastAsia"/>
                <w:color w:val="000000" w:themeColor="text1"/>
                <w:kern w:val="0"/>
              </w:rPr>
              <w:t>118005</w:t>
            </w:r>
          </w:p>
        </w:tc>
        <w:tc>
          <w:tcPr>
            <w:tcW w:w="1658" w:type="dxa"/>
            <w:vAlign w:val="center"/>
          </w:tcPr>
          <w:p w:rsidR="00C027A9" w:rsidRDefault="00BA173D">
            <w:pPr>
              <w:jc w:val="center"/>
            </w:pPr>
            <w:r>
              <w:rPr>
                <w:rFonts w:eastAsiaTheme="minorEastAsia"/>
                <w:color w:val="000000" w:themeColor="text1"/>
                <w:kern w:val="0"/>
              </w:rPr>
              <w:t>天奈转债</w:t>
            </w:r>
          </w:p>
        </w:tc>
        <w:tc>
          <w:tcPr>
            <w:tcW w:w="1697" w:type="dxa"/>
            <w:vAlign w:val="center"/>
          </w:tcPr>
          <w:p w:rsidR="00C027A9" w:rsidRDefault="00BA173D">
            <w:pPr>
              <w:jc w:val="right"/>
            </w:pPr>
            <w:r>
              <w:rPr>
                <w:rFonts w:eastAsiaTheme="minorEastAsia"/>
                <w:color w:val="000000" w:themeColor="text1"/>
                <w:kern w:val="0"/>
              </w:rPr>
              <w:t>51,560.34</w:t>
            </w:r>
          </w:p>
        </w:tc>
        <w:tc>
          <w:tcPr>
            <w:tcW w:w="1621" w:type="dxa"/>
            <w:vAlign w:val="center"/>
          </w:tcPr>
          <w:p w:rsidR="00C027A9" w:rsidRDefault="00BA173D">
            <w:pPr>
              <w:jc w:val="right"/>
            </w:pPr>
            <w:r>
              <w:rPr>
                <w:rFonts w:eastAsiaTheme="minorEastAsia"/>
                <w:color w:val="000000" w:themeColor="text1"/>
                <w:kern w:val="0"/>
              </w:rPr>
              <w:t>0.00</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5,627,724,178.77</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14,000,225.64</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208,335,048.99</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5,433,389,355.42</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lastRenderedPageBreak/>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rsidR="00C027A9" w:rsidRDefault="00BA173D">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一</w:t>
      </w:r>
      <w:r>
        <w:rPr>
          <w:rFonts w:eastAsiaTheme="minorEastAsia"/>
          <w:color w:val="000000" w:themeColor="text1"/>
        </w:rPr>
        <w:t>)</w:t>
      </w:r>
      <w:r>
        <w:rPr>
          <w:rFonts w:eastAsiaTheme="minorEastAsia"/>
          <w:color w:val="000000" w:themeColor="text1"/>
        </w:rPr>
        <w:t>中国证监会准予本基金募集注册的文件</w:t>
      </w:r>
    </w:p>
    <w:p w:rsidR="00C027A9" w:rsidRDefault="00BA173D">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二</w:t>
      </w:r>
      <w:r>
        <w:rPr>
          <w:rFonts w:eastAsiaTheme="minorEastAsia"/>
          <w:color w:val="000000" w:themeColor="text1"/>
        </w:rPr>
        <w:t>)</w:t>
      </w:r>
      <w:r>
        <w:rPr>
          <w:rFonts w:eastAsiaTheme="minorEastAsia"/>
          <w:color w:val="000000" w:themeColor="text1"/>
        </w:rPr>
        <w:t>摩根远见两年持有期混合型证券投资基金基金合同</w:t>
      </w:r>
    </w:p>
    <w:p w:rsidR="00C027A9" w:rsidRDefault="00BA173D">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三</w:t>
      </w:r>
      <w:r>
        <w:rPr>
          <w:rFonts w:eastAsiaTheme="minorEastAsia"/>
          <w:color w:val="000000" w:themeColor="text1"/>
        </w:rPr>
        <w:t>)</w:t>
      </w:r>
      <w:r>
        <w:rPr>
          <w:rFonts w:eastAsiaTheme="minorEastAsia"/>
          <w:color w:val="000000" w:themeColor="text1"/>
        </w:rPr>
        <w:t>摩根远见两年持有期混合型证券投资基金托管协议</w:t>
      </w:r>
    </w:p>
    <w:p w:rsidR="00C027A9" w:rsidRDefault="00BA173D">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四</w:t>
      </w:r>
      <w:r>
        <w:rPr>
          <w:rFonts w:eastAsiaTheme="minorEastAsia"/>
          <w:color w:val="000000" w:themeColor="text1"/>
        </w:rPr>
        <w:t>)</w:t>
      </w:r>
      <w:r>
        <w:rPr>
          <w:rFonts w:eastAsiaTheme="minorEastAsia"/>
          <w:color w:val="000000" w:themeColor="text1"/>
        </w:rPr>
        <w:t>法律意见书</w:t>
      </w:r>
    </w:p>
    <w:p w:rsidR="00C027A9" w:rsidRDefault="00BA173D">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五</w:t>
      </w:r>
      <w:r>
        <w:rPr>
          <w:rFonts w:eastAsiaTheme="minorEastAsia"/>
          <w:color w:val="000000" w:themeColor="text1"/>
        </w:rPr>
        <w:t>)</w:t>
      </w:r>
      <w:r>
        <w:rPr>
          <w:rFonts w:eastAsiaTheme="minorEastAsia"/>
          <w:color w:val="000000" w:themeColor="text1"/>
        </w:rPr>
        <w:t>基金管理人业务资格批件、营业执照</w:t>
      </w:r>
    </w:p>
    <w:p w:rsidR="00C027A9" w:rsidRDefault="00BA173D">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六</w:t>
      </w:r>
      <w:r>
        <w:rPr>
          <w:rFonts w:eastAsiaTheme="minorEastAsia"/>
          <w:color w:val="000000" w:themeColor="text1"/>
        </w:rPr>
        <w:t>)</w:t>
      </w:r>
      <w:r>
        <w:rPr>
          <w:rFonts w:eastAsiaTheme="minorEastAsia"/>
          <w:color w:val="000000" w:themeColor="text1"/>
        </w:rPr>
        <w:t>基金托管人业务资格批件、营业执照</w:t>
      </w:r>
    </w:p>
    <w:p w:rsidR="00C027A9" w:rsidRDefault="00BA173D">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七</w:t>
      </w:r>
      <w:r>
        <w:rPr>
          <w:rFonts w:eastAsiaTheme="minorEastAsia"/>
          <w:color w:val="000000" w:themeColor="text1"/>
        </w:rPr>
        <w:t>)</w:t>
      </w:r>
      <w:r>
        <w:rPr>
          <w:rFonts w:eastAsiaTheme="minorEastAsia"/>
          <w:color w:val="000000" w:themeColor="text1"/>
        </w:rPr>
        <w:t>摩根基金管理（中国）有限公司开放式基金业务规则</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w:t>
      </w:r>
      <w:r w:rsidRPr="00FF6B9A">
        <w:rPr>
          <w:rFonts w:eastAsiaTheme="minorEastAsia"/>
          <w:color w:val="000000" w:themeColor="text1"/>
        </w:rPr>
        <w:t>八</w:t>
      </w:r>
      <w:r w:rsidRPr="00FF6B9A">
        <w:rPr>
          <w:rFonts w:eastAsiaTheme="minorEastAsia"/>
          <w:color w:val="000000" w:themeColor="text1"/>
        </w:rPr>
        <w:t>)</w:t>
      </w:r>
      <w:r w:rsidRPr="00FF6B9A">
        <w:rPr>
          <w:rFonts w:eastAsiaTheme="minorEastAsia"/>
          <w:color w:val="000000" w:themeColor="text1"/>
        </w:rPr>
        <w:t>中国证监会要求的其他文件</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基金管理人或基金托管人处。</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lastRenderedPageBreak/>
        <w:t>摩根基金管理（中国）有限公司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二〇二三年十月二十五日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E03" w:rsidRDefault="00376E03">
      <w:r>
        <w:separator/>
      </w:r>
    </w:p>
  </w:endnote>
  <w:endnote w:type="continuationSeparator" w:id="0">
    <w:p w:rsidR="00376E03" w:rsidRDefault="0037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481000" w:rsidRPr="00481000">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481000">
      <w:rPr>
        <w:rStyle w:val="aff"/>
        <w:noProof/>
      </w:rPr>
      <w:t>14</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E03" w:rsidRDefault="00376E03">
      <w:r>
        <w:separator/>
      </w:r>
    </w:p>
  </w:footnote>
  <w:footnote w:type="continuationSeparator" w:id="0">
    <w:p w:rsidR="00376E03" w:rsidRDefault="00376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摩根远见两年持有期混合型证券投资基金</w:t>
    </w:r>
    <w:r>
      <w:rPr>
        <w:rFonts w:hint="eastAsia"/>
      </w:rPr>
      <w:t>2023</w:t>
    </w:r>
    <w:r>
      <w:rPr>
        <w:rFonts w:hint="eastAsia"/>
      </w:rPr>
      <w:t>年第</w:t>
    </w:r>
    <w:r>
      <w:rPr>
        <w:rFonts w:hint="eastAsia"/>
      </w:rPr>
      <w:t>3</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3AD6"/>
    <w:rsid w:val="00324508"/>
    <w:rsid w:val="003259C8"/>
    <w:rsid w:val="003307FE"/>
    <w:rsid w:val="003470E2"/>
    <w:rsid w:val="00352719"/>
    <w:rsid w:val="00355364"/>
    <w:rsid w:val="00364CCB"/>
    <w:rsid w:val="00376E03"/>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1000"/>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44FA"/>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173D"/>
    <w:rsid w:val="00BA604D"/>
    <w:rsid w:val="00BC4585"/>
    <w:rsid w:val="00BC50F1"/>
    <w:rsid w:val="00BC73E5"/>
    <w:rsid w:val="00BD7473"/>
    <w:rsid w:val="00BD7703"/>
    <w:rsid w:val="00BE420D"/>
    <w:rsid w:val="00BF6314"/>
    <w:rsid w:val="00C027A9"/>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159"/>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A5A70"/>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27F485-B241-47C3-BC3A-B6210F70C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1200</Words>
  <Characters>6842</Characters>
  <Application>Microsoft Office Word</Application>
  <DocSecurity>0</DocSecurity>
  <Lines>57</Lines>
  <Paragraphs>16</Paragraphs>
  <ScaleCrop>false</ScaleCrop>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Kate.Hu@FA</cp:lastModifiedBy>
  <cp:revision>272</cp:revision>
  <dcterms:created xsi:type="dcterms:W3CDTF">2012-10-16T06:07:00Z</dcterms:created>
  <dcterms:modified xsi:type="dcterms:W3CDTF">2023-10-24T07:12:00Z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