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957FED" w:rsidRDefault="00957FED">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957FED" w:rsidRDefault="00957FED">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957FED" w:rsidRDefault="00957FED">
      <w:pPr>
        <w:spacing w:line="360" w:lineRule="auto"/>
        <w:jc w:val="center"/>
        <w:rPr>
          <w:rFonts w:hint="eastAsia"/>
        </w:rPr>
      </w:pPr>
      <w:r>
        <w:rPr>
          <w:rFonts w:ascii="宋体" w:hAnsi="宋体" w:hint="eastAsia"/>
          <w:b/>
          <w:bCs/>
          <w:color w:val="000000" w:themeColor="text1"/>
          <w:sz w:val="48"/>
          <w:szCs w:val="30"/>
        </w:rPr>
        <w:t>摩根远见两年持有期混合型证券投资基金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957FED" w:rsidRDefault="00957FED">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957FED" w:rsidRDefault="00957FED">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957FED" w:rsidRDefault="00957FED">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957FED" w:rsidRDefault="00957F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57FED" w:rsidRDefault="00957F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57FED" w:rsidRDefault="00957FED">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57FED" w:rsidRDefault="00957F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57FED" w:rsidRDefault="00957F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57FED" w:rsidRDefault="00957F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57FED" w:rsidRDefault="00957F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57FED" w:rsidRDefault="00957F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57FED" w:rsidRDefault="00957F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57FED" w:rsidRDefault="00957F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57FED" w:rsidRDefault="00957FED">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957FED" w:rsidRDefault="00957FED">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中国银行股份有限公</w:t>
      </w:r>
      <w:r>
        <w:rPr>
          <w:rFonts w:ascii="宋体" w:hAnsi="宋体" w:hint="eastAsia"/>
          <w:b/>
          <w:bCs/>
          <w:sz w:val="28"/>
          <w:szCs w:val="30"/>
        </w:rPr>
        <w:t>司</w:t>
      </w:r>
    </w:p>
    <w:p w:rsidR="00957FED" w:rsidRDefault="00957FED">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957FED" w:rsidRDefault="00957FED">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957FED" w:rsidRDefault="00957FED">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957FED" w:rsidRDefault="00957FED">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000000">
        <w:trPr>
          <w:divId w:val="645554812"/>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rPr>
                <w:rFonts w:hint="eastAsia"/>
              </w:rPr>
            </w:pPr>
            <w:bookmarkStart w:id="32" w:name="OLE_LINK1"/>
            <w:bookmarkEnd w:id="15"/>
            <w:r>
              <w:rPr>
                <w:rFonts w:asciiTheme="minorEastAsia" w:eastAsiaTheme="minorEastAsia" w:hAnsiTheme="minorEastAsia" w:hint="eastAsia"/>
              </w:rPr>
              <w:t>基金简称</w:t>
            </w:r>
            <w:r>
              <w:rPr>
                <w:rFonts w:asciiTheme="minorEastAsia" w:eastAsiaTheme="minorEastAsia" w:hAnsiTheme="minorEastAsia" w:hint="eastAsia"/>
              </w:rPr>
              <w:t xml:space="preserve">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摩根远见两年持有期混</w:t>
            </w:r>
            <w:r>
              <w:rPr>
                <w:rFonts w:asciiTheme="minorEastAsia" w:eastAsiaTheme="minorEastAsia" w:hAnsiTheme="minorEastAsia" w:hint="eastAsia"/>
              </w:rPr>
              <w:t>合</w:t>
            </w:r>
          </w:p>
        </w:tc>
      </w:tr>
      <w:tr w:rsidR="00000000">
        <w:trPr>
          <w:divId w:val="6455548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基金主代码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01061</w:t>
            </w:r>
            <w:r>
              <w:rPr>
                <w:rFonts w:asciiTheme="minorEastAsia" w:eastAsiaTheme="minorEastAsia" w:hAnsiTheme="minorEastAsia" w:hint="eastAsia"/>
              </w:rPr>
              <w:t>0</w:t>
            </w:r>
          </w:p>
        </w:tc>
      </w:tr>
      <w:tr w:rsidR="00000000">
        <w:trPr>
          <w:divId w:val="6455548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基金运作方式</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契约型开放</w:t>
            </w:r>
            <w:r>
              <w:rPr>
                <w:rFonts w:asciiTheme="minorEastAsia" w:eastAsiaTheme="minorEastAsia" w:hAnsiTheme="minorEastAsia" w:hint="eastAsia"/>
              </w:rPr>
              <w:t>式</w:t>
            </w:r>
          </w:p>
        </w:tc>
      </w:tr>
      <w:tr w:rsidR="00000000">
        <w:trPr>
          <w:divId w:val="6455548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基金合同生效日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2021</w:t>
            </w:r>
            <w:r>
              <w:rPr>
                <w:rFonts w:asciiTheme="minorEastAsia" w:eastAsiaTheme="minorEastAsia" w:hAnsiTheme="minorEastAsia" w:hint="eastAsia"/>
              </w:rPr>
              <w:t>年</w:t>
            </w:r>
            <w:r>
              <w:rPr>
                <w:rFonts w:asciiTheme="minorEastAsia" w:eastAsiaTheme="minorEastAsia" w:hAnsiTheme="minorEastAsia" w:hint="eastAsia"/>
              </w:rPr>
              <w:t>1</w:t>
            </w:r>
            <w:r>
              <w:rPr>
                <w:rFonts w:asciiTheme="minorEastAsia" w:eastAsiaTheme="minorEastAsia" w:hAnsiTheme="minorEastAsia" w:hint="eastAsia"/>
              </w:rPr>
              <w:t>月</w:t>
            </w:r>
            <w:r>
              <w:rPr>
                <w:rFonts w:asciiTheme="minorEastAsia" w:eastAsiaTheme="minorEastAsia" w:hAnsiTheme="minorEastAsia" w:hint="eastAsia"/>
              </w:rPr>
              <w:t>11</w:t>
            </w:r>
            <w:r>
              <w:rPr>
                <w:rFonts w:asciiTheme="minorEastAsia" w:eastAsiaTheme="minorEastAsia" w:hAnsiTheme="minorEastAsia" w:hint="eastAsia"/>
              </w:rPr>
              <w:t>日</w:t>
            </w:r>
          </w:p>
        </w:tc>
      </w:tr>
      <w:tr w:rsidR="00000000">
        <w:trPr>
          <w:divId w:val="645554812"/>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报告期末基金份额总额</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1,306,744,573.3</w:t>
            </w:r>
            <w:r>
              <w:rPr>
                <w:rFonts w:asciiTheme="minorEastAsia" w:eastAsiaTheme="minorEastAsia" w:hAnsiTheme="minorEastAsia" w:hint="eastAsia"/>
              </w:rPr>
              <w:t>3</w:t>
            </w:r>
            <w:r>
              <w:rPr>
                <w:rFonts w:asciiTheme="minorEastAsia" w:eastAsiaTheme="minorEastAsia" w:hAnsiTheme="minorEastAsia" w:hint="eastAsia"/>
              </w:rPr>
              <w:t>份</w:t>
            </w:r>
            <w:r>
              <w:rPr>
                <w:rFonts w:asciiTheme="minorEastAsia" w:eastAsiaTheme="minorEastAsia" w:hAnsiTheme="minorEastAsia" w:hint="eastAsia"/>
              </w:rPr>
              <w:t xml:space="preserve"> </w:t>
            </w:r>
          </w:p>
        </w:tc>
      </w:tr>
      <w:tr w:rsidR="00000000">
        <w:trPr>
          <w:divId w:val="645554812"/>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投资目标</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采用定量及定性研究方法，通过自上而下资产配置与自下而上精选个股相结合，基于严格的风险控制，力争实现基金资产的长期增值</w:t>
            </w:r>
            <w:r>
              <w:rPr>
                <w:rFonts w:asciiTheme="minorEastAsia" w:eastAsiaTheme="minorEastAsia" w:hAnsiTheme="minorEastAsia" w:hint="eastAsia"/>
              </w:rPr>
              <w:t>。</w:t>
            </w:r>
          </w:p>
        </w:tc>
      </w:tr>
      <w:tr w:rsidR="00000000">
        <w:trPr>
          <w:divId w:val="645554812"/>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投资策略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1</w:t>
            </w:r>
            <w:r>
              <w:rPr>
                <w:rFonts w:asciiTheme="minorEastAsia" w:eastAsiaTheme="minorEastAsia" w:hAnsiTheme="minorEastAsia" w:hint="eastAsia"/>
              </w:rPr>
              <w:t>、资产配置策略</w:t>
            </w:r>
            <w:r>
              <w:rPr>
                <w:rFonts w:asciiTheme="minorEastAsia" w:eastAsiaTheme="minorEastAsia" w:hAnsiTheme="minorEastAsia" w:hint="eastAsia"/>
              </w:rPr>
              <w:br/>
            </w:r>
            <w:r>
              <w:rPr>
                <w:rFonts w:asciiTheme="minorEastAsia" w:eastAsiaTheme="minorEastAsia" w:hAnsiTheme="minorEastAsia" w:hint="eastAsia"/>
              </w:rPr>
              <w:t>本基金将综合分析和持续跟踪基本面、政策面、市场面等多方面因素，对宏观经济、国家政策、资金面和市场情绪等影响证券市场的重要因素进行深入分析，重点关注包括</w:t>
            </w:r>
            <w:r>
              <w:rPr>
                <w:rFonts w:asciiTheme="minorEastAsia" w:eastAsiaTheme="minorEastAsia" w:hAnsiTheme="minorEastAsia" w:hint="eastAsia"/>
              </w:rPr>
              <w:t>GDP</w:t>
            </w:r>
            <w:r>
              <w:rPr>
                <w:rFonts w:asciiTheme="minorEastAsia" w:eastAsiaTheme="minorEastAsia" w:hAnsiTheme="minorEastAsia" w:hint="eastAsia"/>
              </w:rPr>
              <w:t>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w:t>
            </w:r>
            <w:r>
              <w:rPr>
                <w:rFonts w:asciiTheme="minorEastAsia" w:eastAsiaTheme="minorEastAsia" w:hAnsiTheme="minorEastAsia" w:hint="eastAsia"/>
              </w:rPr>
              <w:br/>
            </w:r>
            <w:r>
              <w:rPr>
                <w:rFonts w:asciiTheme="minorEastAsia" w:eastAsiaTheme="minorEastAsia" w:hAnsiTheme="minorEastAsia" w:hint="eastAsia"/>
              </w:rPr>
              <w:t>在控制风险的前提下，本基金将优先配置股票资产，本基金股票资产占基金资产的投资比例为</w:t>
            </w:r>
            <w:r>
              <w:rPr>
                <w:rFonts w:asciiTheme="minorEastAsia" w:eastAsiaTheme="minorEastAsia" w:hAnsiTheme="minorEastAsia" w:hint="eastAsia"/>
              </w:rPr>
              <w:t>60%-95%</w:t>
            </w:r>
            <w:r>
              <w:rPr>
                <w:rFonts w:asciiTheme="minorEastAsia" w:eastAsiaTheme="minorEastAsia" w:hAnsiTheme="minorEastAsia" w:hint="eastAsia"/>
              </w:rPr>
              <w:t>，其中港股通标的股票的投资比例不超过基金资产的</w:t>
            </w:r>
            <w:r>
              <w:rPr>
                <w:rFonts w:asciiTheme="minorEastAsia" w:eastAsiaTheme="minorEastAsia" w:hAnsiTheme="minorEastAsia" w:hint="eastAsia"/>
              </w:rPr>
              <w:t>30%</w:t>
            </w:r>
            <w:r>
              <w:rPr>
                <w:rFonts w:asciiTheme="minorEastAsia" w:eastAsiaTheme="minorEastAsia" w:hAnsiTheme="minorEastAsia" w:hint="eastAsia"/>
              </w:rPr>
              <w:t>，且不超过股票资产的</w:t>
            </w:r>
            <w:r>
              <w:rPr>
                <w:rFonts w:asciiTheme="minorEastAsia" w:eastAsiaTheme="minorEastAsia" w:hAnsiTheme="minorEastAsia" w:hint="eastAsia"/>
              </w:rPr>
              <w:t>50%</w:t>
            </w:r>
            <w:r>
              <w:rPr>
                <w:rFonts w:asciiTheme="minorEastAsia" w:eastAsiaTheme="minorEastAsia" w:hAnsiTheme="minorEastAsia" w:hint="eastAsia"/>
              </w:rPr>
              <w:t>。</w:t>
            </w:r>
            <w:r>
              <w:rPr>
                <w:rFonts w:asciiTheme="minorEastAsia" w:eastAsiaTheme="minorEastAsia" w:hAnsiTheme="minorEastAsia" w:hint="eastAsia"/>
              </w:rPr>
              <w:br/>
              <w:t>2</w:t>
            </w:r>
            <w:r>
              <w:rPr>
                <w:rFonts w:asciiTheme="minorEastAsia" w:eastAsiaTheme="minorEastAsia" w:hAnsiTheme="minorEastAsia" w:hint="eastAsia"/>
              </w:rPr>
              <w:t>、股票投资策略</w:t>
            </w:r>
            <w:r>
              <w:rPr>
                <w:rFonts w:asciiTheme="minorEastAsia" w:eastAsiaTheme="minorEastAsia" w:hAnsiTheme="minorEastAsia" w:hint="eastAsia"/>
              </w:rPr>
              <w:br/>
            </w:r>
            <w:r>
              <w:rPr>
                <w:rFonts w:asciiTheme="minorEastAsia" w:eastAsiaTheme="minorEastAsia" w:hAnsiTheme="minorEastAsia" w:hint="eastAsia"/>
              </w:rPr>
              <w:t>本基金坚持“挖掘优势行业高成长个股”的选股理念，依托基金管理人的研究平台，自上而下形成行业配置观点，选择中长期有较大发展空间的优势行业进行重点配置；同时自下而上形成个股配置观点，挖掘并灵活投资于各行业中最具有投资价值和成长性的上市公司；通过行业配置与个股选择，获取超越业绩比较基准的超额收益。</w:t>
            </w:r>
            <w:r>
              <w:rPr>
                <w:rFonts w:asciiTheme="minorEastAsia" w:eastAsiaTheme="minorEastAsia" w:hAnsiTheme="minorEastAsia" w:hint="eastAsia"/>
              </w:rPr>
              <w:br/>
              <w:t>3</w:t>
            </w:r>
            <w:r>
              <w:rPr>
                <w:rFonts w:asciiTheme="minorEastAsia" w:eastAsiaTheme="minorEastAsia" w:hAnsiTheme="minorEastAsia" w:hint="eastAsia"/>
              </w:rPr>
              <w:t>、港股投资策略</w:t>
            </w:r>
            <w:r>
              <w:rPr>
                <w:rFonts w:asciiTheme="minorEastAsia" w:eastAsiaTheme="minorEastAsia" w:hAnsiTheme="minorEastAsia" w:hint="eastAsia"/>
              </w:rPr>
              <w:br/>
            </w:r>
            <w:r>
              <w:rPr>
                <w:rFonts w:asciiTheme="minorEastAsia" w:eastAsiaTheme="minorEastAsia" w:hAnsiTheme="minorEastAsia" w:hint="eastAsia"/>
              </w:rPr>
              <w:t>本基金可通过内地与香港股票市场交易互联互通机制投资于香港股票市场。对于港股投资，本基金将</w:t>
            </w:r>
            <w:r>
              <w:rPr>
                <w:rFonts w:asciiTheme="minorEastAsia" w:eastAsiaTheme="minorEastAsia" w:hAnsiTheme="minorEastAsia" w:hint="eastAsia"/>
              </w:rPr>
              <w:t>结合宏观基本面，包含资金流向等对香港上市公司进行初步判断，并结合产业趋势以及公司发展前景自下而上进行布局，从公司商业模式、产品创新及竞争力、主营业务收入来源和区域分布等多维度进行考量，挖掘优质企业。</w:t>
            </w:r>
            <w:r>
              <w:rPr>
                <w:rFonts w:asciiTheme="minorEastAsia" w:eastAsiaTheme="minorEastAsia" w:hAnsiTheme="minorEastAsia" w:hint="eastAsia"/>
              </w:rPr>
              <w:br/>
            </w:r>
            <w:r>
              <w:rPr>
                <w:rFonts w:asciiTheme="minorEastAsia" w:eastAsiaTheme="minorEastAsia" w:hAnsiTheme="minorEastAsia" w:hint="eastAsia"/>
              </w:rPr>
              <w:t>本基金将自上而下地甄选行业，通过对行业政策、景气度、估值吸引力比较、市场预期等标准确定行业配置方案，并通过自下而上方法分析个股，结合各项定量和定性指标挑选出最具上涨潜力的标的。</w:t>
            </w:r>
            <w:r>
              <w:rPr>
                <w:rFonts w:asciiTheme="minorEastAsia" w:eastAsiaTheme="minorEastAsia" w:hAnsiTheme="minorEastAsia" w:hint="eastAsia"/>
              </w:rPr>
              <w:br/>
              <w:t>4</w:t>
            </w:r>
            <w:r>
              <w:rPr>
                <w:rFonts w:asciiTheme="minorEastAsia" w:eastAsiaTheme="minorEastAsia" w:hAnsiTheme="minorEastAsia" w:hint="eastAsia"/>
              </w:rPr>
              <w:t>、债券投资策略</w:t>
            </w:r>
            <w:r>
              <w:rPr>
                <w:rFonts w:asciiTheme="minorEastAsia" w:eastAsiaTheme="minorEastAsia" w:hAnsiTheme="minorEastAsia" w:hint="eastAsia"/>
              </w:rPr>
              <w:br/>
            </w:r>
            <w:r>
              <w:rPr>
                <w:rFonts w:asciiTheme="minorEastAsia" w:eastAsiaTheme="minorEastAsia" w:hAnsiTheme="minorEastAsia" w:hint="eastAsia"/>
              </w:rPr>
              <w:t>本基金将在控制市场风险与流动性风险的前提下，根据对财政政策、货币政策的深入分析以及对宏观经济的持续跟踪，结合不同债券品种的到期收益率、流动性、市场规模等情况，灵活运用久期策略、期限结构配置策略、信用债策略、可转债策略等多种投资策略，实施积极主动的组合管理，并根据对债券收益率曲线形态、息差变化的预测，对债券组合进行动态调整。</w:t>
            </w:r>
            <w:r>
              <w:rPr>
                <w:rFonts w:asciiTheme="minorEastAsia" w:eastAsiaTheme="minorEastAsia" w:hAnsiTheme="minorEastAsia" w:hint="eastAsia"/>
              </w:rPr>
              <w:br/>
              <w:t>5</w:t>
            </w:r>
            <w:r>
              <w:rPr>
                <w:rFonts w:asciiTheme="minorEastAsia" w:eastAsiaTheme="minorEastAsia" w:hAnsiTheme="minorEastAsia" w:hint="eastAsia"/>
              </w:rPr>
              <w:t>、其他投资策略</w:t>
            </w:r>
            <w:r>
              <w:rPr>
                <w:rFonts w:asciiTheme="minorEastAsia" w:eastAsiaTheme="minorEastAsia" w:hAnsiTheme="minorEastAsia" w:hint="eastAsia"/>
              </w:rPr>
              <w:br/>
            </w:r>
            <w:r>
              <w:rPr>
                <w:rFonts w:asciiTheme="minorEastAsia" w:eastAsiaTheme="minorEastAsia" w:hAnsiTheme="minorEastAsia" w:hint="eastAsia"/>
              </w:rPr>
              <w:t>包括股指期货投资策略、资产支持证券投资策略、股票期权投资策略、证券公司短期公司债券投资策略、存托凭证投资策略</w:t>
            </w:r>
            <w:r>
              <w:rPr>
                <w:rFonts w:asciiTheme="minorEastAsia" w:eastAsiaTheme="minorEastAsia" w:hAnsiTheme="minorEastAsia" w:hint="eastAsia"/>
              </w:rPr>
              <w:t>。</w:t>
            </w:r>
          </w:p>
        </w:tc>
      </w:tr>
      <w:tr w:rsidR="00000000">
        <w:trPr>
          <w:divId w:val="6455548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业绩比较基准</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中证</w:t>
            </w:r>
            <w:r>
              <w:rPr>
                <w:rFonts w:asciiTheme="minorEastAsia" w:eastAsiaTheme="minorEastAsia" w:hAnsiTheme="minorEastAsia" w:hint="eastAsia"/>
              </w:rPr>
              <w:t>800</w:t>
            </w:r>
            <w:r>
              <w:rPr>
                <w:rFonts w:asciiTheme="minorEastAsia" w:eastAsiaTheme="minorEastAsia" w:hAnsiTheme="minorEastAsia" w:hint="eastAsia"/>
              </w:rPr>
              <w:t>指数收益率</w:t>
            </w:r>
            <w:r>
              <w:rPr>
                <w:rFonts w:asciiTheme="minorEastAsia" w:eastAsiaTheme="minorEastAsia" w:hAnsiTheme="minorEastAsia" w:hint="eastAsia"/>
              </w:rPr>
              <w:t>*75%+</w:t>
            </w:r>
            <w:r>
              <w:rPr>
                <w:rFonts w:asciiTheme="minorEastAsia" w:eastAsiaTheme="minorEastAsia" w:hAnsiTheme="minorEastAsia" w:hint="eastAsia"/>
              </w:rPr>
              <w:t>中证港股通指数收益率</w:t>
            </w:r>
            <w:r>
              <w:rPr>
                <w:rFonts w:asciiTheme="minorEastAsia" w:eastAsiaTheme="minorEastAsia" w:hAnsiTheme="minorEastAsia" w:hint="eastAsia"/>
              </w:rPr>
              <w:t>*10%+</w:t>
            </w:r>
            <w:r>
              <w:rPr>
                <w:rFonts w:asciiTheme="minorEastAsia" w:eastAsiaTheme="minorEastAsia" w:hAnsiTheme="minorEastAsia" w:hint="eastAsia"/>
              </w:rPr>
              <w:t>上证国债指数收益率</w:t>
            </w:r>
            <w:r>
              <w:rPr>
                <w:rFonts w:asciiTheme="minorEastAsia" w:eastAsiaTheme="minorEastAsia" w:hAnsiTheme="minorEastAsia" w:hint="eastAsia"/>
              </w:rPr>
              <w:t>*15</w:t>
            </w:r>
            <w:r>
              <w:rPr>
                <w:rFonts w:asciiTheme="minorEastAsia" w:eastAsiaTheme="minorEastAsia" w:hAnsiTheme="minorEastAsia" w:hint="eastAsia"/>
              </w:rPr>
              <w:t>%</w:t>
            </w:r>
          </w:p>
        </w:tc>
      </w:tr>
      <w:tr w:rsidR="00000000">
        <w:trPr>
          <w:divId w:val="6455548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风险收益特征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本基金属于混合型基金产品，预期风险和收益水平高于债券型基金和货币市场基金，低于股票型基金</w:t>
            </w:r>
            <w:r>
              <w:rPr>
                <w:rFonts w:asciiTheme="minorEastAsia" w:eastAsiaTheme="minorEastAsia" w:hAnsiTheme="minorEastAsia" w:hint="eastAsia"/>
              </w:rPr>
              <w:t>。</w:t>
            </w:r>
          </w:p>
        </w:tc>
      </w:tr>
      <w:tr w:rsidR="00000000">
        <w:trPr>
          <w:divId w:val="6455548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基金管理人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摩根基金管理（中国）有限公</w:t>
            </w:r>
            <w:r>
              <w:rPr>
                <w:rFonts w:asciiTheme="minorEastAsia" w:eastAsiaTheme="minorEastAsia" w:hAnsiTheme="minorEastAsia" w:hint="eastAsia"/>
              </w:rPr>
              <w:t>司</w:t>
            </w:r>
          </w:p>
        </w:tc>
      </w:tr>
      <w:tr w:rsidR="00000000">
        <w:trPr>
          <w:divId w:val="6455548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基金托管人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957FED" w:rsidRDefault="00957FED">
            <w:pPr>
              <w:widowControl/>
              <w:spacing w:line="315" w:lineRule="atLeast"/>
              <w:jc w:val="left"/>
            </w:pPr>
            <w:r>
              <w:rPr>
                <w:rFonts w:asciiTheme="minorEastAsia" w:eastAsiaTheme="minorEastAsia" w:hAnsiTheme="minorEastAsia" w:hint="eastAsia"/>
              </w:rPr>
              <w:t>中国银行股份有限公</w:t>
            </w:r>
            <w:r>
              <w:rPr>
                <w:rFonts w:asciiTheme="minorEastAsia" w:eastAsiaTheme="minorEastAsia" w:hAnsiTheme="minorEastAsia" w:hint="eastAsia"/>
              </w:rPr>
              <w:t>司</w:t>
            </w:r>
          </w:p>
        </w:tc>
      </w:tr>
    </w:tbl>
    <w:p w:rsidR="00957FED" w:rsidRDefault="00957FED">
      <w:pPr>
        <w:pStyle w:val="XBRLTitle1"/>
        <w:spacing w:before="156" w:line="360" w:lineRule="auto"/>
        <w:ind w:left="425"/>
      </w:pPr>
      <w:bookmarkStart w:id="33" w:name="_Toc17898180"/>
      <w:bookmarkStart w:id="34" w:name="_Toc17897938"/>
      <w:bookmarkStart w:id="35" w:name="_Toc512519482"/>
      <w:bookmarkStart w:id="36" w:name="_Toc481075049"/>
      <w:bookmarkStart w:id="37" w:name="_Toc438646455"/>
      <w:bookmarkStart w:id="38" w:name="_Toc490050003"/>
      <w:bookmarkStart w:id="39" w:name="_Toc513295848"/>
      <w:bookmarkStart w:id="40" w:name="_Toc513295894"/>
      <w:bookmarkStart w:id="41" w:name="m401_tab"/>
      <w:bookmarkStart w:id="42" w:name="m401"/>
      <w:bookmarkEnd w:id="32"/>
      <w:r>
        <w:rPr>
          <w:rFonts w:hAnsi="宋体" w:hint="eastAsia"/>
        </w:rPr>
        <w:t>主要财务指标和基金净值表</w:t>
      </w:r>
      <w:r>
        <w:rPr>
          <w:rFonts w:hAnsi="宋体" w:hint="eastAsia"/>
        </w:rPr>
        <w:t>现</w:t>
      </w:r>
      <w:bookmarkEnd w:id="33"/>
      <w:bookmarkEnd w:id="34"/>
      <w:bookmarkEnd w:id="35"/>
      <w:bookmarkEnd w:id="36"/>
      <w:bookmarkEnd w:id="37"/>
      <w:bookmarkEnd w:id="38"/>
      <w:bookmarkEnd w:id="39"/>
      <w:bookmarkEnd w:id="40"/>
      <w:r>
        <w:rPr>
          <w:rFonts w:hAnsi="宋体" w:hint="eastAsia"/>
        </w:rPr>
        <w:t xml:space="preserve"> </w:t>
      </w:r>
    </w:p>
    <w:p w:rsidR="00957FED" w:rsidRDefault="00957FED">
      <w:pPr>
        <w:pStyle w:val="XBRLTitle2"/>
        <w:spacing w:before="156" w:line="360" w:lineRule="auto"/>
        <w:ind w:left="454"/>
        <w:rPr>
          <w:rFonts w:hint="eastAsia"/>
        </w:rPr>
      </w:pPr>
      <w:bookmarkStart w:id="43" w:name="_Toc17898181"/>
      <w:bookmarkStart w:id="44" w:name="_Toc17897939"/>
      <w:bookmarkStart w:id="45" w:name="_Toc512519483"/>
      <w:bookmarkStart w:id="46" w:name="_Toc481075050"/>
      <w:bookmarkStart w:id="47" w:name="_Toc438646456"/>
      <w:bookmarkStart w:id="48" w:name="_Toc490050004"/>
      <w:bookmarkStart w:id="49" w:name="_Toc513295849"/>
      <w:bookmarkStart w:id="50" w:name="_Toc513295895"/>
      <w:r>
        <w:rPr>
          <w:rFonts w:hAnsi="宋体" w:hint="eastAsia"/>
        </w:rPr>
        <w:t>主要财务指</w:t>
      </w:r>
      <w:r>
        <w:rPr>
          <w:rFonts w:hAnsi="宋体" w:hint="eastAsia"/>
        </w:rPr>
        <w:t>标</w:t>
      </w:r>
      <w:bookmarkEnd w:id="43"/>
      <w:bookmarkEnd w:id="44"/>
      <w:bookmarkEnd w:id="45"/>
      <w:bookmarkEnd w:id="46"/>
      <w:bookmarkEnd w:id="47"/>
      <w:bookmarkEnd w:id="48"/>
      <w:bookmarkEnd w:id="49"/>
      <w:bookmarkEnd w:id="50"/>
      <w:r>
        <w:rPr>
          <w:rFonts w:hAnsi="宋体" w:hint="eastAsia"/>
        </w:rPr>
        <w:t xml:space="preserve"> </w:t>
      </w:r>
    </w:p>
    <w:p w:rsidR="00957FED" w:rsidRDefault="00957FED">
      <w:pPr>
        <w:jc w:val="right"/>
        <w:divId w:val="482889235"/>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000000">
        <w:trPr>
          <w:divId w:val="482889235"/>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957FED" w:rsidRDefault="00957FED">
            <w:pPr>
              <w:pStyle w:val="a5"/>
            </w:pPr>
            <w:r>
              <w:rPr>
                <w:rFonts w:hint="eastAsia"/>
                <w:kern w:val="2"/>
                <w:sz w:val="21"/>
                <w:lang w:eastAsia="zh-Hans"/>
              </w:rPr>
              <w:t>主要财务指标</w:t>
            </w:r>
            <w:r>
              <w:rPr>
                <w:rFonts w:hint="eastAsia"/>
                <w:kern w:val="2"/>
                <w:sz w:val="21"/>
                <w:lang w:eastAsia="zh-Hans"/>
              </w:rPr>
              <w:t xml:space="preserve">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957FED" w:rsidRDefault="00957FED">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p>
        </w:tc>
      </w:tr>
      <w:tr w:rsidR="00000000">
        <w:trPr>
          <w:divId w:val="48288923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pStyle w:val="a5"/>
              <w:rPr>
                <w:rFonts w:hint="eastAsia"/>
              </w:rPr>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jc w:val="right"/>
              <w:rPr>
                <w:rFonts w:hint="eastAsia"/>
              </w:rPr>
            </w:pPr>
            <w:r>
              <w:rPr>
                <w:rFonts w:ascii="宋体" w:hAnsi="宋体" w:hint="eastAsia"/>
                <w:szCs w:val="24"/>
                <w:lang w:eastAsia="zh-Hans"/>
              </w:rPr>
              <w:t>440,243,375.4</w:t>
            </w:r>
            <w:r>
              <w:rPr>
                <w:rFonts w:ascii="宋体" w:hAnsi="宋体" w:hint="eastAsia"/>
                <w:szCs w:val="24"/>
                <w:lang w:eastAsia="zh-Hans"/>
              </w:rPr>
              <w:t>4</w:t>
            </w:r>
          </w:p>
        </w:tc>
      </w:tr>
      <w:tr w:rsidR="00000000">
        <w:trPr>
          <w:divId w:val="48288923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jc w:val="right"/>
              <w:rPr>
                <w:rFonts w:hint="eastAsia"/>
              </w:rPr>
            </w:pPr>
            <w:r>
              <w:rPr>
                <w:rFonts w:ascii="宋体" w:hAnsi="宋体" w:hint="eastAsia"/>
                <w:szCs w:val="24"/>
                <w:lang w:eastAsia="zh-Hans"/>
              </w:rPr>
              <w:t>717,922,758.4</w:t>
            </w:r>
            <w:r>
              <w:rPr>
                <w:rFonts w:ascii="宋体" w:hAnsi="宋体" w:hint="eastAsia"/>
                <w:szCs w:val="24"/>
                <w:lang w:eastAsia="zh-Hans"/>
              </w:rPr>
              <w:t>9</w:t>
            </w:r>
          </w:p>
        </w:tc>
      </w:tr>
      <w:tr w:rsidR="00000000">
        <w:trPr>
          <w:divId w:val="48288923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jc w:val="right"/>
              <w:rPr>
                <w:rFonts w:hint="eastAsia"/>
              </w:rPr>
            </w:pPr>
            <w:r>
              <w:rPr>
                <w:rFonts w:ascii="宋体" w:hAnsi="宋体" w:hint="eastAsia"/>
                <w:szCs w:val="24"/>
                <w:lang w:eastAsia="zh-Hans"/>
              </w:rPr>
              <w:t>0.484</w:t>
            </w:r>
            <w:r>
              <w:rPr>
                <w:rFonts w:ascii="宋体" w:hAnsi="宋体" w:hint="eastAsia"/>
                <w:szCs w:val="24"/>
                <w:lang w:eastAsia="zh-Hans"/>
              </w:rPr>
              <w:t>9</w:t>
            </w:r>
          </w:p>
        </w:tc>
      </w:tr>
      <w:tr w:rsidR="00000000">
        <w:trPr>
          <w:divId w:val="48288923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jc w:val="right"/>
              <w:rPr>
                <w:rFonts w:hint="eastAsia"/>
              </w:rPr>
            </w:pPr>
            <w:r>
              <w:rPr>
                <w:rFonts w:ascii="宋体" w:hAnsi="宋体" w:hint="eastAsia"/>
                <w:szCs w:val="24"/>
                <w:lang w:eastAsia="zh-Hans"/>
              </w:rPr>
              <w:t>2,230,448,240.1</w:t>
            </w:r>
            <w:r>
              <w:rPr>
                <w:rFonts w:ascii="宋体" w:hAnsi="宋体" w:hint="eastAsia"/>
                <w:szCs w:val="24"/>
                <w:lang w:eastAsia="zh-Hans"/>
              </w:rPr>
              <w:t>6</w:t>
            </w:r>
          </w:p>
        </w:tc>
      </w:tr>
      <w:tr w:rsidR="00000000">
        <w:trPr>
          <w:divId w:val="482889235"/>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jc w:val="right"/>
              <w:rPr>
                <w:rFonts w:hint="eastAsia"/>
              </w:rPr>
            </w:pPr>
            <w:r>
              <w:rPr>
                <w:rFonts w:ascii="宋体" w:hAnsi="宋体" w:hint="eastAsia"/>
                <w:szCs w:val="24"/>
                <w:lang w:eastAsia="zh-Hans"/>
              </w:rPr>
              <w:t>1.706</w:t>
            </w:r>
            <w:r>
              <w:rPr>
                <w:rFonts w:ascii="宋体" w:hAnsi="宋体" w:hint="eastAsia"/>
                <w:szCs w:val="24"/>
                <w:lang w:eastAsia="zh-Hans"/>
              </w:rPr>
              <w:t>9</w:t>
            </w:r>
          </w:p>
        </w:tc>
      </w:tr>
    </w:tbl>
    <w:p w:rsidR="00957FED" w:rsidRDefault="00957FED">
      <w:pPr>
        <w:spacing w:line="360" w:lineRule="auto"/>
        <w:divId w:val="1401830715"/>
      </w:pPr>
      <w:r>
        <w:rPr>
          <w:rFonts w:hint="eastAsia"/>
        </w:rPr>
        <w:t>注</w:t>
      </w:r>
      <w:r>
        <w:rPr>
          <w:rFonts w:hint="eastAsia"/>
        </w:rPr>
        <w:t>：</w:t>
      </w:r>
      <w:r>
        <w:rPr>
          <w:rFonts w:ascii="宋体" w:hAnsi="宋体" w:hint="eastAsia"/>
          <w:szCs w:val="24"/>
          <w:lang w:eastAsia="zh-Hans"/>
        </w:rPr>
        <w:t>本期已实现收益指基金本期利息收入、投资收益、其他收入</w:t>
      </w:r>
      <w:r>
        <w:rPr>
          <w:rFonts w:ascii="宋体" w:hAnsi="宋体" w:hint="eastAsia"/>
          <w:szCs w:val="24"/>
          <w:lang w:eastAsia="zh-Hans"/>
        </w:rPr>
        <w:t>(</w:t>
      </w:r>
      <w:r>
        <w:rPr>
          <w:rFonts w:ascii="宋体" w:hAnsi="宋体" w:hint="eastAsia"/>
          <w:szCs w:val="24"/>
          <w:lang w:eastAsia="zh-Hans"/>
        </w:rPr>
        <w:t>不含公允价值变动收益</w:t>
      </w:r>
      <w:r>
        <w:rPr>
          <w:rFonts w:ascii="宋体" w:hAnsi="宋体" w:hint="eastAsia"/>
          <w:szCs w:val="24"/>
          <w:lang w:eastAsia="zh-Hans"/>
        </w:rPr>
        <w:t>)</w:t>
      </w:r>
      <w:r>
        <w:rPr>
          <w:rFonts w:ascii="宋体" w:hAnsi="宋体" w:hint="eastAsia"/>
          <w:szCs w:val="24"/>
          <w:lang w:eastAsia="zh-Hans"/>
        </w:rPr>
        <w:t>扣除相关费用后的余额</w:t>
      </w:r>
      <w:r>
        <w:rPr>
          <w:rFonts w:ascii="宋体" w:hAnsi="宋体" w:hint="eastAsia"/>
          <w:szCs w:val="24"/>
          <w:lang w:eastAsia="zh-Hans"/>
        </w:rPr>
        <w:t>,</w:t>
      </w:r>
      <w:r>
        <w:rPr>
          <w:rFonts w:ascii="宋体" w:hAnsi="宋体" w:hint="eastAsia"/>
          <w:szCs w:val="24"/>
          <w:lang w:eastAsia="zh-Hans"/>
        </w:rPr>
        <w:t>本期利润为本期已实现收益加上本期公允价值变动收益。</w:t>
      </w:r>
      <w:r>
        <w:rPr>
          <w:rFonts w:ascii="宋体" w:hAnsi="宋体" w:hint="eastAsia"/>
          <w:szCs w:val="24"/>
          <w:lang w:eastAsia="zh-Hans"/>
        </w:rPr>
        <w:br/>
      </w:r>
      <w:r>
        <w:rPr>
          <w:rFonts w:ascii="宋体" w:hAnsi="宋体" w:hint="eastAsia"/>
          <w:szCs w:val="24"/>
          <w:lang w:eastAsia="zh-Hans"/>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4"/>
          <w:lang w:eastAsia="zh-Hans"/>
        </w:rPr>
        <w:t>。</w:t>
      </w:r>
      <w:r>
        <w:rPr>
          <w:rFonts w:ascii="宋体" w:hAnsi="宋体" w:hint="eastAsia"/>
          <w:lang w:eastAsia="zh-Hans"/>
        </w:rPr>
        <w:t xml:space="preserve"> </w:t>
      </w:r>
    </w:p>
    <w:p w:rsidR="00957FED" w:rsidRDefault="00957FED">
      <w:pPr>
        <w:pStyle w:val="XBRLTitle2"/>
        <w:spacing w:before="156" w:line="360" w:lineRule="auto"/>
        <w:ind w:left="454"/>
      </w:pPr>
      <w:bookmarkStart w:id="51" w:name="_Toc17898182"/>
      <w:bookmarkStart w:id="52" w:name="_Toc17897940"/>
      <w:bookmarkStart w:id="53" w:name="_Toc512519484"/>
      <w:bookmarkStart w:id="54" w:name="_Toc481075051"/>
      <w:bookmarkStart w:id="55" w:name="_Toc438646457"/>
      <w:bookmarkStart w:id="56" w:name="_Toc490050005"/>
      <w:bookmarkStart w:id="57" w:name="_Toc513295850"/>
      <w:bookmarkStart w:id="58" w:name="_Toc513295896"/>
      <w:r>
        <w:rPr>
          <w:rFonts w:hAnsi="宋体" w:hint="eastAsia"/>
        </w:rPr>
        <w:t>基金净值表</w:t>
      </w:r>
      <w:r>
        <w:rPr>
          <w:rFonts w:hAnsi="宋体" w:hint="eastAsia"/>
        </w:rPr>
        <w:t>现</w:t>
      </w:r>
      <w:bookmarkEnd w:id="51"/>
      <w:bookmarkEnd w:id="52"/>
      <w:bookmarkEnd w:id="53"/>
      <w:bookmarkEnd w:id="54"/>
      <w:bookmarkEnd w:id="55"/>
      <w:bookmarkEnd w:id="56"/>
      <w:bookmarkEnd w:id="57"/>
      <w:bookmarkEnd w:id="58"/>
      <w:r>
        <w:rPr>
          <w:rFonts w:hAnsi="宋体" w:hint="eastAsia"/>
        </w:rPr>
        <w:t xml:space="preserve"> </w:t>
      </w:r>
    </w:p>
    <w:p w:rsidR="00957FED" w:rsidRDefault="00957FED">
      <w:pPr>
        <w:pStyle w:val="XBRLTitle3"/>
        <w:spacing w:before="156"/>
        <w:ind w:left="0"/>
        <w:rPr>
          <w:rFonts w:hint="eastAsia"/>
        </w:rPr>
      </w:pPr>
      <w:bookmarkStart w:id="59" w:name="_Toc17898183"/>
      <w:bookmarkStart w:id="60" w:name="_Toc512519485"/>
      <w:bookmarkStart w:id="61" w:name="_Toc481075052"/>
      <w:bookmarkStart w:id="62" w:name="_Toc490050006"/>
      <w:bookmarkStart w:id="63" w:name="_Toc513295897"/>
      <w:r>
        <w:rPr>
          <w:rFonts w:hint="eastAsia"/>
        </w:rPr>
        <w:t>基金份额净值增长率及其与同期业绩比较基准收益率的比</w:t>
      </w:r>
      <w:r>
        <w:rPr>
          <w:rFonts w:hint="eastAsia"/>
        </w:rPr>
        <w:t>较</w:t>
      </w:r>
      <w:bookmarkEnd w:id="59"/>
      <w:bookmarkEnd w:id="60"/>
      <w:bookmarkEnd w:id="61"/>
      <w:bookmarkEnd w:id="62"/>
      <w:bookmarkEnd w:id="63"/>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000000">
        <w:trPr>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57FED" w:rsidRDefault="00957FED">
            <w:pPr>
              <w:spacing w:line="360" w:lineRule="auto"/>
              <w:jc w:val="center"/>
              <w:rPr>
                <w:rFonts w:hint="eastAsia"/>
              </w:rPr>
            </w:pPr>
            <w:r>
              <w:rPr>
                <w:rFonts w:ascii="宋体" w:hAnsi="宋体" w:hint="eastAsia"/>
              </w:rPr>
              <w:t>阶段</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57FED" w:rsidRDefault="00957FED">
            <w:pPr>
              <w:spacing w:line="360" w:lineRule="auto"/>
              <w:jc w:val="center"/>
            </w:pPr>
            <w:r>
              <w:rPr>
                <w:rFonts w:ascii="宋体" w:hAnsi="宋体" w:hint="eastAsia"/>
              </w:rPr>
              <w:t>净值增长率①</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57FED" w:rsidRDefault="00957FED">
            <w:pPr>
              <w:spacing w:line="360" w:lineRule="auto"/>
              <w:jc w:val="center"/>
            </w:pPr>
            <w:r>
              <w:rPr>
                <w:rFonts w:ascii="宋体" w:hAnsi="宋体" w:hint="eastAsia"/>
              </w:rPr>
              <w:t>净值增长率标准差②</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57FED" w:rsidRDefault="00957FED">
            <w:pPr>
              <w:spacing w:line="360" w:lineRule="auto"/>
              <w:jc w:val="center"/>
            </w:pPr>
            <w:r>
              <w:rPr>
                <w:rFonts w:ascii="宋体" w:hAnsi="宋体" w:hint="eastAsia"/>
              </w:rPr>
              <w:t>业绩比较基准收益率③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57FED" w:rsidRDefault="00957FED">
            <w:pPr>
              <w:spacing w:line="360" w:lineRule="auto"/>
              <w:jc w:val="center"/>
            </w:pPr>
            <w:r>
              <w:rPr>
                <w:rFonts w:ascii="宋体" w:hAnsi="宋体" w:hint="eastAsia"/>
              </w:rPr>
              <w:t>业绩比较基准收益率标准差④</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57FED" w:rsidRDefault="00957FED">
            <w:pPr>
              <w:spacing w:line="360" w:lineRule="auto"/>
              <w:jc w:val="center"/>
            </w:pPr>
            <w:r>
              <w:rPr>
                <w:rFonts w:ascii="宋体" w:hAnsi="宋体" w:hint="eastAsia"/>
              </w:rPr>
              <w:t>①－③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57FED" w:rsidRDefault="00957FED">
            <w:pPr>
              <w:spacing w:line="360" w:lineRule="auto"/>
              <w:jc w:val="center"/>
            </w:pPr>
            <w:r>
              <w:rPr>
                <w:rFonts w:ascii="宋体" w:hAnsi="宋体" w:hint="eastAsia"/>
              </w:rPr>
              <w:t>②－④</w:t>
            </w:r>
            <w:r>
              <w:rPr>
                <w:rFonts w:ascii="宋体" w:hAnsi="宋体" w:hint="eastAsia"/>
              </w:rPr>
              <w:t xml:space="preserve"> </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center"/>
            </w:pPr>
            <w:r>
              <w:rPr>
                <w:rFonts w:ascii="宋体" w:hAnsi="宋体" w:hint="eastAsia"/>
              </w:rPr>
              <w:t>过去三个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36.9</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2.1</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9.5</w:t>
            </w:r>
            <w:r>
              <w:rPr>
                <w:rFonts w:ascii="宋体" w:hAnsi="宋体" w:hint="eastAsia"/>
              </w:rPr>
              <w:t>4</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1.0</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27.3</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1.1</w:t>
            </w:r>
            <w:r>
              <w:rPr>
                <w:rFonts w:ascii="宋体" w:hAnsi="宋体" w:hint="eastAsia"/>
              </w:rPr>
              <w:t>1</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center"/>
            </w:pPr>
            <w:r>
              <w:rPr>
                <w:rFonts w:ascii="宋体" w:hAnsi="宋体" w:hint="eastAsia"/>
              </w:rPr>
              <w:t>过去六个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28.8</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1.8</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7.1</w:t>
            </w:r>
            <w:r>
              <w:rPr>
                <w:rFonts w:ascii="宋体" w:hAnsi="宋体" w:hint="eastAsia"/>
              </w:rPr>
              <w:t>2</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1.0</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21.7</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0.8</w:t>
            </w:r>
            <w:r>
              <w:rPr>
                <w:rFonts w:ascii="宋体" w:hAnsi="宋体" w:hint="eastAsia"/>
              </w:rPr>
              <w:t>4</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center"/>
            </w:pPr>
            <w:r>
              <w:rPr>
                <w:rFonts w:ascii="宋体" w:hAnsi="宋体" w:hint="eastAsia"/>
              </w:rPr>
              <w:t>过去一</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101.3</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1.9</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24.2</w:t>
            </w:r>
            <w:r>
              <w:rPr>
                <w:rFonts w:ascii="宋体" w:hAnsi="宋体" w:hint="eastAsia"/>
              </w:rPr>
              <w:t>7</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0.9</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77.0</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1.0</w:t>
            </w:r>
            <w:r>
              <w:rPr>
                <w:rFonts w:ascii="宋体" w:hAnsi="宋体" w:hint="eastAsia"/>
              </w:rPr>
              <w:t>7</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center"/>
            </w:pPr>
            <w:r>
              <w:rPr>
                <w:rFonts w:ascii="宋体" w:hAnsi="宋体" w:hint="eastAsia"/>
              </w:rPr>
              <w:t>过去三</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110.3</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1.8</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29.5</w:t>
            </w:r>
            <w:r>
              <w:rPr>
                <w:rFonts w:ascii="宋体" w:hAnsi="宋体" w:hint="eastAsia"/>
              </w:rPr>
              <w:t>1</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0.9</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80.8</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0.8</w:t>
            </w:r>
            <w:r>
              <w:rPr>
                <w:rFonts w:ascii="宋体" w:hAnsi="宋体" w:hint="eastAsia"/>
              </w:rPr>
              <w:t>3</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center"/>
            </w:pPr>
            <w:r>
              <w:rPr>
                <w:rFonts w:ascii="宋体" w:hAnsi="宋体" w:hint="eastAsia"/>
              </w:rPr>
              <w:t>过去五</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60.4</w:t>
            </w:r>
            <w:r>
              <w:rPr>
                <w:rFonts w:ascii="宋体" w:hAnsi="宋体" w:hint="eastAsia"/>
              </w:rPr>
              <w:t>2</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1.8</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4.2</w:t>
            </w:r>
            <w:r>
              <w:rPr>
                <w:rFonts w:ascii="宋体" w:hAnsi="宋体" w:hint="eastAsia"/>
              </w:rPr>
              <w:t>0</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0.9</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56.2</w:t>
            </w:r>
            <w:r>
              <w:rPr>
                <w:rFonts w:ascii="宋体" w:hAnsi="宋体" w:hint="eastAsia"/>
              </w:rPr>
              <w:t>2</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0.8</w:t>
            </w:r>
            <w:r>
              <w:rPr>
                <w:rFonts w:ascii="宋体" w:hAnsi="宋体" w:hint="eastAsia"/>
              </w:rPr>
              <w:t>4</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center"/>
            </w:pPr>
            <w:r>
              <w:rPr>
                <w:rFonts w:ascii="宋体" w:hAnsi="宋体" w:hint="eastAsia"/>
              </w:rPr>
              <w:t>自基金合同生效起至</w:t>
            </w:r>
            <w:r>
              <w:rPr>
                <w:rFonts w:ascii="宋体" w:hAnsi="宋体" w:hint="eastAsia"/>
              </w:rPr>
              <w:t>今</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70.6</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1.7</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2.3</w:t>
            </w:r>
            <w:r>
              <w:rPr>
                <w:rFonts w:ascii="宋体" w:hAnsi="宋体" w:hint="eastAsia"/>
              </w:rPr>
              <w:t>5</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0.9</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68.3</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57FED" w:rsidRDefault="00957FED">
            <w:pPr>
              <w:spacing w:line="360" w:lineRule="auto"/>
              <w:jc w:val="right"/>
            </w:pPr>
            <w:r>
              <w:rPr>
                <w:rFonts w:ascii="宋体" w:hAnsi="宋体" w:hint="eastAsia"/>
              </w:rPr>
              <w:t>0.8</w:t>
            </w:r>
            <w:r>
              <w:rPr>
                <w:rFonts w:ascii="宋体" w:hAnsi="宋体" w:hint="eastAsia"/>
              </w:rPr>
              <w:t>1</w:t>
            </w:r>
            <w:r>
              <w:rPr>
                <w:rFonts w:ascii="宋体" w:hAnsi="宋体" w:hint="eastAsia"/>
              </w:rPr>
              <w:t>%</w:t>
            </w:r>
          </w:p>
        </w:tc>
      </w:tr>
    </w:tbl>
    <w:p w:rsidR="00957FED" w:rsidRDefault="00957FED">
      <w:pPr>
        <w:pStyle w:val="XBRLTitle3"/>
        <w:spacing w:before="156"/>
        <w:ind w:left="0"/>
      </w:pPr>
      <w:bookmarkStart w:id="64" w:name="_Toc17898184"/>
      <w:bookmarkStart w:id="65" w:name="_Toc512519486"/>
      <w:bookmarkStart w:id="66" w:name="_Toc481075053"/>
      <w:bookmarkStart w:id="67" w:name="_Toc490050007"/>
      <w:bookmarkStart w:id="68"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4"/>
      <w:bookmarkEnd w:id="65"/>
      <w:bookmarkEnd w:id="66"/>
      <w:bookmarkEnd w:id="67"/>
      <w:bookmarkEnd w:id="68"/>
    </w:p>
    <w:p w:rsidR="00957FED" w:rsidRDefault="00957FED">
      <w:pPr>
        <w:spacing w:line="360" w:lineRule="auto"/>
        <w:jc w:val="left"/>
        <w:rPr>
          <w:rFonts w:hint="eastAsia"/>
        </w:rPr>
      </w:pPr>
      <w:bookmarkStart w:id="69" w:name="m07_04_07_09"/>
      <w:bookmarkStart w:id="70"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957FED" w:rsidRDefault="00957FED">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2021</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11</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957FED" w:rsidRDefault="00957FED">
      <w:pPr>
        <w:pStyle w:val="XBRLTitle1"/>
        <w:spacing w:before="156" w:line="360" w:lineRule="auto"/>
        <w:ind w:left="425"/>
      </w:pPr>
      <w:bookmarkStart w:id="71" w:name="_Toc17898186"/>
      <w:bookmarkStart w:id="72" w:name="_Toc17897942"/>
      <w:bookmarkStart w:id="73" w:name="_Toc481075054"/>
      <w:bookmarkStart w:id="74" w:name="_Toc438646458"/>
      <w:bookmarkStart w:id="75" w:name="_Toc490050008"/>
      <w:bookmarkStart w:id="76" w:name="_Toc512519487"/>
      <w:bookmarkStart w:id="77" w:name="_Toc513295851"/>
      <w:bookmarkStart w:id="78" w:name="_Toc513295899"/>
      <w:r>
        <w:rPr>
          <w:rFonts w:hAnsi="宋体" w:hint="eastAsia"/>
        </w:rPr>
        <w:t>管理人报</w:t>
      </w:r>
      <w:r>
        <w:rPr>
          <w:rFonts w:hAnsi="宋体" w:hint="eastAsia"/>
        </w:rPr>
        <w:t>告</w:t>
      </w:r>
      <w:bookmarkEnd w:id="71"/>
      <w:bookmarkEnd w:id="72"/>
      <w:bookmarkEnd w:id="73"/>
      <w:bookmarkEnd w:id="74"/>
      <w:bookmarkEnd w:id="75"/>
      <w:bookmarkEnd w:id="76"/>
      <w:bookmarkEnd w:id="77"/>
      <w:bookmarkEnd w:id="78"/>
      <w:r>
        <w:rPr>
          <w:rFonts w:hAnsi="宋体" w:hint="eastAsia"/>
        </w:rPr>
        <w:t xml:space="preserve"> </w:t>
      </w:r>
    </w:p>
    <w:p w:rsidR="00957FED" w:rsidRDefault="00957FED">
      <w:pPr>
        <w:pStyle w:val="XBRLTitle2"/>
        <w:spacing w:before="156" w:line="360" w:lineRule="auto"/>
        <w:ind w:left="454"/>
        <w:rPr>
          <w:rFonts w:hint="eastAsia"/>
        </w:rPr>
      </w:pPr>
      <w:bookmarkStart w:id="79" w:name="_Toc17898187"/>
      <w:bookmarkStart w:id="80" w:name="_Toc17897943"/>
      <w:bookmarkStart w:id="81" w:name="_Toc481075055"/>
      <w:bookmarkStart w:id="82" w:name="_Toc438646459"/>
      <w:bookmarkStart w:id="83" w:name="_Toc490050009"/>
      <w:bookmarkStart w:id="84" w:name="_Toc512519488"/>
      <w:bookmarkStart w:id="85" w:name="_Toc513295852"/>
      <w:bookmarkStart w:id="86" w:name="_Toc513295900"/>
      <w:r>
        <w:rPr>
          <w:rFonts w:hAnsi="宋体" w:hint="eastAsia"/>
        </w:rPr>
        <w:t>基金经理（或基金经理小组）简</w:t>
      </w:r>
      <w:r>
        <w:rPr>
          <w:rFonts w:hAnsi="宋体" w:hint="eastAsia"/>
        </w:rPr>
        <w:t>介</w:t>
      </w:r>
      <w:bookmarkEnd w:id="79"/>
      <w:bookmarkEnd w:id="80"/>
      <w:bookmarkEnd w:id="81"/>
      <w:bookmarkEnd w:id="82"/>
      <w:bookmarkEnd w:id="83"/>
      <w:bookmarkEnd w:id="84"/>
      <w:bookmarkEnd w:id="85"/>
      <w:bookmarkEnd w:id="86"/>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347490483"/>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57FED" w:rsidRDefault="00957FED">
            <w:pPr>
              <w:snapToGrid w:val="0"/>
              <w:jc w:val="center"/>
              <w:rPr>
                <w:rFonts w:hint="eastAsia"/>
              </w:rPr>
            </w:pPr>
            <w:bookmarkStart w:id="87" w:name="m04_02"/>
            <w:bookmarkEnd w:id="87"/>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57FED" w:rsidRDefault="00957FED">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57FED" w:rsidRDefault="00957FED">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57FED" w:rsidRDefault="00957FED">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57FED" w:rsidRDefault="00957FED">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347490483"/>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7FED" w:rsidRDefault="00957FE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7FED" w:rsidRDefault="00957FED">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57FED" w:rsidRDefault="00957FED">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57FED" w:rsidRDefault="00957FED">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7FED" w:rsidRDefault="00957FE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7FED" w:rsidRDefault="00957FED">
            <w:pPr>
              <w:widowControl/>
              <w:jc w:val="left"/>
            </w:pPr>
          </w:p>
        </w:tc>
      </w:tr>
      <w:tr w:rsidR="00000000">
        <w:trPr>
          <w:divId w:val="347490483"/>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杜</w:t>
            </w:r>
            <w:r>
              <w:rPr>
                <w:rFonts w:ascii="宋体" w:hAnsi="宋体" w:hint="eastAsia"/>
                <w:szCs w:val="24"/>
                <w:lang w:eastAsia="zh-Hans"/>
              </w:rPr>
              <w:t>猛</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left"/>
            </w:pPr>
            <w:r>
              <w:rPr>
                <w:rFonts w:ascii="宋体" w:hAnsi="宋体" w:hint="eastAsia"/>
                <w:szCs w:val="24"/>
                <w:lang w:eastAsia="zh-Hans"/>
              </w:rPr>
              <w:t>本基金基金经理、副总经理兼投资总</w:t>
            </w:r>
            <w:r>
              <w:rPr>
                <w:rFonts w:ascii="宋体" w:hAnsi="宋体" w:hint="eastAsia"/>
                <w:szCs w:val="24"/>
                <w:lang w:eastAsia="zh-Hans"/>
              </w:rPr>
              <w:t>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11</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24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left"/>
            </w:pPr>
            <w:r>
              <w:rPr>
                <w:rFonts w:ascii="宋体" w:hAnsi="宋体" w:hint="eastAsia"/>
                <w:szCs w:val="24"/>
                <w:lang w:eastAsia="zh-Hans"/>
              </w:rPr>
              <w:t>杜猛先生曾任天同证券有限责任公司研究员，中原证券有限责任公司研究员，国信证券有限责任公司研究员，中银国际证券有限责任公司研究员。</w:t>
            </w:r>
            <w:r>
              <w:rPr>
                <w:rFonts w:ascii="宋体" w:hAnsi="宋体" w:hint="eastAsia"/>
                <w:szCs w:val="24"/>
                <w:lang w:eastAsia="zh-Hans"/>
              </w:rPr>
              <w:t>2007</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月起加入摩根基金管理（中国）有限公司（原上投摩根基金管理有限公司），历任行业专家、基金经理助理、基金经理、总经理助理</w:t>
            </w:r>
            <w:r>
              <w:rPr>
                <w:rFonts w:ascii="宋体" w:hAnsi="宋体" w:hint="eastAsia"/>
                <w:szCs w:val="24"/>
                <w:lang w:eastAsia="zh-Hans"/>
              </w:rPr>
              <w:t>/</w:t>
            </w:r>
            <w:r>
              <w:rPr>
                <w:rFonts w:ascii="宋体" w:hAnsi="宋体" w:hint="eastAsia"/>
                <w:szCs w:val="24"/>
                <w:lang w:eastAsia="zh-Hans"/>
              </w:rPr>
              <w:t>国内权益投资一部投资总监兼资深基金经理，现任副总经理兼投资总监</w:t>
            </w:r>
            <w:r>
              <w:rPr>
                <w:rFonts w:ascii="宋体" w:hAnsi="宋体" w:hint="eastAsia"/>
                <w:szCs w:val="24"/>
                <w:lang w:eastAsia="zh-Hans"/>
              </w:rPr>
              <w:t>。</w:t>
            </w:r>
          </w:p>
        </w:tc>
      </w:tr>
    </w:tbl>
    <w:p w:rsidR="00957FED" w:rsidRDefault="00957FED">
      <w:pPr>
        <w:wordWrap w:val="0"/>
        <w:spacing w:line="360" w:lineRule="auto"/>
        <w:jc w:val="left"/>
        <w:divId w:val="95907435"/>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957FED" w:rsidRDefault="00957FED">
      <w:pPr>
        <w:pStyle w:val="XBRLTitle2"/>
        <w:spacing w:before="156" w:line="360" w:lineRule="auto"/>
        <w:ind w:left="454"/>
      </w:pPr>
      <w:bookmarkStart w:id="88" w:name="_Toc17898188"/>
      <w:bookmarkStart w:id="89" w:name="_Toc17897944"/>
      <w:bookmarkStart w:id="90" w:name="_Toc481075056"/>
      <w:bookmarkStart w:id="91" w:name="_Toc438646460"/>
      <w:bookmarkStart w:id="92" w:name="_Toc490050010"/>
      <w:bookmarkStart w:id="93" w:name="_Toc512519489"/>
      <w:bookmarkStart w:id="94" w:name="_Toc513295853"/>
      <w:bookmarkStart w:id="95" w:name="_Toc513295901"/>
      <w:bookmarkStart w:id="96" w:name="m402"/>
      <w:r>
        <w:rPr>
          <w:rFonts w:hAnsi="宋体" w:hint="eastAsia"/>
        </w:rPr>
        <w:t>管理人对报告期内本基金运作遵规守信情况的说</w:t>
      </w:r>
      <w:r>
        <w:rPr>
          <w:rFonts w:hAnsi="宋体" w:hint="eastAsia"/>
        </w:rPr>
        <w:t>明</w:t>
      </w:r>
      <w:bookmarkEnd w:id="88"/>
      <w:bookmarkEnd w:id="89"/>
      <w:bookmarkEnd w:id="90"/>
      <w:bookmarkEnd w:id="91"/>
      <w:bookmarkEnd w:id="92"/>
      <w:bookmarkEnd w:id="93"/>
      <w:bookmarkEnd w:id="94"/>
      <w:bookmarkEnd w:id="95"/>
      <w:r>
        <w:rPr>
          <w:rFonts w:hAnsi="宋体" w:hint="eastAsia"/>
        </w:rPr>
        <w:t xml:space="preserve"> </w:t>
      </w:r>
    </w:p>
    <w:p w:rsidR="00957FED" w:rsidRDefault="00957FED">
      <w:pPr>
        <w:spacing w:line="360" w:lineRule="auto"/>
        <w:ind w:firstLineChars="200" w:firstLine="420"/>
        <w:jc w:val="left"/>
        <w:rPr>
          <w:rFonts w:hint="eastAsia"/>
        </w:rPr>
      </w:pPr>
      <w:bookmarkStart w:id="97" w:name="m403"/>
      <w:bookmarkEnd w:id="96"/>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957FED" w:rsidRDefault="00957FED">
      <w:pPr>
        <w:pStyle w:val="XBRLTitle2"/>
        <w:spacing w:before="156" w:line="360" w:lineRule="auto"/>
        <w:ind w:left="454"/>
      </w:pPr>
      <w:bookmarkStart w:id="98" w:name="_Toc17898189"/>
      <w:bookmarkStart w:id="99" w:name="_Toc17897945"/>
      <w:bookmarkStart w:id="100" w:name="_Toc481075057"/>
      <w:bookmarkStart w:id="101" w:name="_Toc438646462"/>
      <w:bookmarkStart w:id="102" w:name="_Toc490050011"/>
      <w:bookmarkStart w:id="103" w:name="_Toc512519490"/>
      <w:bookmarkStart w:id="104" w:name="_Toc513295854"/>
      <w:bookmarkStart w:id="105" w:name="_Toc513295902"/>
      <w:bookmarkEnd w:id="97"/>
      <w:r>
        <w:rPr>
          <w:rFonts w:hAnsi="宋体" w:hint="eastAsia"/>
        </w:rPr>
        <w:t>公平交易专项说</w:t>
      </w:r>
      <w:r>
        <w:rPr>
          <w:rFonts w:hAnsi="宋体" w:hint="eastAsia"/>
        </w:rPr>
        <w:t>明</w:t>
      </w:r>
      <w:bookmarkEnd w:id="98"/>
      <w:bookmarkEnd w:id="99"/>
      <w:bookmarkEnd w:id="100"/>
      <w:bookmarkEnd w:id="101"/>
      <w:bookmarkEnd w:id="102"/>
      <w:bookmarkEnd w:id="103"/>
      <w:bookmarkEnd w:id="104"/>
      <w:bookmarkEnd w:id="105"/>
      <w:r>
        <w:rPr>
          <w:rFonts w:hAnsi="宋体" w:hint="eastAsia"/>
        </w:rPr>
        <w:t xml:space="preserve"> </w:t>
      </w:r>
    </w:p>
    <w:p w:rsidR="00957FED" w:rsidRDefault="00957FED">
      <w:pPr>
        <w:pStyle w:val="XBRLTitle3"/>
        <w:spacing w:before="156"/>
        <w:ind w:left="0"/>
        <w:rPr>
          <w:rFonts w:hint="eastAsia"/>
        </w:rPr>
      </w:pPr>
      <w:bookmarkStart w:id="106" w:name="_Toc17898190"/>
      <w:bookmarkStart w:id="107" w:name="_Toc481075058"/>
      <w:bookmarkStart w:id="108" w:name="_Toc490050012"/>
      <w:bookmarkStart w:id="109" w:name="_Toc512519491"/>
      <w:bookmarkStart w:id="110" w:name="_Toc513295903"/>
      <w:bookmarkStart w:id="111" w:name="m404_01_0570"/>
      <w:r>
        <w:rPr>
          <w:rFonts w:hint="eastAsia"/>
        </w:rPr>
        <w:t>公平交易制度的执行情</w:t>
      </w:r>
      <w:r>
        <w:rPr>
          <w:rFonts w:hint="eastAsia"/>
        </w:rPr>
        <w:t>况</w:t>
      </w:r>
      <w:bookmarkEnd w:id="106"/>
      <w:bookmarkEnd w:id="107"/>
      <w:bookmarkEnd w:id="108"/>
      <w:bookmarkEnd w:id="109"/>
      <w:bookmarkEnd w:id="110"/>
    </w:p>
    <w:p w:rsidR="00957FED" w:rsidRDefault="00957FED">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957FED" w:rsidRDefault="00957FED">
      <w:pPr>
        <w:pStyle w:val="XBRLTitle3"/>
        <w:spacing w:before="156"/>
        <w:ind w:left="0"/>
      </w:pPr>
      <w:bookmarkStart w:id="112" w:name="_Toc17898191"/>
      <w:bookmarkStart w:id="113" w:name="_Toc481075059"/>
      <w:bookmarkStart w:id="114" w:name="_Toc490050013"/>
      <w:bookmarkStart w:id="115" w:name="_Toc512519492"/>
      <w:bookmarkStart w:id="116" w:name="_Toc513295904"/>
      <w:bookmarkStart w:id="117" w:name="m404_01_0578"/>
      <w:bookmarkEnd w:id="111"/>
      <w:r>
        <w:rPr>
          <w:rFonts w:hint="eastAsia"/>
        </w:rPr>
        <w:t>异常交易行为的专项说</w:t>
      </w:r>
      <w:r>
        <w:rPr>
          <w:rFonts w:hint="eastAsia"/>
        </w:rPr>
        <w:t>明</w:t>
      </w:r>
      <w:bookmarkEnd w:id="112"/>
      <w:bookmarkEnd w:id="113"/>
      <w:bookmarkEnd w:id="114"/>
      <w:bookmarkEnd w:id="115"/>
      <w:bookmarkEnd w:id="116"/>
    </w:p>
    <w:p w:rsidR="00957FED" w:rsidRDefault="00957FED">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957FED" w:rsidRDefault="00957FED">
      <w:pPr>
        <w:pStyle w:val="XBRLTitle2"/>
        <w:spacing w:before="156" w:line="360" w:lineRule="auto"/>
        <w:ind w:left="454"/>
      </w:pPr>
      <w:bookmarkStart w:id="118" w:name="_Toc17898192"/>
      <w:bookmarkStart w:id="119" w:name="_Toc17897946"/>
      <w:bookmarkStart w:id="120" w:name="_Toc481075061"/>
      <w:bookmarkStart w:id="121" w:name="_Toc490050014"/>
      <w:bookmarkStart w:id="122" w:name="_Toc512519493"/>
      <w:bookmarkStart w:id="123" w:name="_Toc513295855"/>
      <w:bookmarkStart w:id="124" w:name="_Toc513295905"/>
      <w:bookmarkStart w:id="125" w:name="m405_01_2550"/>
      <w:bookmarkEnd w:id="117"/>
      <w:r>
        <w:rPr>
          <w:rFonts w:hAnsi="宋体" w:hint="eastAsia"/>
        </w:rPr>
        <w:t>报告期内基金的投资策略和运作分</w:t>
      </w:r>
      <w:r>
        <w:rPr>
          <w:rFonts w:hAnsi="宋体" w:hint="eastAsia"/>
        </w:rPr>
        <w:t>析</w:t>
      </w:r>
      <w:bookmarkEnd w:id="118"/>
      <w:bookmarkEnd w:id="119"/>
      <w:bookmarkEnd w:id="120"/>
      <w:bookmarkEnd w:id="121"/>
      <w:bookmarkEnd w:id="122"/>
      <w:bookmarkEnd w:id="123"/>
      <w:bookmarkEnd w:id="124"/>
      <w:r>
        <w:rPr>
          <w:rFonts w:hAnsi="宋体" w:hint="eastAsia"/>
        </w:rPr>
        <w:t xml:space="preserve"> </w:t>
      </w:r>
    </w:p>
    <w:p w:rsidR="00957FED" w:rsidRDefault="00957FED">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年二季度市场震荡上行，沪深</w:t>
      </w:r>
      <w:r>
        <w:rPr>
          <w:rFonts w:ascii="宋体" w:hAnsi="宋体" w:cs="宋体" w:hint="eastAsia"/>
          <w:color w:val="000000"/>
          <w:kern w:val="0"/>
        </w:rPr>
        <w:t>300</w:t>
      </w:r>
      <w:r>
        <w:rPr>
          <w:rFonts w:ascii="宋体" w:hAnsi="宋体" w:cs="宋体" w:hint="eastAsia"/>
          <w:color w:val="000000"/>
          <w:kern w:val="0"/>
        </w:rPr>
        <w:t>上涨</w:t>
      </w:r>
      <w:r>
        <w:rPr>
          <w:rFonts w:ascii="宋体" w:hAnsi="宋体" w:cs="宋体" w:hint="eastAsia"/>
          <w:color w:val="000000"/>
          <w:kern w:val="0"/>
        </w:rPr>
        <w:t>11.9%</w:t>
      </w:r>
      <w:r>
        <w:rPr>
          <w:rFonts w:ascii="宋体" w:hAnsi="宋体" w:cs="宋体" w:hint="eastAsia"/>
          <w:color w:val="000000"/>
          <w:kern w:val="0"/>
        </w:rPr>
        <w:t>，创业板指大涨</w:t>
      </w:r>
      <w:r>
        <w:rPr>
          <w:rFonts w:ascii="宋体" w:hAnsi="宋体" w:cs="宋体" w:hint="eastAsia"/>
          <w:color w:val="000000"/>
          <w:kern w:val="0"/>
        </w:rPr>
        <w:t>36%</w:t>
      </w:r>
      <w:r>
        <w:rPr>
          <w:rFonts w:ascii="宋体" w:hAnsi="宋体" w:cs="宋体" w:hint="eastAsia"/>
          <w:color w:val="000000"/>
          <w:kern w:val="0"/>
        </w:rPr>
        <w:t>，创出历史新高。经过一个多月的激烈冲突，中东局势逐渐收敛，最终美伊和谈并达成了停战协议，海湾危机对全球经济的冲击开始减弱。受此影响，市场风险偏好大幅提升，市场交投活跃，日均成交量持续超过</w:t>
      </w:r>
      <w:r>
        <w:rPr>
          <w:rFonts w:ascii="宋体" w:hAnsi="宋体" w:cs="宋体" w:hint="eastAsia"/>
          <w:color w:val="000000"/>
          <w:kern w:val="0"/>
        </w:rPr>
        <w:t>3</w:t>
      </w:r>
      <w:r>
        <w:rPr>
          <w:rFonts w:ascii="宋体" w:hAnsi="宋体" w:cs="宋体" w:hint="eastAsia"/>
          <w:color w:val="000000"/>
          <w:kern w:val="0"/>
        </w:rPr>
        <w:t>万亿。</w:t>
      </w:r>
      <w:r>
        <w:rPr>
          <w:rFonts w:ascii="宋体" w:hAnsi="宋体" w:cs="宋体" w:hint="eastAsia"/>
          <w:color w:val="000000"/>
          <w:kern w:val="0"/>
        </w:rPr>
        <w:br/>
      </w:r>
      <w:r>
        <w:rPr>
          <w:rFonts w:ascii="宋体" w:hAnsi="宋体" w:cs="宋体" w:hint="eastAsia"/>
          <w:color w:val="000000"/>
          <w:kern w:val="0"/>
        </w:rPr>
        <w:t xml:space="preserve">　　虽然指数在二季度实现较大幅度的上涨，但是行业间分化较为严重。科技一枝独秀，电子、通信以及部分涉及科技的上游材料类股票获得了较高的涨幅，而其他行业均表现平淡，部分行业甚至出现了偏离基本面的超跌。本基金基于股票性价比和长期投资逻辑，继续保持了部分</w:t>
      </w:r>
      <w:r>
        <w:rPr>
          <w:rFonts w:ascii="宋体" w:hAnsi="宋体" w:cs="宋体" w:hint="eastAsia"/>
          <w:color w:val="000000"/>
          <w:kern w:val="0"/>
        </w:rPr>
        <w:t>AI</w:t>
      </w:r>
      <w:r>
        <w:rPr>
          <w:rFonts w:ascii="宋体" w:hAnsi="宋体" w:cs="宋体" w:hint="eastAsia"/>
          <w:color w:val="000000"/>
          <w:kern w:val="0"/>
        </w:rPr>
        <w:t>相关股票的持仓，增加了创新药、有色金属等行业的头寸。</w:t>
      </w:r>
      <w:r>
        <w:rPr>
          <w:rFonts w:ascii="宋体" w:hAnsi="宋体" w:cs="宋体" w:hint="eastAsia"/>
          <w:color w:val="000000"/>
          <w:kern w:val="0"/>
        </w:rPr>
        <w:br/>
      </w:r>
      <w:r>
        <w:rPr>
          <w:rFonts w:ascii="宋体" w:hAnsi="宋体" w:cs="宋体" w:hint="eastAsia"/>
          <w:color w:val="000000"/>
          <w:kern w:val="0"/>
        </w:rPr>
        <w:t xml:space="preserve">　　展望</w:t>
      </w:r>
      <w:r>
        <w:rPr>
          <w:rFonts w:ascii="宋体" w:hAnsi="宋体" w:cs="宋体" w:hint="eastAsia"/>
          <w:color w:val="000000"/>
          <w:kern w:val="0"/>
        </w:rPr>
        <w:t>2026</w:t>
      </w:r>
      <w:r>
        <w:rPr>
          <w:rFonts w:ascii="宋体" w:hAnsi="宋体" w:cs="宋体" w:hint="eastAsia"/>
          <w:color w:val="000000"/>
          <w:kern w:val="0"/>
        </w:rPr>
        <w:t>年下半年，中东局势逐渐缓和，虽然局势可能在这个过程中还会存在反复，但是我们判断进一步升级的概率不大，上半年影响全球经济和市场的变数逐步消散，市场大概率进入关注实际基本面的阶段。世界秩序的重构仍在进行中，这一阶段可能会延续较长的一段时间，我们认为中国在全球处于一个相对优势的位置。横向比较，中国在全球范围中的稳定性显得尤为重要，我们认为人民币已经进入长期升值通道，以人民币计价的中国资产尤其是权益资产在新旧秩序转换过程中将获得较大的重估机会。</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AI</w:t>
      </w:r>
      <w:r>
        <w:rPr>
          <w:rFonts w:ascii="宋体" w:hAnsi="宋体" w:cs="宋体" w:hint="eastAsia"/>
          <w:color w:val="000000"/>
          <w:kern w:val="0"/>
        </w:rPr>
        <w:t>类股票在二季度均获得了显著上涨，这不仅仅发生在中国，也发生在全球的主要市场，这主要还是受需求上升带来的超高景气度推动。当然随着股价大幅上涨，市场必然产生波动，</w:t>
      </w:r>
      <w:r>
        <w:rPr>
          <w:rFonts w:ascii="宋体" w:hAnsi="宋体" w:cs="宋体" w:hint="eastAsia"/>
          <w:color w:val="000000"/>
          <w:kern w:val="0"/>
        </w:rPr>
        <w:t>AI</w:t>
      </w:r>
      <w:r>
        <w:rPr>
          <w:rFonts w:ascii="宋体" w:hAnsi="宋体" w:cs="宋体" w:hint="eastAsia"/>
          <w:color w:val="000000"/>
          <w:kern w:val="0"/>
        </w:rPr>
        <w:t>产业的发展也伴随着争议和噪音，新事物的发展过程向来如此。因此在这一过程中我们不会预设结论，持续保持关注和跟踪，动态调整持仓结构。</w:t>
      </w:r>
      <w:r>
        <w:rPr>
          <w:rFonts w:ascii="宋体" w:hAnsi="宋体" w:cs="宋体" w:hint="eastAsia"/>
          <w:color w:val="000000"/>
          <w:kern w:val="0"/>
        </w:rPr>
        <w:br/>
      </w:r>
      <w:r>
        <w:rPr>
          <w:rFonts w:ascii="宋体" w:hAnsi="宋体" w:cs="宋体" w:hint="eastAsia"/>
          <w:color w:val="000000"/>
          <w:kern w:val="0"/>
        </w:rPr>
        <w:t xml:space="preserve">　　当然，我们并不仅仅关注</w:t>
      </w:r>
      <w:r>
        <w:rPr>
          <w:rFonts w:ascii="宋体" w:hAnsi="宋体" w:cs="宋体" w:hint="eastAsia"/>
          <w:color w:val="000000"/>
          <w:kern w:val="0"/>
        </w:rPr>
        <w:t>AI</w:t>
      </w:r>
      <w:r>
        <w:rPr>
          <w:rFonts w:ascii="宋体" w:hAnsi="宋体" w:cs="宋体" w:hint="eastAsia"/>
          <w:color w:val="000000"/>
          <w:kern w:val="0"/>
        </w:rPr>
        <w:t>带来的机会，经过二季度相对极致的行情，很多行业和龙头公司都出现了很高的投资性价比。我们会根据性价比和长期空间，努力在市场中挑选估值和成长性相匹配的优质品种，寻找各产业中长期成长的公司，力争为基金持有人创造持续稳定收益</w:t>
      </w:r>
      <w:r>
        <w:rPr>
          <w:rFonts w:ascii="宋体" w:hAnsi="宋体" w:cs="宋体" w:hint="eastAsia"/>
          <w:color w:val="000000"/>
          <w:kern w:val="0"/>
        </w:rPr>
        <w:t>。</w:t>
      </w:r>
    </w:p>
    <w:p w:rsidR="00957FED" w:rsidRDefault="00957FED">
      <w:pPr>
        <w:pStyle w:val="XBRLTitle2"/>
        <w:spacing w:before="156" w:line="360" w:lineRule="auto"/>
        <w:ind w:left="454"/>
      </w:pPr>
      <w:bookmarkStart w:id="126" w:name="_Toc17898193"/>
      <w:bookmarkStart w:id="127" w:name="_Toc17897947"/>
      <w:bookmarkStart w:id="128" w:name="_Toc490050015"/>
      <w:bookmarkStart w:id="129" w:name="_Toc481075062"/>
      <w:bookmarkStart w:id="130" w:name="_Toc512519494"/>
      <w:bookmarkStart w:id="131" w:name="_Toc513295856"/>
      <w:bookmarkStart w:id="132" w:name="_Toc513295906"/>
      <w:bookmarkStart w:id="133" w:name="m405_01_2549"/>
      <w:bookmarkEnd w:id="125"/>
      <w:r>
        <w:rPr>
          <w:rFonts w:hAnsi="宋体" w:hint="eastAsia"/>
        </w:rPr>
        <w:t>报告期内基金的业绩表</w:t>
      </w:r>
      <w:r>
        <w:rPr>
          <w:rFonts w:hAnsi="宋体" w:hint="eastAsia"/>
        </w:rPr>
        <w:t>现</w:t>
      </w:r>
      <w:bookmarkEnd w:id="126"/>
      <w:bookmarkEnd w:id="127"/>
      <w:bookmarkEnd w:id="128"/>
      <w:bookmarkEnd w:id="129"/>
      <w:bookmarkEnd w:id="130"/>
      <w:bookmarkEnd w:id="131"/>
      <w:bookmarkEnd w:id="132"/>
      <w:r>
        <w:rPr>
          <w:rFonts w:hAnsi="宋体" w:hint="eastAsia"/>
        </w:rPr>
        <w:t xml:space="preserve"> </w:t>
      </w:r>
      <w:bookmarkEnd w:id="133"/>
    </w:p>
    <w:p w:rsidR="00957FED" w:rsidRDefault="00957FED">
      <w:pPr>
        <w:spacing w:line="360" w:lineRule="auto"/>
        <w:ind w:firstLineChars="200" w:firstLine="420"/>
        <w:rPr>
          <w:rFonts w:hint="eastAsia"/>
        </w:rPr>
      </w:pPr>
      <w:r>
        <w:rPr>
          <w:rFonts w:ascii="宋体" w:hAnsi="宋体" w:hint="eastAsia"/>
        </w:rPr>
        <w:t>本报告期摩根远见两年持有期混合份额净值增长率为</w:t>
      </w:r>
      <w:r>
        <w:rPr>
          <w:rFonts w:ascii="宋体" w:hAnsi="宋体" w:hint="eastAsia"/>
        </w:rPr>
        <w:t>:36.91%</w:t>
      </w:r>
      <w:r>
        <w:rPr>
          <w:rFonts w:ascii="宋体" w:hAnsi="宋体" w:hint="eastAsia"/>
        </w:rPr>
        <w:t>，同期业绩比较基准收益率为</w:t>
      </w:r>
      <w:r>
        <w:rPr>
          <w:rFonts w:ascii="宋体" w:hAnsi="宋体" w:hint="eastAsia"/>
        </w:rPr>
        <w:t>:9.54%</w:t>
      </w:r>
      <w:r>
        <w:rPr>
          <w:rFonts w:ascii="宋体" w:hAnsi="宋体" w:hint="eastAsia"/>
        </w:rPr>
        <w:t>。</w:t>
      </w:r>
    </w:p>
    <w:p w:rsidR="00957FED" w:rsidRDefault="00957FED">
      <w:pPr>
        <w:pStyle w:val="XBRLTitle2"/>
        <w:spacing w:before="156" w:line="360" w:lineRule="auto"/>
        <w:ind w:left="454"/>
      </w:pPr>
      <w:bookmarkStart w:id="134" w:name="m406"/>
      <w:bookmarkStart w:id="135" w:name="_Toc17898194"/>
      <w:bookmarkStart w:id="136" w:name="_Toc17897948"/>
      <w:bookmarkStart w:id="137" w:name="_Toc490050016"/>
      <w:bookmarkStart w:id="138" w:name="_Toc481075063"/>
      <w:bookmarkStart w:id="139" w:name="_Toc438646465"/>
      <w:bookmarkStart w:id="140" w:name="_Toc512519495"/>
      <w:bookmarkStart w:id="141" w:name="_Toc513295857"/>
      <w:bookmarkStart w:id="142" w:name="_Toc513295907"/>
      <w:bookmarkStart w:id="143" w:name="m407"/>
      <w:bookmarkEnd w:id="134"/>
      <w:r>
        <w:rPr>
          <w:rFonts w:hAnsi="宋体" w:hint="eastAsia"/>
        </w:rPr>
        <w:t>报告期内基金持有人数或基金资产净值预警说</w:t>
      </w:r>
      <w:r>
        <w:rPr>
          <w:rFonts w:hAnsi="宋体" w:hint="eastAsia"/>
        </w:rPr>
        <w:t>明</w:t>
      </w:r>
      <w:bookmarkEnd w:id="135"/>
      <w:bookmarkEnd w:id="136"/>
      <w:bookmarkEnd w:id="137"/>
      <w:bookmarkEnd w:id="138"/>
      <w:bookmarkEnd w:id="139"/>
      <w:bookmarkEnd w:id="140"/>
      <w:bookmarkEnd w:id="141"/>
      <w:bookmarkEnd w:id="142"/>
      <w:r>
        <w:rPr>
          <w:rFonts w:hAnsi="宋体" w:hint="eastAsia"/>
        </w:rPr>
        <w:t xml:space="preserve"> </w:t>
      </w:r>
    </w:p>
    <w:p w:rsidR="00957FED" w:rsidRDefault="00957FED">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957FED" w:rsidRDefault="00957FED">
      <w:pPr>
        <w:pStyle w:val="XBRLTitle1"/>
        <w:spacing w:before="156" w:line="360" w:lineRule="auto"/>
        <w:ind w:left="425"/>
      </w:pPr>
      <w:bookmarkStart w:id="144" w:name="_Toc17898195"/>
      <w:bookmarkStart w:id="145" w:name="_Toc17897949"/>
      <w:bookmarkStart w:id="146" w:name="_Toc512519496"/>
      <w:bookmarkStart w:id="147" w:name="_Toc481075064"/>
      <w:bookmarkStart w:id="148" w:name="_Toc438646466"/>
      <w:bookmarkStart w:id="149" w:name="_Toc490050017"/>
      <w:bookmarkStart w:id="150" w:name="_Toc513295858"/>
      <w:bookmarkStart w:id="151" w:name="_Toc513295908"/>
      <w:bookmarkEnd w:id="143"/>
      <w:r>
        <w:rPr>
          <w:rFonts w:hAnsi="宋体" w:hint="eastAsia"/>
        </w:rPr>
        <w:t>投资组合报</w:t>
      </w:r>
      <w:r>
        <w:rPr>
          <w:rFonts w:hAnsi="宋体" w:hint="eastAsia"/>
        </w:rPr>
        <w:t>告</w:t>
      </w:r>
      <w:bookmarkEnd w:id="144"/>
      <w:bookmarkEnd w:id="145"/>
      <w:bookmarkEnd w:id="146"/>
      <w:bookmarkEnd w:id="147"/>
      <w:bookmarkEnd w:id="148"/>
      <w:bookmarkEnd w:id="149"/>
      <w:bookmarkEnd w:id="150"/>
      <w:bookmarkEnd w:id="151"/>
      <w:r>
        <w:rPr>
          <w:rFonts w:hAnsi="宋体" w:hint="eastAsia"/>
        </w:rPr>
        <w:t xml:space="preserve"> </w:t>
      </w:r>
    </w:p>
    <w:p w:rsidR="00957FED" w:rsidRDefault="00957FED">
      <w:pPr>
        <w:pStyle w:val="XBRLTitle2"/>
        <w:spacing w:before="156" w:line="360" w:lineRule="auto"/>
        <w:ind w:left="454"/>
        <w:rPr>
          <w:rFonts w:hint="eastAsia"/>
        </w:rPr>
      </w:pPr>
      <w:bookmarkStart w:id="152" w:name="_Toc17898196"/>
      <w:bookmarkStart w:id="153" w:name="_Toc17897950"/>
      <w:bookmarkStart w:id="154" w:name="_Toc481075065"/>
      <w:bookmarkStart w:id="155" w:name="_Toc438646467"/>
      <w:bookmarkStart w:id="156" w:name="_Toc490050018"/>
      <w:bookmarkStart w:id="157" w:name="_Toc512519497"/>
      <w:bookmarkStart w:id="158" w:name="_Toc513295859"/>
      <w:bookmarkStart w:id="159" w:name="_Toc513295909"/>
      <w:bookmarkStart w:id="160" w:name="m501"/>
      <w:r>
        <w:rPr>
          <w:rFonts w:hAnsi="宋体" w:hint="eastAsia"/>
        </w:rPr>
        <w:t>报告期末基金资产组合情</w:t>
      </w:r>
      <w:r>
        <w:rPr>
          <w:rFonts w:hAnsi="宋体" w:hint="eastAsia"/>
        </w:rPr>
        <w:t>况</w:t>
      </w:r>
      <w:bookmarkEnd w:id="152"/>
      <w:bookmarkEnd w:id="153"/>
      <w:bookmarkEnd w:id="154"/>
      <w:bookmarkEnd w:id="155"/>
      <w:bookmarkEnd w:id="156"/>
      <w:bookmarkEnd w:id="157"/>
      <w:bookmarkEnd w:id="158"/>
      <w:bookmarkEnd w:id="159"/>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025132759"/>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57FED" w:rsidRDefault="00957FED">
            <w:pPr>
              <w:jc w:val="center"/>
              <w:rPr>
                <w:rFonts w:hint="eastAsia"/>
              </w:rPr>
            </w:pPr>
            <w:bookmarkStart w:id="161" w:name="m08QD_01_tab"/>
            <w:bookmarkEnd w:id="161"/>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957FED" w:rsidRDefault="00957FED">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957FED" w:rsidRDefault="00957FED">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957FED" w:rsidRDefault="00957FED">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02513275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57FED" w:rsidRDefault="00957FED">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957FED" w:rsidRDefault="00957FED">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2,057,013,927.8</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91.8</w:t>
            </w:r>
            <w:r>
              <w:rPr>
                <w:rFonts w:ascii="宋体" w:hAnsi="宋体" w:hint="eastAsia"/>
                <w:szCs w:val="24"/>
                <w:lang w:eastAsia="zh-Hans"/>
              </w:rPr>
              <w:t>2</w:t>
            </w:r>
          </w:p>
        </w:tc>
      </w:tr>
      <w:tr w:rsidR="00000000">
        <w:trPr>
          <w:divId w:val="102513275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57FED" w:rsidRDefault="00957FE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57FED" w:rsidRDefault="00957FED">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2,057,013,927.8</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91.8</w:t>
            </w:r>
            <w:r>
              <w:rPr>
                <w:rFonts w:ascii="宋体" w:hAnsi="宋体" w:hint="eastAsia"/>
                <w:szCs w:val="24"/>
                <w:lang w:eastAsia="zh-Hans"/>
              </w:rPr>
              <w:t>2</w:t>
            </w:r>
          </w:p>
        </w:tc>
      </w:tr>
      <w:tr w:rsidR="00000000">
        <w:trPr>
          <w:divId w:val="102513275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57FED" w:rsidRDefault="00957FED">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957FED" w:rsidRDefault="00957FED">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w:t>
            </w:r>
          </w:p>
        </w:tc>
      </w:tr>
      <w:tr w:rsidR="00000000">
        <w:trPr>
          <w:divId w:val="102513275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57FED" w:rsidRDefault="00957FED">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957FED" w:rsidRDefault="00957FED">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w:t>
            </w:r>
          </w:p>
        </w:tc>
      </w:tr>
      <w:tr w:rsidR="00000000">
        <w:trPr>
          <w:divId w:val="102513275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57FED" w:rsidRDefault="00957FE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57FED" w:rsidRDefault="00957FED">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w:t>
            </w:r>
          </w:p>
        </w:tc>
      </w:tr>
      <w:tr w:rsidR="00000000">
        <w:trPr>
          <w:divId w:val="102513275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57FED" w:rsidRDefault="00957FE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57FED" w:rsidRDefault="00957FED">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w:t>
            </w:r>
          </w:p>
        </w:tc>
      </w:tr>
      <w:tr w:rsidR="00000000">
        <w:trPr>
          <w:divId w:val="102513275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57FED" w:rsidRDefault="00957FED">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957FED" w:rsidRDefault="00957FED">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w:t>
            </w:r>
          </w:p>
        </w:tc>
      </w:tr>
      <w:tr w:rsidR="00000000">
        <w:trPr>
          <w:divId w:val="102513275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57FED" w:rsidRDefault="00957FED">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957FED" w:rsidRDefault="00957FED">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w:t>
            </w:r>
          </w:p>
        </w:tc>
      </w:tr>
      <w:tr w:rsidR="00000000">
        <w:trPr>
          <w:divId w:val="102513275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57FED" w:rsidRDefault="00957FED">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957FED" w:rsidRDefault="00957FED">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w:t>
            </w:r>
          </w:p>
        </w:tc>
      </w:tr>
      <w:tr w:rsidR="00000000">
        <w:trPr>
          <w:divId w:val="102513275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57FED" w:rsidRDefault="00957FE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957FED" w:rsidRDefault="00957FED">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w:t>
            </w:r>
          </w:p>
        </w:tc>
      </w:tr>
      <w:tr w:rsidR="00000000">
        <w:trPr>
          <w:divId w:val="102513275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57FED" w:rsidRDefault="00957FED">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957FED" w:rsidRDefault="00957FED">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127,236,649.1</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5.6</w:t>
            </w:r>
            <w:r>
              <w:rPr>
                <w:rFonts w:ascii="宋体" w:hAnsi="宋体" w:hint="eastAsia"/>
                <w:szCs w:val="24"/>
                <w:lang w:eastAsia="zh-Hans"/>
              </w:rPr>
              <w:t>8</w:t>
            </w:r>
          </w:p>
        </w:tc>
      </w:tr>
      <w:tr w:rsidR="00000000">
        <w:trPr>
          <w:divId w:val="102513275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57FED" w:rsidRDefault="00957FED">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957FED" w:rsidRDefault="00957FED">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56,027,612.5</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2.5</w:t>
            </w:r>
            <w:r>
              <w:rPr>
                <w:rFonts w:ascii="宋体" w:hAnsi="宋体" w:hint="eastAsia"/>
                <w:szCs w:val="24"/>
                <w:lang w:eastAsia="zh-Hans"/>
              </w:rPr>
              <w:t>0</w:t>
            </w:r>
          </w:p>
        </w:tc>
      </w:tr>
      <w:tr w:rsidR="00000000">
        <w:trPr>
          <w:divId w:val="102513275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957FED" w:rsidRDefault="00957FED">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957FED" w:rsidRDefault="00957FED">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2,240,278,189.5</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957FED" w:rsidRDefault="00957FED">
            <w:pPr>
              <w:jc w:val="right"/>
            </w:pPr>
            <w:r>
              <w:rPr>
                <w:rFonts w:ascii="宋体" w:hAnsi="宋体" w:hint="eastAsia"/>
                <w:szCs w:val="24"/>
                <w:lang w:eastAsia="zh-Hans"/>
              </w:rPr>
              <w:t>100.0</w:t>
            </w:r>
            <w:r>
              <w:rPr>
                <w:rFonts w:ascii="宋体" w:hAnsi="宋体" w:hint="eastAsia"/>
                <w:szCs w:val="24"/>
                <w:lang w:eastAsia="zh-Hans"/>
              </w:rPr>
              <w:t>0</w:t>
            </w:r>
          </w:p>
        </w:tc>
      </w:tr>
    </w:tbl>
    <w:p w:rsidR="00957FED" w:rsidRDefault="00957FED">
      <w:pPr>
        <w:spacing w:line="360" w:lineRule="auto"/>
        <w:jc w:val="left"/>
        <w:divId w:val="1878810814"/>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366,252,109.85</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16.42%</w:t>
      </w:r>
      <w:r>
        <w:rPr>
          <w:rFonts w:ascii="宋体" w:hAnsi="宋体" w:hint="eastAsia"/>
        </w:rPr>
        <w:t>。</w:t>
      </w:r>
    </w:p>
    <w:p w:rsidR="00957FED" w:rsidRDefault="00957FED">
      <w:pPr>
        <w:pStyle w:val="XBRLTitle2"/>
        <w:spacing w:before="156" w:line="360" w:lineRule="auto"/>
        <w:ind w:left="454"/>
      </w:pPr>
      <w:bookmarkStart w:id="162" w:name="_Toc17898197"/>
      <w:bookmarkStart w:id="163" w:name="_Toc17897951"/>
      <w:bookmarkStart w:id="164" w:name="_Toc512519498"/>
      <w:bookmarkStart w:id="165" w:name="_Toc481075066"/>
      <w:bookmarkStart w:id="166" w:name="_Toc438646468"/>
      <w:bookmarkStart w:id="167" w:name="_Toc490050019"/>
      <w:bookmarkStart w:id="168" w:name="_Toc513295860"/>
      <w:bookmarkStart w:id="169" w:name="_Toc513295910"/>
      <w:bookmarkEnd w:id="160"/>
      <w:r>
        <w:rPr>
          <w:rFonts w:hAnsi="宋体" w:hint="eastAsia"/>
        </w:rPr>
        <w:t>报告期末按行业分类的股票投资组</w:t>
      </w:r>
      <w:r>
        <w:rPr>
          <w:rFonts w:hAnsi="宋体" w:hint="eastAsia"/>
        </w:rPr>
        <w:t>合</w:t>
      </w:r>
      <w:bookmarkEnd w:id="162"/>
      <w:bookmarkEnd w:id="163"/>
      <w:bookmarkEnd w:id="164"/>
      <w:bookmarkEnd w:id="165"/>
      <w:bookmarkEnd w:id="166"/>
      <w:bookmarkEnd w:id="167"/>
      <w:bookmarkEnd w:id="168"/>
      <w:bookmarkEnd w:id="169"/>
      <w:r>
        <w:rPr>
          <w:rFonts w:hAnsi="宋体" w:hint="eastAsia"/>
          <w:lang w:eastAsia="zh-CN"/>
        </w:rPr>
        <w:t xml:space="preserve"> </w:t>
      </w:r>
    </w:p>
    <w:p w:rsidR="00957FED" w:rsidRDefault="00957FED">
      <w:pPr>
        <w:pStyle w:val="XBRLTitle3"/>
        <w:spacing w:before="156"/>
        <w:ind w:left="0"/>
        <w:rPr>
          <w:rFonts w:hint="eastAsia"/>
        </w:rPr>
      </w:pPr>
      <w:bookmarkStart w:id="170" w:name="_Toc17898198"/>
      <w:bookmarkStart w:id="171" w:name="_Toc481075067"/>
      <w:bookmarkStart w:id="172" w:name="_Toc490050020"/>
      <w:bookmarkStart w:id="173" w:name="_Toc512519499"/>
      <w:bookmarkStart w:id="174" w:name="_Toc513295911"/>
      <w:r>
        <w:rPr>
          <w:rFonts w:hint="eastAsia"/>
        </w:rPr>
        <w:t>报告期末按行业分类的境内股票投资组</w:t>
      </w:r>
      <w:r>
        <w:rPr>
          <w:rFonts w:hint="eastAsia"/>
        </w:rPr>
        <w:t>合</w:t>
      </w:r>
      <w:bookmarkEnd w:id="170"/>
      <w:bookmarkEnd w:id="171"/>
      <w:bookmarkEnd w:id="172"/>
      <w:bookmarkEnd w:id="173"/>
      <w:bookmarkEnd w:id="174"/>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382289325"/>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957FED" w:rsidRDefault="00957FED">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957FED" w:rsidRDefault="00957FED">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957FED" w:rsidRDefault="00957FED">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957FED" w:rsidRDefault="00957FED">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755,888.9</w:t>
            </w:r>
            <w:r>
              <w:rPr>
                <w:rFonts w:ascii="宋体" w:hAnsi="宋体" w:hint="eastAsia"/>
                <w:szCs w:val="24"/>
                <w:lang w:eastAsia="zh-Hans"/>
              </w:rPr>
              <w:t>7</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1,391,574.4</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0.0</w:t>
            </w:r>
            <w:r>
              <w:rPr>
                <w:rFonts w:ascii="宋体" w:hAnsi="宋体" w:hint="eastAsia"/>
                <w:szCs w:val="24"/>
                <w:lang w:eastAsia="zh-Hans"/>
              </w:rPr>
              <w:t>6</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1,655,012,674.5</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74.2</w:t>
            </w:r>
            <w:r>
              <w:rPr>
                <w:rFonts w:ascii="宋体" w:hAnsi="宋体" w:hint="eastAsia"/>
                <w:szCs w:val="24"/>
                <w:lang w:eastAsia="zh-Hans"/>
              </w:rPr>
              <w:t>0</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14,277,600.0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0.6</w:t>
            </w:r>
            <w:r>
              <w:rPr>
                <w:rFonts w:ascii="宋体" w:hAnsi="宋体" w:hint="eastAsia"/>
                <w:szCs w:val="24"/>
                <w:lang w:eastAsia="zh-Hans"/>
              </w:rPr>
              <w:t>4</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18,221,272.0</w:t>
            </w:r>
            <w:r>
              <w:rPr>
                <w:rFonts w:ascii="宋体" w:hAnsi="宋体" w:hint="eastAsia"/>
                <w:szCs w:val="24"/>
                <w:lang w:eastAsia="zh-Hans"/>
              </w:rPr>
              <w:t>6</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0.8</w:t>
            </w:r>
            <w:r>
              <w:rPr>
                <w:rFonts w:ascii="宋体" w:hAnsi="宋体" w:hint="eastAsia"/>
                <w:szCs w:val="24"/>
                <w:lang w:eastAsia="zh-Hans"/>
              </w:rPr>
              <w:t>2</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793,872.0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308,936.0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0.0</w:t>
            </w:r>
            <w:r>
              <w:rPr>
                <w:rFonts w:ascii="宋体" w:hAnsi="宋体" w:hint="eastAsia"/>
                <w:szCs w:val="24"/>
                <w:lang w:eastAsia="zh-Hans"/>
              </w:rPr>
              <w:t>1</w:t>
            </w:r>
          </w:p>
        </w:tc>
      </w:tr>
      <w:tr w:rsidR="00000000">
        <w:trPr>
          <w:divId w:val="1382289325"/>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957FED" w:rsidRDefault="00957FED">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957FED" w:rsidRDefault="00957FED">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957FED" w:rsidRDefault="00957FED">
            <w:pPr>
              <w:jc w:val="right"/>
            </w:pPr>
            <w:r>
              <w:rPr>
                <w:rFonts w:ascii="宋体" w:hAnsi="宋体" w:hint="eastAsia"/>
                <w:szCs w:val="24"/>
                <w:lang w:eastAsia="zh-Hans"/>
              </w:rPr>
              <w:t>1,690,761,818.0</w:t>
            </w:r>
            <w:r>
              <w:rPr>
                <w:rFonts w:ascii="宋体" w:hAnsi="宋体" w:hint="eastAsia"/>
                <w:szCs w:val="24"/>
                <w:lang w:eastAsia="zh-Hans"/>
              </w:rPr>
              <w:t>3</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957FED" w:rsidRDefault="00957FED">
            <w:pPr>
              <w:jc w:val="right"/>
            </w:pPr>
            <w:r>
              <w:rPr>
                <w:rFonts w:ascii="宋体" w:hAnsi="宋体" w:hint="eastAsia"/>
                <w:szCs w:val="24"/>
                <w:lang w:eastAsia="zh-Hans"/>
              </w:rPr>
              <w:t>75.8</w:t>
            </w:r>
            <w:r>
              <w:rPr>
                <w:rFonts w:ascii="宋体" w:hAnsi="宋体" w:hint="eastAsia"/>
                <w:szCs w:val="24"/>
                <w:lang w:eastAsia="zh-Hans"/>
              </w:rPr>
              <w:t>0</w:t>
            </w:r>
          </w:p>
        </w:tc>
      </w:tr>
    </w:tbl>
    <w:p w:rsidR="00957FED" w:rsidRDefault="00957FED">
      <w:pPr>
        <w:pStyle w:val="XBRLTitle3"/>
        <w:spacing w:before="156"/>
        <w:ind w:left="0"/>
      </w:pPr>
      <w:bookmarkStart w:id="175" w:name="_Toc17898199"/>
      <w:bookmarkStart w:id="176" w:name="_Toc481075068"/>
      <w:bookmarkStart w:id="177" w:name="_Toc490050021"/>
      <w:bookmarkStart w:id="178" w:name="_Toc512519500"/>
      <w:bookmarkStart w:id="179" w:name="_Toc513295912"/>
      <w:bookmarkStart w:id="180" w:name="m502_tab"/>
      <w:r>
        <w:rPr>
          <w:rFonts w:hint="eastAsia"/>
        </w:rPr>
        <w:t>报告期末按行业分类的港股通投资股票投资组</w:t>
      </w:r>
      <w:r>
        <w:rPr>
          <w:rFonts w:hint="eastAsia"/>
        </w:rPr>
        <w:t>合</w:t>
      </w:r>
      <w:bookmarkEnd w:id="175"/>
      <w:bookmarkEnd w:id="176"/>
      <w:bookmarkEnd w:id="177"/>
      <w:bookmarkEnd w:id="178"/>
      <w:bookmarkEnd w:id="179"/>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1601714881"/>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57FED" w:rsidRDefault="00957FED">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57FED" w:rsidRDefault="00957FED">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57FED" w:rsidRDefault="00957FED">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60171488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w:t>
            </w:r>
          </w:p>
        </w:tc>
      </w:tr>
      <w:tr w:rsidR="00000000">
        <w:trPr>
          <w:divId w:val="160171488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46,532,758.4</w:t>
            </w:r>
            <w:r>
              <w:rPr>
                <w:rFonts w:ascii="宋体" w:hAnsi="宋体" w:hint="eastAsia"/>
                <w:szCs w:val="24"/>
                <w:lang w:eastAsia="zh-Hans"/>
              </w:rPr>
              <w:t>6</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2.0</w:t>
            </w:r>
            <w:r>
              <w:rPr>
                <w:rFonts w:ascii="宋体" w:hAnsi="宋体" w:hint="eastAsia"/>
                <w:szCs w:val="24"/>
                <w:lang w:eastAsia="zh-Hans"/>
              </w:rPr>
              <w:t>9</w:t>
            </w:r>
          </w:p>
        </w:tc>
      </w:tr>
      <w:tr w:rsidR="00000000">
        <w:trPr>
          <w:divId w:val="160171488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33,064,341.8</w:t>
            </w:r>
            <w:r>
              <w:rPr>
                <w:rFonts w:ascii="宋体" w:hAnsi="宋体" w:hint="eastAsia"/>
                <w:szCs w:val="24"/>
                <w:lang w:eastAsia="zh-Hans"/>
              </w:rPr>
              <w:t>2</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1.4</w:t>
            </w:r>
            <w:r>
              <w:rPr>
                <w:rFonts w:ascii="宋体" w:hAnsi="宋体" w:hint="eastAsia"/>
                <w:szCs w:val="24"/>
                <w:lang w:eastAsia="zh-Hans"/>
              </w:rPr>
              <w:t>8</w:t>
            </w:r>
          </w:p>
        </w:tc>
      </w:tr>
      <w:tr w:rsidR="00000000">
        <w:trPr>
          <w:divId w:val="160171488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w:t>
            </w:r>
          </w:p>
        </w:tc>
      </w:tr>
      <w:tr w:rsidR="00000000">
        <w:trPr>
          <w:divId w:val="160171488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w:t>
            </w:r>
          </w:p>
        </w:tc>
      </w:tr>
      <w:tr w:rsidR="00000000">
        <w:trPr>
          <w:divId w:val="160171488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61,231.6</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0.0</w:t>
            </w:r>
            <w:r>
              <w:rPr>
                <w:rFonts w:ascii="宋体" w:hAnsi="宋体" w:hint="eastAsia"/>
                <w:szCs w:val="24"/>
                <w:lang w:eastAsia="zh-Hans"/>
              </w:rPr>
              <w:t>0</w:t>
            </w:r>
          </w:p>
        </w:tc>
      </w:tr>
      <w:tr w:rsidR="00000000">
        <w:trPr>
          <w:divId w:val="160171488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w:t>
            </w:r>
          </w:p>
        </w:tc>
      </w:tr>
      <w:tr w:rsidR="00000000">
        <w:trPr>
          <w:divId w:val="160171488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179,312,571.1</w:t>
            </w:r>
            <w:r>
              <w:rPr>
                <w:rFonts w:ascii="宋体" w:hAnsi="宋体" w:hint="eastAsia"/>
                <w:szCs w:val="24"/>
                <w:lang w:eastAsia="zh-Hans"/>
              </w:rPr>
              <w:t>8</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8.0</w:t>
            </w:r>
            <w:r>
              <w:rPr>
                <w:rFonts w:ascii="宋体" w:hAnsi="宋体" w:hint="eastAsia"/>
                <w:szCs w:val="24"/>
                <w:lang w:eastAsia="zh-Hans"/>
              </w:rPr>
              <w:t>4</w:t>
            </w:r>
          </w:p>
        </w:tc>
      </w:tr>
      <w:tr w:rsidR="00000000">
        <w:trPr>
          <w:divId w:val="160171488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107,281,206.7</w:t>
            </w:r>
            <w:r>
              <w:rPr>
                <w:rFonts w:ascii="宋体" w:hAnsi="宋体" w:hint="eastAsia"/>
                <w:szCs w:val="24"/>
                <w:lang w:eastAsia="zh-Hans"/>
              </w:rPr>
              <w:t>9</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4.8</w:t>
            </w:r>
            <w:r>
              <w:rPr>
                <w:rFonts w:ascii="宋体" w:hAnsi="宋体" w:hint="eastAsia"/>
                <w:szCs w:val="24"/>
                <w:lang w:eastAsia="zh-Hans"/>
              </w:rPr>
              <w:t>1</w:t>
            </w:r>
          </w:p>
        </w:tc>
      </w:tr>
      <w:tr w:rsidR="00000000">
        <w:trPr>
          <w:divId w:val="160171488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w:t>
            </w:r>
          </w:p>
        </w:tc>
      </w:tr>
      <w:tr w:rsidR="00000000">
        <w:trPr>
          <w:divId w:val="160171488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w:t>
            </w:r>
          </w:p>
        </w:tc>
      </w:tr>
      <w:tr w:rsidR="00000000">
        <w:trPr>
          <w:divId w:val="1601714881"/>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366,252,109.8</w:t>
            </w:r>
            <w:r>
              <w:rPr>
                <w:rFonts w:ascii="宋体" w:hAnsi="宋体" w:hint="eastAsia"/>
                <w:szCs w:val="24"/>
                <w:lang w:eastAsia="zh-Hans"/>
              </w:rPr>
              <w:t>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957FED" w:rsidRDefault="00957FED">
            <w:pPr>
              <w:jc w:val="right"/>
            </w:pPr>
            <w:r>
              <w:rPr>
                <w:rFonts w:ascii="宋体" w:hAnsi="宋体" w:hint="eastAsia"/>
                <w:szCs w:val="24"/>
                <w:lang w:eastAsia="zh-Hans"/>
              </w:rPr>
              <w:t>16.4</w:t>
            </w:r>
            <w:r>
              <w:rPr>
                <w:rFonts w:ascii="宋体" w:hAnsi="宋体" w:hint="eastAsia"/>
                <w:szCs w:val="24"/>
                <w:lang w:eastAsia="zh-Hans"/>
              </w:rPr>
              <w:t>2</w:t>
            </w:r>
          </w:p>
        </w:tc>
      </w:tr>
    </w:tbl>
    <w:p w:rsidR="00957FED" w:rsidRDefault="00957FED">
      <w:pPr>
        <w:spacing w:line="360" w:lineRule="auto"/>
        <w:divId w:val="648020896"/>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957FED" w:rsidRDefault="00957FED">
      <w:pPr>
        <w:pStyle w:val="XBRLTitle2"/>
        <w:spacing w:before="156"/>
        <w:ind w:left="454"/>
      </w:pPr>
      <w:bookmarkStart w:id="181" w:name="_Toc178982961"/>
      <w:bookmarkStart w:id="182" w:name="_Toc17897958"/>
      <w:bookmarkStart w:id="183" w:name="_Toc485300375"/>
      <w:bookmarkStart w:id="184" w:name="_Toc453852755"/>
      <w:bookmarkStart w:id="185" w:name="_Toc452398761"/>
      <w:bookmarkStart w:id="186" w:name="_Toc454983410"/>
      <w:bookmarkStart w:id="187" w:name="_Toc497398255"/>
      <w:bookmarkStart w:id="188" w:name="_Toc506208451"/>
      <w:bookmarkStart w:id="189" w:name="m08QD_10"/>
      <w:r>
        <w:rPr>
          <w:rFonts w:hint="eastAsia"/>
        </w:rPr>
        <w:t>期末按公允价值占基金资产净值比例大小排序的股票投资明</w:t>
      </w:r>
      <w:r>
        <w:rPr>
          <w:rFonts w:hint="eastAsia"/>
        </w:rPr>
        <w:t>细</w:t>
      </w:r>
      <w:bookmarkEnd w:id="181"/>
    </w:p>
    <w:p w:rsidR="00957FED" w:rsidRDefault="00957FED">
      <w:pPr>
        <w:pStyle w:val="XBRLTitle3"/>
        <w:spacing w:before="156"/>
        <w:ind w:left="0"/>
        <w:rPr>
          <w:rFonts w:hint="eastAsia"/>
        </w:rPr>
      </w:pPr>
      <w:bookmarkStart w:id="190" w:name="_Toc178982962"/>
      <w:bookmarkStart w:id="191" w:name="_Toc485300376"/>
      <w:bookmarkStart w:id="192" w:name="_Toc497398256"/>
      <w:bookmarkStart w:id="193" w:name="_Toc453852756"/>
      <w:bookmarkStart w:id="194" w:name="_Toc454983411"/>
      <w:r>
        <w:rPr>
          <w:rFonts w:hAnsi="宋体" w:hint="eastAsia"/>
        </w:rPr>
        <w:t>报告期末按公允价值占基金资产净值比例大小排序的前十名股票投资明</w:t>
      </w:r>
      <w:r>
        <w:rPr>
          <w:rFonts w:hAnsi="宋体" w:hint="eastAsia"/>
        </w:rPr>
        <w:t>细</w:t>
      </w:r>
      <w:bookmarkEnd w:id="190"/>
      <w:bookmarkEnd w:id="191"/>
      <w:bookmarkEnd w:id="192"/>
      <w:bookmarkEnd w:id="193"/>
      <w:bookmarkEnd w:id="1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305819729"/>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57FED" w:rsidRDefault="00957FED">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57FED" w:rsidRDefault="00957FED">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57FED" w:rsidRDefault="00957FED">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57FED" w:rsidRDefault="00957FED">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57FED" w:rsidRDefault="00957FED">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57FED" w:rsidRDefault="00957FED">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058197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828,13</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217,262,004.3</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9.7</w:t>
            </w:r>
            <w:r>
              <w:rPr>
                <w:rFonts w:ascii="宋体" w:hAnsi="宋体" w:hint="eastAsia"/>
                <w:szCs w:val="24"/>
                <w:lang w:eastAsia="zh-Hans"/>
              </w:rPr>
              <w:t>4</w:t>
            </w:r>
          </w:p>
        </w:tc>
      </w:tr>
      <w:tr w:rsidR="00000000">
        <w:trPr>
          <w:divId w:val="13058197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1,960,15</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183,293,626.5</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8.2</w:t>
            </w:r>
            <w:r>
              <w:rPr>
                <w:rFonts w:ascii="宋体" w:hAnsi="宋体" w:hint="eastAsia"/>
                <w:szCs w:val="24"/>
                <w:lang w:eastAsia="zh-Hans"/>
              </w:rPr>
              <w:t>2</w:t>
            </w:r>
          </w:p>
        </w:tc>
      </w:tr>
      <w:tr w:rsidR="00000000">
        <w:trPr>
          <w:divId w:val="13058197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139,13</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176,701,450.0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7.9</w:t>
            </w:r>
            <w:r>
              <w:rPr>
                <w:rFonts w:ascii="宋体" w:hAnsi="宋体" w:hint="eastAsia"/>
                <w:szCs w:val="24"/>
                <w:lang w:eastAsia="zh-Hans"/>
              </w:rPr>
              <w:t>2</w:t>
            </w:r>
          </w:p>
        </w:tc>
      </w:tr>
      <w:tr w:rsidR="00000000">
        <w:trPr>
          <w:divId w:val="13058197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429,49</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168,796,615.9</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7.5</w:t>
            </w:r>
            <w:r>
              <w:rPr>
                <w:rFonts w:ascii="宋体" w:hAnsi="宋体" w:hint="eastAsia"/>
                <w:szCs w:val="24"/>
                <w:lang w:eastAsia="zh-Hans"/>
              </w:rPr>
              <w:t>7</w:t>
            </w:r>
          </w:p>
        </w:tc>
      </w:tr>
      <w:tr w:rsidR="00000000">
        <w:trPr>
          <w:divId w:val="13058197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206,57</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125,389,811.0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5.6</w:t>
            </w:r>
            <w:r>
              <w:rPr>
                <w:rFonts w:ascii="宋体" w:hAnsi="宋体" w:hint="eastAsia"/>
                <w:szCs w:val="24"/>
                <w:lang w:eastAsia="zh-Hans"/>
              </w:rPr>
              <w:t>2</w:t>
            </w:r>
          </w:p>
        </w:tc>
      </w:tr>
      <w:tr w:rsidR="00000000">
        <w:trPr>
          <w:divId w:val="13058197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0098</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中芯国</w:t>
            </w:r>
            <w:r>
              <w:rPr>
                <w:rFonts w:ascii="宋体" w:hAnsi="宋体" w:hint="eastAsia"/>
                <w:szCs w:val="24"/>
                <w:lang w:eastAsia="zh-Hans"/>
              </w:rPr>
              <w:t>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1,462,36</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113,550,569.1</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5.0</w:t>
            </w:r>
            <w:r>
              <w:rPr>
                <w:rFonts w:ascii="宋体" w:hAnsi="宋体" w:hint="eastAsia"/>
                <w:szCs w:val="24"/>
                <w:lang w:eastAsia="zh-Hans"/>
              </w:rPr>
              <w:t>9</w:t>
            </w:r>
          </w:p>
        </w:tc>
      </w:tr>
      <w:tr w:rsidR="00000000">
        <w:trPr>
          <w:divId w:val="13058197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0070</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腾讯控</w:t>
            </w:r>
            <w:r>
              <w:rPr>
                <w:rFonts w:ascii="宋体" w:hAnsi="宋体" w:hint="eastAsia"/>
                <w:szCs w:val="24"/>
                <w:lang w:eastAsia="zh-Hans"/>
              </w:rPr>
              <w:t>股</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284,57</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106,233,388.0</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4.7</w:t>
            </w:r>
            <w:r>
              <w:rPr>
                <w:rFonts w:ascii="宋体" w:hAnsi="宋体" w:hint="eastAsia"/>
                <w:szCs w:val="24"/>
                <w:lang w:eastAsia="zh-Hans"/>
              </w:rPr>
              <w:t>6</w:t>
            </w:r>
          </w:p>
        </w:tc>
      </w:tr>
      <w:tr w:rsidR="00000000">
        <w:trPr>
          <w:divId w:val="13058197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30047</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胜宏科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273,39</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94,713,615.5</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4.2</w:t>
            </w:r>
            <w:r>
              <w:rPr>
                <w:rFonts w:ascii="宋体" w:hAnsi="宋体" w:hint="eastAsia"/>
                <w:szCs w:val="24"/>
                <w:lang w:eastAsia="zh-Hans"/>
              </w:rPr>
              <w:t>5</w:t>
            </w:r>
          </w:p>
        </w:tc>
      </w:tr>
      <w:tr w:rsidR="00000000">
        <w:trPr>
          <w:divId w:val="13058197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60379</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华友钴</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1,901,70</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91,776,235.0</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4.1</w:t>
            </w:r>
            <w:r>
              <w:rPr>
                <w:rFonts w:ascii="宋体" w:hAnsi="宋体" w:hint="eastAsia"/>
                <w:szCs w:val="24"/>
                <w:lang w:eastAsia="zh-Hans"/>
              </w:rPr>
              <w:t>1</w:t>
            </w:r>
          </w:p>
        </w:tc>
      </w:tr>
      <w:tr w:rsidR="00000000">
        <w:trPr>
          <w:divId w:val="130581972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00200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szCs w:val="24"/>
                <w:lang w:eastAsia="zh-Hans"/>
              </w:rPr>
              <w:t>大族激</w:t>
            </w:r>
            <w:r>
              <w:rPr>
                <w:rFonts w:ascii="宋体" w:hAnsi="宋体" w:hint="eastAsia"/>
                <w:szCs w:val="24"/>
                <w:lang w:eastAsia="zh-Hans"/>
              </w:rPr>
              <w:t>光</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589,10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88,429,801.0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szCs w:val="24"/>
                <w:lang w:eastAsia="zh-Hans"/>
              </w:rPr>
              <w:t>3.9</w:t>
            </w:r>
            <w:r>
              <w:rPr>
                <w:rFonts w:ascii="宋体" w:hAnsi="宋体" w:hint="eastAsia"/>
                <w:szCs w:val="24"/>
                <w:lang w:eastAsia="zh-Hans"/>
              </w:rPr>
              <w:t>6</w:t>
            </w:r>
          </w:p>
        </w:tc>
      </w:tr>
    </w:tbl>
    <w:p w:rsidR="00957FED" w:rsidRDefault="00957FED">
      <w:pPr>
        <w:pStyle w:val="XBRLTitle2"/>
        <w:spacing w:before="156" w:line="360" w:lineRule="auto"/>
        <w:ind w:left="454"/>
      </w:pPr>
      <w:bookmarkStart w:id="195" w:name="_Toc17898201"/>
      <w:bookmarkStart w:id="196" w:name="_Toc17897953"/>
      <w:bookmarkStart w:id="197" w:name="_Toc481075070"/>
      <w:bookmarkStart w:id="198" w:name="_Toc438646471"/>
      <w:bookmarkStart w:id="199" w:name="_Toc490050023"/>
      <w:bookmarkStart w:id="200" w:name="_Toc512519502"/>
      <w:bookmarkStart w:id="201" w:name="_Toc513295862"/>
      <w:bookmarkStart w:id="202" w:name="_Toc513295914"/>
      <w:bookmarkStart w:id="203" w:name="m505"/>
      <w:r>
        <w:rPr>
          <w:rFonts w:hAnsi="宋体" w:hint="eastAsia"/>
        </w:rPr>
        <w:t>报告期末按债券品种分类的债券投资组</w:t>
      </w:r>
      <w:r>
        <w:rPr>
          <w:rFonts w:hAnsi="宋体" w:hint="eastAsia"/>
        </w:rPr>
        <w:t>合</w:t>
      </w:r>
      <w:bookmarkEnd w:id="195"/>
      <w:bookmarkEnd w:id="196"/>
      <w:bookmarkEnd w:id="197"/>
      <w:bookmarkEnd w:id="198"/>
      <w:bookmarkEnd w:id="199"/>
      <w:bookmarkEnd w:id="200"/>
      <w:bookmarkEnd w:id="201"/>
      <w:bookmarkEnd w:id="202"/>
      <w:r>
        <w:rPr>
          <w:rFonts w:hAnsi="宋体" w:hint="eastAsia"/>
        </w:rPr>
        <w:t xml:space="preserve"> </w:t>
      </w:r>
    </w:p>
    <w:p w:rsidR="00957FED" w:rsidRDefault="00957FED">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4" w:name="m08QD_06"/>
      <w:bookmarkEnd w:id="204"/>
      <w:r>
        <w:rPr>
          <w:rFonts w:ascii="宋体" w:hAnsi="宋体" w:hint="eastAsia"/>
        </w:rPr>
        <w:t xml:space="preserve"> </w:t>
      </w:r>
    </w:p>
    <w:p w:rsidR="00957FED" w:rsidRDefault="00957FED">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3"/>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p w:rsidR="00957FED" w:rsidRDefault="00957FED">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957FED" w:rsidRDefault="00957FED">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957FED" w:rsidRDefault="00957FED">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957FED" w:rsidRDefault="00957FED">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957FED" w:rsidRDefault="00957FED">
      <w:pPr>
        <w:spacing w:line="360" w:lineRule="auto"/>
        <w:ind w:firstLineChars="200" w:firstLine="420"/>
        <w:divId w:val="1344742581"/>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957FED" w:rsidRDefault="00957FED">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957FED" w:rsidRDefault="00957FED">
      <w:pPr>
        <w:spacing w:line="360" w:lineRule="auto"/>
        <w:ind w:firstLineChars="200" w:firstLine="420"/>
        <w:divId w:val="1395348391"/>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957FED" w:rsidRDefault="00957FED">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69"/>
      <w:bookmarkEnd w:id="70"/>
      <w:bookmarkEnd w:id="182"/>
      <w:bookmarkEnd w:id="183"/>
      <w:bookmarkEnd w:id="184"/>
      <w:bookmarkEnd w:id="185"/>
      <w:bookmarkEnd w:id="186"/>
      <w:bookmarkEnd w:id="187"/>
      <w:bookmarkEnd w:id="188"/>
      <w:bookmarkEnd w:id="189"/>
      <w:bookmarkEnd w:id="241"/>
    </w:p>
    <w:p w:rsidR="00957FED" w:rsidRDefault="00957FED">
      <w:pPr>
        <w:spacing w:line="360" w:lineRule="auto"/>
        <w:ind w:firstLineChars="200" w:firstLine="420"/>
        <w:divId w:val="1050887825"/>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957FED" w:rsidRDefault="00957FED">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957FED" w:rsidRDefault="00957FED">
      <w:pPr>
        <w:spacing w:line="360" w:lineRule="auto"/>
        <w:ind w:firstLineChars="200" w:firstLine="420"/>
        <w:divId w:val="1215854677"/>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957FED" w:rsidRDefault="00957FED">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957FED" w:rsidRDefault="00957FED">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957FED" w:rsidRDefault="00957FED">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957FED" w:rsidRDefault="00957FED">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957FED" w:rsidRDefault="00957FED">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957FED" w:rsidRDefault="00957FED">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521621858"/>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57FED" w:rsidRDefault="00957FED">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57FED" w:rsidRDefault="00957FED">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57FED" w:rsidRDefault="00957FED">
            <w:pPr>
              <w:jc w:val="center"/>
            </w:pPr>
            <w:r>
              <w:rPr>
                <w:rFonts w:ascii="宋体" w:hAnsi="宋体" w:hint="eastAsia"/>
              </w:rPr>
              <w:t>金额（元</w:t>
            </w:r>
            <w:r>
              <w:rPr>
                <w:rFonts w:ascii="宋体" w:hAnsi="宋体" w:hint="eastAsia"/>
              </w:rPr>
              <w:t>）</w:t>
            </w:r>
            <w:r>
              <w:t xml:space="preserve"> </w:t>
            </w:r>
          </w:p>
        </w:tc>
      </w:tr>
      <w:tr w:rsidR="00000000">
        <w:trPr>
          <w:divId w:val="152162185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rPr>
              <w:t>557,159.4</w:t>
            </w:r>
            <w:r>
              <w:rPr>
                <w:rFonts w:ascii="宋体" w:hAnsi="宋体" w:hint="eastAsia"/>
              </w:rPr>
              <w:t>6</w:t>
            </w:r>
          </w:p>
        </w:tc>
      </w:tr>
      <w:tr w:rsidR="00000000">
        <w:trPr>
          <w:divId w:val="152162185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rPr>
              <w:t>54,554,493.6</w:t>
            </w:r>
            <w:r>
              <w:rPr>
                <w:rFonts w:ascii="宋体" w:hAnsi="宋体" w:hint="eastAsia"/>
              </w:rPr>
              <w:t>8</w:t>
            </w:r>
          </w:p>
        </w:tc>
      </w:tr>
      <w:tr w:rsidR="00000000">
        <w:trPr>
          <w:divId w:val="152162185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rPr>
              <w:t>655,143.6</w:t>
            </w:r>
            <w:r>
              <w:rPr>
                <w:rFonts w:ascii="宋体" w:hAnsi="宋体" w:hint="eastAsia"/>
              </w:rPr>
              <w:t>6</w:t>
            </w:r>
          </w:p>
        </w:tc>
      </w:tr>
      <w:tr w:rsidR="00000000">
        <w:trPr>
          <w:divId w:val="152162185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rPr>
              <w:t>-</w:t>
            </w:r>
          </w:p>
        </w:tc>
      </w:tr>
      <w:tr w:rsidR="00000000">
        <w:trPr>
          <w:divId w:val="152162185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rPr>
              <w:t>260,815.7</w:t>
            </w:r>
            <w:r>
              <w:rPr>
                <w:rFonts w:ascii="宋体" w:hAnsi="宋体" w:hint="eastAsia"/>
              </w:rPr>
              <w:t>3</w:t>
            </w:r>
          </w:p>
        </w:tc>
      </w:tr>
      <w:tr w:rsidR="00000000">
        <w:trPr>
          <w:divId w:val="152162185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rPr>
              <w:t>-</w:t>
            </w:r>
          </w:p>
        </w:tc>
      </w:tr>
      <w:tr w:rsidR="00000000">
        <w:trPr>
          <w:divId w:val="152162185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rPr>
              <w:t>-</w:t>
            </w:r>
          </w:p>
        </w:tc>
      </w:tr>
      <w:tr w:rsidR="00000000">
        <w:trPr>
          <w:divId w:val="152162185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7FED" w:rsidRDefault="00957FED">
            <w:pPr>
              <w:jc w:val="right"/>
            </w:pPr>
            <w:r>
              <w:rPr>
                <w:rFonts w:ascii="宋体" w:hAnsi="宋体" w:hint="eastAsia"/>
              </w:rPr>
              <w:t>56,027,612.5</w:t>
            </w:r>
            <w:r>
              <w:rPr>
                <w:rFonts w:ascii="宋体" w:hAnsi="宋体" w:hint="eastAsia"/>
              </w:rPr>
              <w:t>3</w:t>
            </w:r>
          </w:p>
        </w:tc>
      </w:tr>
    </w:tbl>
    <w:p w:rsidR="00957FED" w:rsidRDefault="00957FED">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957FED" w:rsidRDefault="00957FED">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957FED" w:rsidRDefault="00957FED">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957FED" w:rsidRDefault="00957FED">
      <w:pPr>
        <w:spacing w:line="360" w:lineRule="auto"/>
        <w:ind w:firstLineChars="200" w:firstLine="420"/>
        <w:jc w:val="left"/>
        <w:divId w:val="753477193"/>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957FED" w:rsidRDefault="00957FED">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957FED" w:rsidRDefault="00957FED">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957FED" w:rsidRDefault="00957FED">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0"/>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957FED" w:rsidRDefault="00957FED">
      <w:pPr>
        <w:wordWrap w:val="0"/>
        <w:spacing w:line="360" w:lineRule="auto"/>
        <w:jc w:val="right"/>
        <w:divId w:val="416557052"/>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000000">
        <w:trPr>
          <w:divId w:val="416557052"/>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303"/>
          <w:p w:rsidR="00957FED" w:rsidRDefault="00957FE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Fonts w:ascii="宋体" w:hAnsi="宋体" w:hint="eastAsia"/>
                <w:kern w:val="2"/>
                <w:sz w:val="21"/>
              </w:rPr>
              <w:t>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jc w:val="right"/>
            </w:pPr>
            <w:r>
              <w:rPr>
                <w:rFonts w:ascii="宋体" w:hAnsi="宋体" w:hint="eastAsia"/>
                <w:kern w:val="0"/>
                <w:szCs w:val="24"/>
                <w:lang w:eastAsia="zh-Hans"/>
              </w:rPr>
              <w:t>1,655,529,375.8</w:t>
            </w:r>
            <w:r>
              <w:rPr>
                <w:rFonts w:ascii="宋体" w:hAnsi="宋体" w:hint="eastAsia"/>
                <w:kern w:val="0"/>
                <w:szCs w:val="24"/>
                <w:lang w:eastAsia="zh-Hans"/>
              </w:rPr>
              <w:t>9</w:t>
            </w:r>
          </w:p>
        </w:tc>
      </w:tr>
      <w:tr w:rsidR="00000000">
        <w:trPr>
          <w:divId w:val="416557052"/>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jc w:val="right"/>
            </w:pPr>
            <w:r>
              <w:rPr>
                <w:rFonts w:ascii="宋体" w:hAnsi="宋体" w:hint="eastAsia"/>
                <w:lang w:eastAsia="zh-Hans"/>
              </w:rPr>
              <w:t>14,691,296.1</w:t>
            </w:r>
            <w:r>
              <w:rPr>
                <w:rFonts w:ascii="宋体" w:hAnsi="宋体" w:hint="eastAsia"/>
                <w:lang w:eastAsia="zh-Hans"/>
              </w:rPr>
              <w:t>9</w:t>
            </w:r>
          </w:p>
        </w:tc>
      </w:tr>
      <w:tr w:rsidR="00000000">
        <w:trPr>
          <w:divId w:val="416557052"/>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jc w:val="right"/>
            </w:pPr>
            <w:r>
              <w:rPr>
                <w:rFonts w:ascii="宋体" w:hAnsi="宋体" w:hint="eastAsia"/>
                <w:lang w:eastAsia="zh-Hans"/>
              </w:rPr>
              <w:t>363,476,098.7</w:t>
            </w:r>
            <w:r>
              <w:rPr>
                <w:rFonts w:ascii="宋体" w:hAnsi="宋体" w:hint="eastAsia"/>
                <w:lang w:eastAsia="zh-Hans"/>
              </w:rPr>
              <w:t>5</w:t>
            </w:r>
          </w:p>
        </w:tc>
      </w:tr>
      <w:tr w:rsidR="00000000">
        <w:trPr>
          <w:divId w:val="416557052"/>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jc w:val="right"/>
            </w:pPr>
            <w:r>
              <w:rPr>
                <w:rFonts w:ascii="宋体" w:hAnsi="宋体" w:hint="eastAsia"/>
                <w:lang w:eastAsia="zh-Hans"/>
              </w:rPr>
              <w:t>-</w:t>
            </w:r>
          </w:p>
        </w:tc>
      </w:tr>
      <w:tr w:rsidR="00000000">
        <w:trPr>
          <w:divId w:val="416557052"/>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57FED" w:rsidRDefault="00957FED">
            <w:pPr>
              <w:jc w:val="right"/>
            </w:pPr>
            <w:r>
              <w:rPr>
                <w:rFonts w:ascii="宋体" w:hAnsi="宋体" w:hint="eastAsia"/>
                <w:szCs w:val="24"/>
                <w:lang w:eastAsia="zh-Hans"/>
              </w:rPr>
              <w:t>1,306,744,573.3</w:t>
            </w:r>
            <w:r>
              <w:rPr>
                <w:rFonts w:ascii="宋体" w:hAnsi="宋体" w:hint="eastAsia"/>
                <w:szCs w:val="24"/>
                <w:lang w:eastAsia="zh-Hans"/>
              </w:rPr>
              <w:t>3</w:t>
            </w:r>
            <w:r>
              <w:rPr>
                <w:rFonts w:ascii="宋体" w:hAnsi="宋体" w:hint="eastAsia"/>
                <w:lang w:eastAsia="zh-Hans"/>
              </w:rPr>
              <w:t xml:space="preserve"> </w:t>
            </w:r>
          </w:p>
        </w:tc>
      </w:tr>
    </w:tbl>
    <w:p w:rsidR="00957FED" w:rsidRDefault="00957FED">
      <w:pPr>
        <w:spacing w:line="360" w:lineRule="auto"/>
        <w:jc w:val="left"/>
        <w:divId w:val="416557052"/>
      </w:pPr>
      <w:r>
        <w:rPr>
          <w:rFonts w:ascii="宋体" w:hAnsi="宋体" w:hint="eastAsia"/>
          <w:szCs w:val="21"/>
        </w:rPr>
        <w:t>注</w:t>
      </w:r>
      <w:r>
        <w:rPr>
          <w:rFonts w:ascii="宋体" w:hAnsi="宋体" w:hint="eastAsia"/>
          <w:szCs w:val="21"/>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r>
        <w:rPr>
          <w:rFonts w:ascii="宋体" w:hAnsi="宋体" w:hint="eastAsia"/>
        </w:rPr>
        <w:t xml:space="preserve"> </w:t>
      </w:r>
    </w:p>
    <w:p w:rsidR="00957FED" w:rsidRDefault="00957FED">
      <w:pPr>
        <w:pStyle w:val="XBRLTitle1"/>
        <w:spacing w:before="156" w:line="360" w:lineRule="auto"/>
        <w:ind w:left="425"/>
      </w:pPr>
      <w:bookmarkStart w:id="304" w:name="_Toc17898221"/>
      <w:bookmarkStart w:id="305" w:name="_Toc17897962"/>
      <w:bookmarkStart w:id="306" w:name="m7manage01"/>
      <w:bookmarkStart w:id="307" w:name="_Toc512519522"/>
      <w:bookmarkStart w:id="308" w:name="_Toc481075090"/>
      <w:bookmarkStart w:id="309" w:name="_Toc438646478"/>
      <w:bookmarkStart w:id="310" w:name="_Toc490050043"/>
      <w:bookmarkStart w:id="311" w:name="_Toc513295871"/>
      <w:bookmarkStart w:id="312" w:name="_Toc513295934"/>
      <w:bookmarkEnd w:id="301"/>
      <w:bookmarkEnd w:id="302"/>
      <w:r>
        <w:rPr>
          <w:rFonts w:hAnsi="宋体" w:hint="eastAsia"/>
        </w:rPr>
        <w:t>基金管理人运用固有资金投资本基金情</w:t>
      </w:r>
      <w:r>
        <w:rPr>
          <w:rFonts w:hAnsi="宋体" w:hint="eastAsia"/>
        </w:rPr>
        <w:t>况</w:t>
      </w:r>
      <w:bookmarkEnd w:id="304"/>
      <w:bookmarkEnd w:id="305"/>
      <w:bookmarkEnd w:id="306"/>
      <w:bookmarkEnd w:id="307"/>
      <w:bookmarkEnd w:id="308"/>
      <w:bookmarkEnd w:id="309"/>
      <w:bookmarkEnd w:id="310"/>
      <w:bookmarkEnd w:id="311"/>
      <w:bookmarkEnd w:id="312"/>
      <w:r>
        <w:rPr>
          <w:rFonts w:hAnsi="宋体" w:hint="eastAsia"/>
        </w:rPr>
        <w:t xml:space="preserve"> </w:t>
      </w:r>
    </w:p>
    <w:p w:rsidR="00957FED" w:rsidRDefault="00957FED">
      <w:pPr>
        <w:pStyle w:val="XBRLTitle2"/>
        <w:spacing w:before="156" w:line="360" w:lineRule="auto"/>
        <w:ind w:left="454"/>
        <w:rPr>
          <w:rFonts w:hint="eastAsia"/>
        </w:rPr>
      </w:pPr>
      <w:bookmarkStart w:id="313" w:name="_Toc17898222"/>
      <w:bookmarkStart w:id="314" w:name="_Toc17897963"/>
      <w:bookmarkStart w:id="315" w:name="_Toc512519523"/>
      <w:bookmarkStart w:id="316" w:name="_Toc481075091"/>
      <w:bookmarkStart w:id="317" w:name="_Toc458599606"/>
      <w:bookmarkStart w:id="318" w:name="_Toc490050044"/>
      <w:bookmarkStart w:id="319" w:name="_Toc513295872"/>
      <w:bookmarkStart w:id="320" w:name="_Toc513295935"/>
      <w:r>
        <w:rPr>
          <w:rFonts w:hAnsi="宋体" w:hint="eastAsia"/>
        </w:rPr>
        <w:t>基金管理人持有本基金份额变动情</w:t>
      </w:r>
      <w:r>
        <w:rPr>
          <w:rFonts w:hAnsi="宋体" w:hint="eastAsia"/>
        </w:rPr>
        <w:t>况</w:t>
      </w:r>
      <w:bookmarkEnd w:id="313"/>
      <w:bookmarkEnd w:id="314"/>
      <w:bookmarkEnd w:id="315"/>
      <w:bookmarkEnd w:id="316"/>
      <w:bookmarkEnd w:id="317"/>
      <w:bookmarkEnd w:id="318"/>
      <w:bookmarkEnd w:id="319"/>
      <w:bookmarkEnd w:id="320"/>
      <w:r>
        <w:rPr>
          <w:rFonts w:hAnsi="宋体" w:hint="eastAsia"/>
          <w:lang w:eastAsia="zh-CN"/>
        </w:rPr>
        <w:t xml:space="preserve"> </w:t>
      </w:r>
    </w:p>
    <w:p w:rsidR="00957FED" w:rsidRDefault="00957FED">
      <w:pPr>
        <w:spacing w:line="360" w:lineRule="auto"/>
        <w:ind w:firstLineChars="200" w:firstLine="420"/>
        <w:jc w:val="left"/>
        <w:divId w:val="1989901485"/>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rPr>
        <w:t xml:space="preserve"> </w:t>
      </w:r>
    </w:p>
    <w:p w:rsidR="00957FED" w:rsidRDefault="00957FED">
      <w:pPr>
        <w:pStyle w:val="XBRLTitle2"/>
        <w:spacing w:before="156" w:line="360" w:lineRule="auto"/>
        <w:ind w:left="454"/>
      </w:pPr>
      <w:bookmarkStart w:id="321" w:name="_Toc17898223"/>
      <w:bookmarkStart w:id="322" w:name="_Toc17897964"/>
      <w:bookmarkStart w:id="323" w:name="_Toc512519524"/>
      <w:bookmarkStart w:id="324" w:name="_Toc481075092"/>
      <w:bookmarkStart w:id="325" w:name="_Toc458599607"/>
      <w:bookmarkStart w:id="326" w:name="_Toc490050045"/>
      <w:bookmarkStart w:id="327" w:name="_Toc513295873"/>
      <w:bookmarkStart w:id="328" w:name="_Toc513295936"/>
      <w:r>
        <w:rPr>
          <w:rFonts w:hAnsi="宋体" w:hint="eastAsia"/>
        </w:rPr>
        <w:t>基金管理人运用固有资金投资本基金交易明</w:t>
      </w:r>
      <w:r>
        <w:rPr>
          <w:rFonts w:hAnsi="宋体" w:hint="eastAsia"/>
        </w:rPr>
        <w:t>细</w:t>
      </w:r>
      <w:bookmarkEnd w:id="321"/>
      <w:bookmarkEnd w:id="322"/>
      <w:bookmarkEnd w:id="323"/>
      <w:bookmarkEnd w:id="324"/>
      <w:bookmarkEnd w:id="325"/>
      <w:bookmarkEnd w:id="326"/>
      <w:bookmarkEnd w:id="327"/>
      <w:bookmarkEnd w:id="328"/>
      <w:r>
        <w:rPr>
          <w:rFonts w:hAnsi="宋体" w:hint="eastAsia"/>
          <w:lang w:eastAsia="zh-CN"/>
        </w:rPr>
        <w:t xml:space="preserve"> </w:t>
      </w:r>
    </w:p>
    <w:p w:rsidR="00957FED" w:rsidRDefault="00957FED">
      <w:pPr>
        <w:spacing w:line="360" w:lineRule="auto"/>
        <w:ind w:firstLineChars="200" w:firstLine="420"/>
        <w:jc w:val="left"/>
        <w:divId w:val="400448371"/>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957FED" w:rsidRDefault="00957FED">
      <w:pPr>
        <w:pStyle w:val="XBRLTitle1"/>
        <w:spacing w:before="156" w:line="360" w:lineRule="auto"/>
        <w:ind w:left="425"/>
      </w:pPr>
      <w:bookmarkStart w:id="329" w:name="_Toc17898225"/>
      <w:bookmarkStart w:id="330" w:name="_Toc17897966"/>
      <w:bookmarkStart w:id="331" w:name="_Toc512519526"/>
      <w:bookmarkStart w:id="332" w:name="_Toc490050046"/>
      <w:bookmarkStart w:id="333" w:name="_Toc481075094"/>
      <w:bookmarkStart w:id="334" w:name="_Toc479856294"/>
      <w:bookmarkStart w:id="335" w:name="_Toc513295875"/>
      <w:bookmarkStart w:id="336" w:name="_Toc513295938"/>
      <w:bookmarkStart w:id="337" w:name="m701"/>
      <w:r>
        <w:rPr>
          <w:rFonts w:hAnsi="宋体" w:hint="eastAsia"/>
        </w:rPr>
        <w:t>影响投资者决策的其他重要信</w:t>
      </w:r>
      <w:r>
        <w:rPr>
          <w:rFonts w:hAnsi="宋体" w:hint="eastAsia"/>
        </w:rPr>
        <w:t>息</w:t>
      </w:r>
      <w:bookmarkEnd w:id="329"/>
      <w:bookmarkEnd w:id="330"/>
      <w:bookmarkEnd w:id="331"/>
      <w:bookmarkEnd w:id="332"/>
      <w:bookmarkEnd w:id="333"/>
      <w:bookmarkEnd w:id="334"/>
      <w:bookmarkEnd w:id="335"/>
      <w:bookmarkEnd w:id="336"/>
      <w:r>
        <w:rPr>
          <w:rFonts w:hAnsi="宋体" w:hint="eastAsia"/>
          <w:lang w:eastAsia="zh-CN"/>
        </w:rPr>
        <w:t xml:space="preserve"> </w:t>
      </w:r>
    </w:p>
    <w:p w:rsidR="00957FED" w:rsidRDefault="00957FED">
      <w:pPr>
        <w:pStyle w:val="XBRLTitle2"/>
        <w:spacing w:before="156" w:line="360" w:lineRule="auto"/>
        <w:ind w:left="454"/>
        <w:rPr>
          <w:rFonts w:hint="eastAsia"/>
        </w:rPr>
      </w:pPr>
      <w:bookmarkStart w:id="338" w:name="_Toc17898226"/>
      <w:bookmarkStart w:id="339" w:name="_Toc17897967"/>
      <w:bookmarkStart w:id="340" w:name="_Toc512519527"/>
      <w:bookmarkStart w:id="341" w:name="_Toc481075095"/>
      <w:bookmarkStart w:id="342" w:name="_Toc490050047"/>
      <w:bookmarkStart w:id="343" w:name="_Toc513295876"/>
      <w:bookmarkStart w:id="344"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8"/>
      <w:bookmarkEnd w:id="339"/>
      <w:bookmarkEnd w:id="340"/>
      <w:bookmarkEnd w:id="341"/>
      <w:bookmarkEnd w:id="342"/>
      <w:bookmarkEnd w:id="343"/>
      <w:bookmarkEnd w:id="344"/>
      <w:r>
        <w:rPr>
          <w:rFonts w:hAnsi="宋体" w:hint="eastAsia"/>
          <w:kern w:val="0"/>
          <w:lang w:eastAsia="zh-CN"/>
        </w:rPr>
        <w:t xml:space="preserve"> </w:t>
      </w:r>
    </w:p>
    <w:bookmarkEnd w:id="22"/>
    <w:bookmarkEnd w:id="41"/>
    <w:bookmarkEnd w:id="42"/>
    <w:p w:rsidR="00957FED" w:rsidRDefault="00957FED">
      <w:pPr>
        <w:spacing w:line="360" w:lineRule="auto"/>
        <w:ind w:firstLineChars="200" w:firstLine="420"/>
        <w:divId w:val="1726709719"/>
        <w:rPr>
          <w:rFonts w:ascii="宋体" w:hAnsi="宋体" w:hint="eastAsia"/>
          <w:szCs w:val="21"/>
          <w:lang w:eastAsia="zh-Hans"/>
        </w:rPr>
      </w:pPr>
      <w:r>
        <w:rPr>
          <w:rFonts w:ascii="宋体" w:hAnsi="宋体" w:hint="eastAsia"/>
          <w:szCs w:val="21"/>
          <w:lang w:eastAsia="zh-Hans"/>
        </w:rPr>
        <w:t>无。</w:t>
      </w:r>
    </w:p>
    <w:p w:rsidR="00957FED" w:rsidRDefault="00957FED">
      <w:pPr>
        <w:pStyle w:val="XBRLTitle1"/>
        <w:spacing w:before="156" w:line="360" w:lineRule="auto"/>
        <w:ind w:left="425"/>
        <w:rPr>
          <w:rFonts w:hint="eastAsia"/>
        </w:rPr>
      </w:pPr>
      <w:bookmarkStart w:id="345" w:name="_Toc17898228"/>
      <w:bookmarkStart w:id="346" w:name="_Toc17897969"/>
      <w:bookmarkStart w:id="347" w:name="_Toc512519529"/>
      <w:bookmarkStart w:id="348" w:name="_Toc490050049"/>
      <w:bookmarkStart w:id="349" w:name="_Toc481075097"/>
      <w:bookmarkStart w:id="350" w:name="_Toc438646481"/>
      <w:bookmarkStart w:id="351" w:name="_Toc513295878"/>
      <w:bookmarkStart w:id="352" w:name="_Toc513295941"/>
      <w:bookmarkEnd w:id="337"/>
      <w:r>
        <w:rPr>
          <w:rFonts w:hAnsi="宋体" w:hint="eastAsia"/>
        </w:rPr>
        <w:t>备查文件目</w:t>
      </w:r>
      <w:r>
        <w:rPr>
          <w:rFonts w:hAnsi="宋体" w:hint="eastAsia"/>
        </w:rPr>
        <w:t>录</w:t>
      </w:r>
      <w:bookmarkEnd w:id="345"/>
      <w:bookmarkEnd w:id="346"/>
      <w:bookmarkEnd w:id="347"/>
      <w:bookmarkEnd w:id="348"/>
      <w:bookmarkEnd w:id="349"/>
      <w:bookmarkEnd w:id="350"/>
      <w:bookmarkEnd w:id="351"/>
      <w:bookmarkEnd w:id="352"/>
      <w:r>
        <w:rPr>
          <w:rFonts w:hAnsi="宋体" w:hint="eastAsia"/>
        </w:rPr>
        <w:t xml:space="preserve"> </w:t>
      </w:r>
    </w:p>
    <w:p w:rsidR="00957FED" w:rsidRDefault="00957FED">
      <w:pPr>
        <w:pStyle w:val="XBRLTitle2"/>
        <w:spacing w:before="156" w:line="360" w:lineRule="auto"/>
        <w:ind w:left="454"/>
        <w:rPr>
          <w:rFonts w:hint="eastAsia"/>
        </w:rPr>
      </w:pPr>
      <w:bookmarkStart w:id="353" w:name="_Toc438646482"/>
      <w:bookmarkStart w:id="354" w:name="_Toc17898229"/>
      <w:bookmarkStart w:id="355" w:name="_Toc17897970"/>
      <w:bookmarkStart w:id="356" w:name="_Toc512519530"/>
      <w:bookmarkStart w:id="357" w:name="_Toc481075098"/>
      <w:bookmarkStart w:id="358" w:name="_Toc490050050"/>
      <w:bookmarkStart w:id="359" w:name="_Toc513295879"/>
      <w:bookmarkStart w:id="360" w:name="_Toc513295942"/>
      <w:bookmarkStart w:id="361" w:name="m801_01_1733"/>
      <w:r>
        <w:rPr>
          <w:rFonts w:hAnsi="宋体" w:hint="eastAsia"/>
        </w:rPr>
        <w:t>备查文件目</w:t>
      </w:r>
      <w:r>
        <w:rPr>
          <w:rFonts w:hAnsi="宋体" w:hint="eastAsia"/>
        </w:rPr>
        <w:t>录</w:t>
      </w:r>
      <w:bookmarkEnd w:id="353"/>
      <w:bookmarkEnd w:id="354"/>
      <w:bookmarkEnd w:id="355"/>
      <w:bookmarkEnd w:id="356"/>
      <w:bookmarkEnd w:id="357"/>
      <w:bookmarkEnd w:id="358"/>
      <w:bookmarkEnd w:id="359"/>
      <w:bookmarkEnd w:id="360"/>
      <w:r>
        <w:rPr>
          <w:rFonts w:hAnsi="宋体" w:hint="eastAsia"/>
        </w:rPr>
        <w:t xml:space="preserve"> </w:t>
      </w:r>
    </w:p>
    <w:p w:rsidR="00957FED" w:rsidRDefault="00957FED">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摩根远见两年持有期混合型证券投资基金基金合同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摩根远见两年持有期混合型证券投资基金托管协议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957FED" w:rsidRDefault="00957FED">
      <w:pPr>
        <w:pStyle w:val="XBRLTitle2"/>
        <w:spacing w:before="156" w:line="360" w:lineRule="auto"/>
        <w:ind w:left="454"/>
      </w:pPr>
      <w:bookmarkStart w:id="362" w:name="_Toc438646483"/>
      <w:bookmarkStart w:id="363" w:name="_Toc17898230"/>
      <w:bookmarkStart w:id="364" w:name="_Toc17897971"/>
      <w:bookmarkStart w:id="365" w:name="_Toc512519531"/>
      <w:bookmarkStart w:id="366" w:name="_Toc481075099"/>
      <w:bookmarkStart w:id="367" w:name="_Toc490050051"/>
      <w:bookmarkStart w:id="368" w:name="_Toc513295880"/>
      <w:bookmarkStart w:id="369" w:name="_Toc513295943"/>
      <w:bookmarkStart w:id="370" w:name="m801_01_1734"/>
      <w:bookmarkEnd w:id="361"/>
      <w:r>
        <w:rPr>
          <w:rFonts w:hAnsi="宋体" w:hint="eastAsia"/>
        </w:rPr>
        <w:t>存放地</w:t>
      </w:r>
      <w:r>
        <w:rPr>
          <w:rFonts w:hAnsi="宋体" w:hint="eastAsia"/>
        </w:rPr>
        <w:t>点</w:t>
      </w:r>
      <w:bookmarkEnd w:id="362"/>
      <w:bookmarkEnd w:id="363"/>
      <w:bookmarkEnd w:id="364"/>
      <w:bookmarkEnd w:id="365"/>
      <w:bookmarkEnd w:id="366"/>
      <w:bookmarkEnd w:id="367"/>
      <w:bookmarkEnd w:id="368"/>
      <w:bookmarkEnd w:id="369"/>
      <w:r>
        <w:rPr>
          <w:rFonts w:hAnsi="宋体" w:hint="eastAsia"/>
        </w:rPr>
        <w:t xml:space="preserve"> </w:t>
      </w:r>
    </w:p>
    <w:p w:rsidR="00957FED" w:rsidRDefault="00957FED">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957FED" w:rsidRDefault="00957FED">
      <w:pPr>
        <w:pStyle w:val="XBRLTitle2"/>
        <w:spacing w:before="156" w:line="360" w:lineRule="auto"/>
        <w:ind w:left="454"/>
      </w:pPr>
      <w:bookmarkStart w:id="371" w:name="_Toc438646484"/>
      <w:bookmarkStart w:id="372" w:name="_Toc17898231"/>
      <w:bookmarkStart w:id="373" w:name="_Toc17897972"/>
      <w:bookmarkStart w:id="374" w:name="_Toc512519532"/>
      <w:bookmarkStart w:id="375" w:name="_Toc481075100"/>
      <w:bookmarkStart w:id="376" w:name="_Toc490050052"/>
      <w:bookmarkStart w:id="377" w:name="_Toc513295881"/>
      <w:bookmarkStart w:id="378" w:name="_Toc513295944"/>
      <w:bookmarkStart w:id="379" w:name="m801_01_1735"/>
      <w:bookmarkEnd w:id="370"/>
      <w:r>
        <w:rPr>
          <w:rFonts w:hAnsi="宋体" w:hint="eastAsia"/>
        </w:rPr>
        <w:t>查阅方</w:t>
      </w:r>
      <w:r>
        <w:rPr>
          <w:rFonts w:hAnsi="宋体" w:hint="eastAsia"/>
        </w:rPr>
        <w:t>式</w:t>
      </w:r>
      <w:bookmarkEnd w:id="371"/>
      <w:bookmarkEnd w:id="372"/>
      <w:bookmarkEnd w:id="373"/>
      <w:bookmarkEnd w:id="374"/>
      <w:bookmarkEnd w:id="375"/>
      <w:bookmarkEnd w:id="376"/>
      <w:bookmarkEnd w:id="377"/>
      <w:bookmarkEnd w:id="378"/>
      <w:r>
        <w:rPr>
          <w:rFonts w:hAnsi="宋体" w:hint="eastAsia"/>
        </w:rPr>
        <w:t xml:space="preserve"> </w:t>
      </w:r>
    </w:p>
    <w:p w:rsidR="00957FED" w:rsidRDefault="00957FED">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79"/>
    <w:p w:rsidR="00957FED" w:rsidRDefault="00957FED">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957FED" w:rsidRDefault="00957FED">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957FED" w:rsidRDefault="00957FED">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957FED" w:rsidRDefault="00957FED">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957FED">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7FED" w:rsidRDefault="00957FED">
      <w:pPr>
        <w:rPr>
          <w:szCs w:val="21"/>
        </w:rPr>
      </w:pPr>
      <w:r>
        <w:rPr>
          <w:szCs w:val="21"/>
        </w:rPr>
        <w:separator/>
      </w:r>
      <w:r>
        <w:rPr>
          <w:szCs w:val="21"/>
        </w:rPr>
        <w:t xml:space="preserve"> </w:t>
      </w:r>
    </w:p>
  </w:endnote>
  <w:endnote w:type="continuationSeparator" w:id="0">
    <w:p w:rsidR="00957FED" w:rsidRDefault="00957FED">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FED" w:rsidRDefault="00957FED">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w:instrText>
    </w:r>
    <w:r>
      <w:rPr>
        <w:rFonts w:ascii="宋体" w:hAnsi="宋体" w:hint="eastAsia"/>
        <w:sz w:val="18"/>
        <w:szCs w:val="18"/>
      </w:rPr>
      <w:instrText xml:space="preserve">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7FED" w:rsidRDefault="00957FED">
      <w:pPr>
        <w:rPr>
          <w:szCs w:val="21"/>
        </w:rPr>
      </w:pPr>
      <w:r>
        <w:rPr>
          <w:szCs w:val="21"/>
        </w:rPr>
        <w:separator/>
      </w:r>
      <w:r>
        <w:rPr>
          <w:szCs w:val="21"/>
        </w:rPr>
        <w:t xml:space="preserve"> </w:t>
      </w:r>
    </w:p>
  </w:footnote>
  <w:footnote w:type="continuationSeparator" w:id="0">
    <w:p w:rsidR="00957FED" w:rsidRDefault="00957FED">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FED" w:rsidRDefault="00957FED">
    <w:pPr>
      <w:pStyle w:val="a8"/>
      <w:jc w:val="right"/>
    </w:pPr>
    <w:r>
      <w:rPr>
        <w:rFonts w:ascii="宋体" w:hAnsi="宋体" w:hint="eastAsia"/>
      </w:rPr>
      <w:t>摩根远见两年持有期混合型证券投资基金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709992831">
    <w:abstractNumId w:val="0"/>
  </w:num>
  <w:num w:numId="2" w16cid:durableId="6265903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660A7"/>
    <w:rsid w:val="00957FED"/>
    <w:rsid w:val="00E660A7"/>
    <w:rsid w:val="00EF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99AB68DD-DBAC-42AC-AEA5-4153AC23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7435">
      <w:marLeft w:val="0"/>
      <w:marRight w:val="0"/>
      <w:marTop w:val="0"/>
      <w:marBottom w:val="0"/>
      <w:divBdr>
        <w:top w:val="none" w:sz="0" w:space="0" w:color="auto"/>
        <w:left w:val="none" w:sz="0" w:space="0" w:color="auto"/>
        <w:bottom w:val="none" w:sz="0" w:space="0" w:color="auto"/>
        <w:right w:val="none" w:sz="0" w:space="0" w:color="auto"/>
      </w:divBdr>
      <w:divsChild>
        <w:div w:id="347490483">
          <w:marLeft w:val="0"/>
          <w:marRight w:val="0"/>
          <w:marTop w:val="0"/>
          <w:marBottom w:val="0"/>
          <w:divBdr>
            <w:top w:val="none" w:sz="0" w:space="0" w:color="auto"/>
            <w:left w:val="none" w:sz="0" w:space="0" w:color="auto"/>
            <w:bottom w:val="none" w:sz="0" w:space="0" w:color="auto"/>
            <w:right w:val="none" w:sz="0" w:space="0" w:color="auto"/>
          </w:divBdr>
        </w:div>
      </w:divsChild>
    </w:div>
    <w:div w:id="400448371">
      <w:marLeft w:val="0"/>
      <w:marRight w:val="0"/>
      <w:marTop w:val="0"/>
      <w:marBottom w:val="0"/>
      <w:divBdr>
        <w:top w:val="none" w:sz="0" w:space="0" w:color="auto"/>
        <w:left w:val="none" w:sz="0" w:space="0" w:color="auto"/>
        <w:bottom w:val="none" w:sz="0" w:space="0" w:color="auto"/>
        <w:right w:val="none" w:sz="0" w:space="0" w:color="auto"/>
      </w:divBdr>
    </w:div>
    <w:div w:id="416557052">
      <w:marLeft w:val="0"/>
      <w:marRight w:val="0"/>
      <w:marTop w:val="0"/>
      <w:marBottom w:val="0"/>
      <w:divBdr>
        <w:top w:val="none" w:sz="0" w:space="0" w:color="auto"/>
        <w:left w:val="none" w:sz="0" w:space="0" w:color="auto"/>
        <w:bottom w:val="none" w:sz="0" w:space="0" w:color="auto"/>
        <w:right w:val="none" w:sz="0" w:space="0" w:color="auto"/>
      </w:divBdr>
    </w:div>
    <w:div w:id="563952859">
      <w:marLeft w:val="0"/>
      <w:marRight w:val="0"/>
      <w:marTop w:val="0"/>
      <w:marBottom w:val="0"/>
      <w:divBdr>
        <w:top w:val="none" w:sz="0" w:space="0" w:color="auto"/>
        <w:left w:val="none" w:sz="0" w:space="0" w:color="auto"/>
        <w:bottom w:val="none" w:sz="0" w:space="0" w:color="auto"/>
        <w:right w:val="none" w:sz="0" w:space="0" w:color="auto"/>
      </w:divBdr>
      <w:divsChild>
        <w:div w:id="1521621858">
          <w:marLeft w:val="0"/>
          <w:marRight w:val="0"/>
          <w:marTop w:val="0"/>
          <w:marBottom w:val="0"/>
          <w:divBdr>
            <w:top w:val="none" w:sz="0" w:space="0" w:color="auto"/>
            <w:left w:val="none" w:sz="0" w:space="0" w:color="auto"/>
            <w:bottom w:val="none" w:sz="0" w:space="0" w:color="auto"/>
            <w:right w:val="none" w:sz="0" w:space="0" w:color="auto"/>
          </w:divBdr>
        </w:div>
      </w:divsChild>
    </w:div>
    <w:div w:id="645554812">
      <w:marLeft w:val="0"/>
      <w:marRight w:val="0"/>
      <w:marTop w:val="0"/>
      <w:marBottom w:val="0"/>
      <w:divBdr>
        <w:top w:val="none" w:sz="0" w:space="0" w:color="auto"/>
        <w:left w:val="none" w:sz="0" w:space="0" w:color="auto"/>
        <w:bottom w:val="none" w:sz="0" w:space="0" w:color="auto"/>
        <w:right w:val="none" w:sz="0" w:space="0" w:color="auto"/>
      </w:divBdr>
    </w:div>
    <w:div w:id="648020896">
      <w:marLeft w:val="0"/>
      <w:marRight w:val="0"/>
      <w:marTop w:val="0"/>
      <w:marBottom w:val="0"/>
      <w:divBdr>
        <w:top w:val="none" w:sz="0" w:space="0" w:color="auto"/>
        <w:left w:val="none" w:sz="0" w:space="0" w:color="auto"/>
        <w:bottom w:val="none" w:sz="0" w:space="0" w:color="auto"/>
        <w:right w:val="none" w:sz="0" w:space="0" w:color="auto"/>
      </w:divBdr>
      <w:divsChild>
        <w:div w:id="1601714881">
          <w:marLeft w:val="0"/>
          <w:marRight w:val="0"/>
          <w:marTop w:val="0"/>
          <w:marBottom w:val="0"/>
          <w:divBdr>
            <w:top w:val="none" w:sz="0" w:space="0" w:color="auto"/>
            <w:left w:val="none" w:sz="0" w:space="0" w:color="auto"/>
            <w:bottom w:val="none" w:sz="0" w:space="0" w:color="auto"/>
            <w:right w:val="none" w:sz="0" w:space="0" w:color="auto"/>
          </w:divBdr>
        </w:div>
      </w:divsChild>
    </w:div>
    <w:div w:id="753477193">
      <w:marLeft w:val="0"/>
      <w:marRight w:val="0"/>
      <w:marTop w:val="0"/>
      <w:marBottom w:val="0"/>
      <w:divBdr>
        <w:top w:val="none" w:sz="0" w:space="0" w:color="auto"/>
        <w:left w:val="none" w:sz="0" w:space="0" w:color="auto"/>
        <w:bottom w:val="none" w:sz="0" w:space="0" w:color="auto"/>
        <w:right w:val="none" w:sz="0" w:space="0" w:color="auto"/>
      </w:divBdr>
    </w:div>
    <w:div w:id="1050887825">
      <w:marLeft w:val="0"/>
      <w:marRight w:val="0"/>
      <w:marTop w:val="0"/>
      <w:marBottom w:val="0"/>
      <w:divBdr>
        <w:top w:val="none" w:sz="0" w:space="0" w:color="auto"/>
        <w:left w:val="none" w:sz="0" w:space="0" w:color="auto"/>
        <w:bottom w:val="none" w:sz="0" w:space="0" w:color="auto"/>
        <w:right w:val="none" w:sz="0" w:space="0" w:color="auto"/>
      </w:divBdr>
    </w:div>
    <w:div w:id="1215854677">
      <w:marLeft w:val="0"/>
      <w:marRight w:val="0"/>
      <w:marTop w:val="0"/>
      <w:marBottom w:val="0"/>
      <w:divBdr>
        <w:top w:val="none" w:sz="0" w:space="0" w:color="auto"/>
        <w:left w:val="none" w:sz="0" w:space="0" w:color="auto"/>
        <w:bottom w:val="none" w:sz="0" w:space="0" w:color="auto"/>
        <w:right w:val="none" w:sz="0" w:space="0" w:color="auto"/>
      </w:divBdr>
    </w:div>
    <w:div w:id="1305819729">
      <w:marLeft w:val="0"/>
      <w:marRight w:val="0"/>
      <w:marTop w:val="0"/>
      <w:marBottom w:val="0"/>
      <w:divBdr>
        <w:top w:val="none" w:sz="0" w:space="0" w:color="auto"/>
        <w:left w:val="none" w:sz="0" w:space="0" w:color="auto"/>
        <w:bottom w:val="none" w:sz="0" w:space="0" w:color="auto"/>
        <w:right w:val="none" w:sz="0" w:space="0" w:color="auto"/>
      </w:divBdr>
    </w:div>
    <w:div w:id="1344742581">
      <w:marLeft w:val="0"/>
      <w:marRight w:val="0"/>
      <w:marTop w:val="0"/>
      <w:marBottom w:val="0"/>
      <w:divBdr>
        <w:top w:val="none" w:sz="0" w:space="0" w:color="auto"/>
        <w:left w:val="none" w:sz="0" w:space="0" w:color="auto"/>
        <w:bottom w:val="none" w:sz="0" w:space="0" w:color="auto"/>
        <w:right w:val="none" w:sz="0" w:space="0" w:color="auto"/>
      </w:divBdr>
    </w:div>
    <w:div w:id="1395348391">
      <w:marLeft w:val="0"/>
      <w:marRight w:val="0"/>
      <w:marTop w:val="0"/>
      <w:marBottom w:val="0"/>
      <w:divBdr>
        <w:top w:val="none" w:sz="0" w:space="0" w:color="auto"/>
        <w:left w:val="none" w:sz="0" w:space="0" w:color="auto"/>
        <w:bottom w:val="none" w:sz="0" w:space="0" w:color="auto"/>
        <w:right w:val="none" w:sz="0" w:space="0" w:color="auto"/>
      </w:divBdr>
    </w:div>
    <w:div w:id="1401830715">
      <w:marLeft w:val="0"/>
      <w:marRight w:val="0"/>
      <w:marTop w:val="0"/>
      <w:marBottom w:val="0"/>
      <w:divBdr>
        <w:top w:val="none" w:sz="0" w:space="0" w:color="auto"/>
        <w:left w:val="none" w:sz="0" w:space="0" w:color="auto"/>
        <w:bottom w:val="none" w:sz="0" w:space="0" w:color="auto"/>
        <w:right w:val="none" w:sz="0" w:space="0" w:color="auto"/>
      </w:divBdr>
      <w:divsChild>
        <w:div w:id="482889235">
          <w:marLeft w:val="0"/>
          <w:marRight w:val="0"/>
          <w:marTop w:val="0"/>
          <w:marBottom w:val="0"/>
          <w:divBdr>
            <w:top w:val="none" w:sz="0" w:space="0" w:color="auto"/>
            <w:left w:val="none" w:sz="0" w:space="0" w:color="auto"/>
            <w:bottom w:val="none" w:sz="0" w:space="0" w:color="auto"/>
            <w:right w:val="none" w:sz="0" w:space="0" w:color="auto"/>
          </w:divBdr>
        </w:div>
      </w:divsChild>
    </w:div>
    <w:div w:id="1726709719">
      <w:marLeft w:val="0"/>
      <w:marRight w:val="0"/>
      <w:marTop w:val="0"/>
      <w:marBottom w:val="0"/>
      <w:divBdr>
        <w:top w:val="none" w:sz="0" w:space="0" w:color="auto"/>
        <w:left w:val="none" w:sz="0" w:space="0" w:color="auto"/>
        <w:bottom w:val="none" w:sz="0" w:space="0" w:color="auto"/>
        <w:right w:val="none" w:sz="0" w:space="0" w:color="auto"/>
      </w:divBdr>
    </w:div>
    <w:div w:id="1752386744">
      <w:marLeft w:val="0"/>
      <w:marRight w:val="0"/>
      <w:marTop w:val="0"/>
      <w:marBottom w:val="0"/>
      <w:divBdr>
        <w:top w:val="none" w:sz="0" w:space="0" w:color="auto"/>
        <w:left w:val="none" w:sz="0" w:space="0" w:color="auto"/>
        <w:bottom w:val="none" w:sz="0" w:space="0" w:color="auto"/>
        <w:right w:val="none" w:sz="0" w:space="0" w:color="auto"/>
      </w:divBdr>
      <w:divsChild>
        <w:div w:id="1382289325">
          <w:marLeft w:val="0"/>
          <w:marRight w:val="0"/>
          <w:marTop w:val="0"/>
          <w:marBottom w:val="0"/>
          <w:divBdr>
            <w:top w:val="none" w:sz="0" w:space="0" w:color="auto"/>
            <w:left w:val="none" w:sz="0" w:space="0" w:color="auto"/>
            <w:bottom w:val="none" w:sz="0" w:space="0" w:color="auto"/>
            <w:right w:val="none" w:sz="0" w:space="0" w:color="auto"/>
          </w:divBdr>
        </w:div>
      </w:divsChild>
    </w:div>
    <w:div w:id="1878810814">
      <w:marLeft w:val="0"/>
      <w:marRight w:val="0"/>
      <w:marTop w:val="0"/>
      <w:marBottom w:val="0"/>
      <w:divBdr>
        <w:top w:val="none" w:sz="0" w:space="0" w:color="auto"/>
        <w:left w:val="none" w:sz="0" w:space="0" w:color="auto"/>
        <w:bottom w:val="none" w:sz="0" w:space="0" w:color="auto"/>
        <w:right w:val="none" w:sz="0" w:space="0" w:color="auto"/>
      </w:divBdr>
      <w:divsChild>
        <w:div w:id="1025132759">
          <w:marLeft w:val="0"/>
          <w:marRight w:val="0"/>
          <w:marTop w:val="0"/>
          <w:marBottom w:val="0"/>
          <w:divBdr>
            <w:top w:val="none" w:sz="0" w:space="0" w:color="auto"/>
            <w:left w:val="none" w:sz="0" w:space="0" w:color="auto"/>
            <w:bottom w:val="none" w:sz="0" w:space="0" w:color="auto"/>
            <w:right w:val="none" w:sz="0" w:space="0" w:color="auto"/>
          </w:divBdr>
        </w:div>
      </w:divsChild>
    </w:div>
    <w:div w:id="198990148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1153</Words>
  <Characters>6576</Characters>
  <Application>Microsoft Office Word</Application>
  <DocSecurity>4</DocSecurity>
  <Lines>54</Lines>
  <Paragraphs>15</Paragraphs>
  <ScaleCrop>false</ScaleCrop>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2026-07-13T13:30:00Z</dcterms:created>
  <dcterms:modified xsi:type="dcterms:W3CDTF">2026-07-13T13:30:00Z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