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摩根优势成长混合型证券投资基金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0F062A" w:rsidRDefault="0021557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0F062A" w:rsidRDefault="0021557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0F062A" w:rsidRDefault="0021557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F062A" w:rsidRDefault="0021557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0F062A" w:rsidRDefault="0021557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摩根优势成长混合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011196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5</w:t>
            </w:r>
            <w:r w:rsidRPr="00B27A29">
              <w:rPr>
                <w:rFonts w:eastAsiaTheme="minorEastAsia"/>
                <w:color w:val="000000" w:themeColor="text1"/>
                <w:kern w:val="0"/>
                <w:szCs w:val="21"/>
              </w:rPr>
              <w:t>月</w:t>
            </w:r>
            <w:r w:rsidRPr="00B27A29">
              <w:rPr>
                <w:rFonts w:eastAsiaTheme="minorEastAsia"/>
                <w:color w:val="000000" w:themeColor="text1"/>
                <w:kern w:val="0"/>
                <w:szCs w:val="21"/>
              </w:rPr>
              <w:t>14</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370,451,352.57</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采用定量及定性研究方法，从产业周期出发，聚焦中观行业景气度，结合自下而上的研究方式，精选高景气度行业优质龙头，基于严格的风险控制，力争实现基金资产的长期增值。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0F062A" w:rsidRDefault="0021557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0F062A" w:rsidRDefault="0021557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w:t>
            </w:r>
            <w:r>
              <w:rPr>
                <w:rFonts w:eastAsiaTheme="minorEastAsia"/>
                <w:color w:val="000000" w:themeColor="text1"/>
                <w:kern w:val="0"/>
                <w:szCs w:val="21"/>
              </w:rPr>
              <w:lastRenderedPageBreak/>
              <w:t>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0F062A" w:rsidRDefault="0021557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0F062A" w:rsidRDefault="0021557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0F062A" w:rsidRDefault="0021557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本基金将从产业周期出发，聚焦中观行业景气度与自下而上精选个股相结合，精选高景气度行业优质龙头，适度分散行业及个股持仓，力争实现基金资产的长期增值。</w:t>
            </w:r>
          </w:p>
          <w:p w:rsidR="000F062A" w:rsidRDefault="0021557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0F062A" w:rsidRDefault="0021557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0F062A" w:rsidRDefault="0021557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0F062A" w:rsidRDefault="0021557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0F062A" w:rsidRDefault="0021557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、其他投资策略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w:t>
            </w:r>
            <w:r w:rsidRPr="00B27A29">
              <w:rPr>
                <w:rFonts w:eastAsiaTheme="minorEastAsia"/>
                <w:color w:val="000000" w:themeColor="text1"/>
                <w:kern w:val="0"/>
                <w:szCs w:val="21"/>
              </w:rPr>
              <w:lastRenderedPageBreak/>
              <w:t>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011196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011197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329,000,497.18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41,450,855.39</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-12,789,885.37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-1,604,651.31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-6,326,410.75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-688,638.25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-0.0189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-0.0164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203,890,868.26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25,415,439.49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0.6197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0.6131</w:t>
            </w:r>
          </w:p>
        </w:tc>
      </w:tr>
    </w:tbl>
    <w:p w:rsidR="000F062A" w:rsidRDefault="0021557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w:t>
      </w:r>
      <w:r>
        <w:rPr>
          <w:rFonts w:eastAsiaTheme="minorEastAsia"/>
          <w:color w:val="000000" w:themeColor="text1"/>
          <w:szCs w:val="21"/>
        </w:rPr>
        <w:lastRenderedPageBreak/>
        <w:t>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摩根优势成长混合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F062A">
        <w:tc>
          <w:tcPr>
            <w:tcW w:w="1290" w:type="dxa"/>
            <w:vAlign w:val="center"/>
          </w:tcPr>
          <w:p w:rsidR="000F062A" w:rsidRDefault="00215573">
            <w:pPr>
              <w:jc w:val="left"/>
            </w:pPr>
            <w:r>
              <w:rPr>
                <w:rFonts w:eastAsiaTheme="minorEastAsia"/>
                <w:color w:val="000000" w:themeColor="text1"/>
                <w:szCs w:val="21"/>
              </w:rPr>
              <w:t>过去三个月</w:t>
            </w:r>
          </w:p>
        </w:tc>
        <w:tc>
          <w:tcPr>
            <w:tcW w:w="1291" w:type="dxa"/>
            <w:vAlign w:val="center"/>
          </w:tcPr>
          <w:p w:rsidR="000F062A" w:rsidRDefault="00215573">
            <w:pPr>
              <w:jc w:val="right"/>
            </w:pPr>
            <w:r>
              <w:rPr>
                <w:rFonts w:eastAsiaTheme="minorEastAsia"/>
                <w:color w:val="000000" w:themeColor="text1"/>
                <w:szCs w:val="21"/>
              </w:rPr>
              <w:t>-2.78%</w:t>
            </w:r>
          </w:p>
        </w:tc>
        <w:tc>
          <w:tcPr>
            <w:tcW w:w="1291" w:type="dxa"/>
            <w:vAlign w:val="center"/>
          </w:tcPr>
          <w:p w:rsidR="000F062A" w:rsidRDefault="00215573">
            <w:pPr>
              <w:jc w:val="right"/>
            </w:pPr>
            <w:r>
              <w:rPr>
                <w:rFonts w:eastAsiaTheme="minorEastAsia"/>
                <w:color w:val="000000" w:themeColor="text1"/>
                <w:szCs w:val="21"/>
              </w:rPr>
              <w:t>2.08%</w:t>
            </w:r>
          </w:p>
        </w:tc>
        <w:tc>
          <w:tcPr>
            <w:tcW w:w="1291" w:type="dxa"/>
            <w:vAlign w:val="center"/>
          </w:tcPr>
          <w:p w:rsidR="000F062A" w:rsidRDefault="00215573">
            <w:pPr>
              <w:jc w:val="right"/>
            </w:pPr>
            <w:r>
              <w:rPr>
                <w:rFonts w:eastAsiaTheme="minorEastAsia"/>
                <w:color w:val="000000" w:themeColor="text1"/>
                <w:szCs w:val="21"/>
              </w:rPr>
              <w:t>-3.43%</w:t>
            </w:r>
          </w:p>
        </w:tc>
        <w:tc>
          <w:tcPr>
            <w:tcW w:w="1291" w:type="dxa"/>
            <w:vAlign w:val="center"/>
          </w:tcPr>
          <w:p w:rsidR="000F062A" w:rsidRDefault="00215573">
            <w:pPr>
              <w:jc w:val="right"/>
            </w:pPr>
            <w:r>
              <w:rPr>
                <w:rFonts w:eastAsiaTheme="minorEastAsia"/>
                <w:color w:val="000000" w:themeColor="text1"/>
                <w:szCs w:val="21"/>
              </w:rPr>
              <w:t>0.69%</w:t>
            </w:r>
          </w:p>
        </w:tc>
        <w:tc>
          <w:tcPr>
            <w:tcW w:w="1291" w:type="dxa"/>
            <w:vAlign w:val="center"/>
          </w:tcPr>
          <w:p w:rsidR="000F062A" w:rsidRDefault="00215573">
            <w:pPr>
              <w:jc w:val="right"/>
            </w:pPr>
            <w:r>
              <w:rPr>
                <w:rFonts w:eastAsiaTheme="minorEastAsia"/>
                <w:color w:val="000000" w:themeColor="text1"/>
                <w:szCs w:val="21"/>
              </w:rPr>
              <w:t>0.65%</w:t>
            </w:r>
          </w:p>
        </w:tc>
        <w:tc>
          <w:tcPr>
            <w:tcW w:w="1291" w:type="dxa"/>
            <w:vAlign w:val="center"/>
          </w:tcPr>
          <w:p w:rsidR="000F062A" w:rsidRDefault="00215573">
            <w:pPr>
              <w:jc w:val="right"/>
            </w:pPr>
            <w:r>
              <w:rPr>
                <w:rFonts w:eastAsiaTheme="minorEastAsia"/>
                <w:color w:val="000000" w:themeColor="text1"/>
                <w:szCs w:val="21"/>
              </w:rPr>
              <w:t>1.39%</w:t>
            </w:r>
          </w:p>
        </w:tc>
      </w:tr>
      <w:tr w:rsidR="000F062A">
        <w:tc>
          <w:tcPr>
            <w:tcW w:w="1290" w:type="dxa"/>
            <w:vAlign w:val="center"/>
          </w:tcPr>
          <w:p w:rsidR="000F062A" w:rsidRDefault="00215573">
            <w:pPr>
              <w:jc w:val="left"/>
            </w:pPr>
            <w:r>
              <w:rPr>
                <w:rFonts w:eastAsiaTheme="minorEastAsia"/>
                <w:color w:val="000000" w:themeColor="text1"/>
                <w:szCs w:val="21"/>
              </w:rPr>
              <w:t>过去六个月</w:t>
            </w:r>
          </w:p>
        </w:tc>
        <w:tc>
          <w:tcPr>
            <w:tcW w:w="1291" w:type="dxa"/>
            <w:vAlign w:val="center"/>
          </w:tcPr>
          <w:p w:rsidR="000F062A" w:rsidRDefault="00215573">
            <w:pPr>
              <w:jc w:val="right"/>
            </w:pPr>
            <w:r>
              <w:rPr>
                <w:rFonts w:eastAsiaTheme="minorEastAsia"/>
                <w:color w:val="000000" w:themeColor="text1"/>
                <w:szCs w:val="21"/>
              </w:rPr>
              <w:t>2.48%</w:t>
            </w:r>
          </w:p>
        </w:tc>
        <w:tc>
          <w:tcPr>
            <w:tcW w:w="1291" w:type="dxa"/>
            <w:vAlign w:val="center"/>
          </w:tcPr>
          <w:p w:rsidR="000F062A" w:rsidRDefault="00215573">
            <w:pPr>
              <w:jc w:val="right"/>
            </w:pPr>
            <w:r>
              <w:rPr>
                <w:rFonts w:eastAsiaTheme="minorEastAsia"/>
                <w:color w:val="000000" w:themeColor="text1"/>
                <w:szCs w:val="21"/>
              </w:rPr>
              <w:t>1.70%</w:t>
            </w:r>
          </w:p>
        </w:tc>
        <w:tc>
          <w:tcPr>
            <w:tcW w:w="1291" w:type="dxa"/>
            <w:vAlign w:val="center"/>
          </w:tcPr>
          <w:p w:rsidR="000F062A" w:rsidRDefault="00215573">
            <w:pPr>
              <w:jc w:val="right"/>
            </w:pPr>
            <w:r>
              <w:rPr>
                <w:rFonts w:eastAsiaTheme="minorEastAsia"/>
                <w:color w:val="000000" w:themeColor="text1"/>
                <w:szCs w:val="21"/>
              </w:rPr>
              <w:t>0.06%</w:t>
            </w:r>
          </w:p>
        </w:tc>
        <w:tc>
          <w:tcPr>
            <w:tcW w:w="1291" w:type="dxa"/>
            <w:vAlign w:val="center"/>
          </w:tcPr>
          <w:p w:rsidR="000F062A" w:rsidRDefault="00215573">
            <w:pPr>
              <w:jc w:val="right"/>
            </w:pPr>
            <w:r>
              <w:rPr>
                <w:rFonts w:eastAsiaTheme="minorEastAsia"/>
                <w:color w:val="000000" w:themeColor="text1"/>
                <w:szCs w:val="21"/>
              </w:rPr>
              <w:t>0.69%</w:t>
            </w:r>
          </w:p>
        </w:tc>
        <w:tc>
          <w:tcPr>
            <w:tcW w:w="1291" w:type="dxa"/>
            <w:vAlign w:val="center"/>
          </w:tcPr>
          <w:p w:rsidR="000F062A" w:rsidRDefault="00215573">
            <w:pPr>
              <w:jc w:val="right"/>
            </w:pPr>
            <w:r>
              <w:rPr>
                <w:rFonts w:eastAsiaTheme="minorEastAsia"/>
                <w:color w:val="000000" w:themeColor="text1"/>
                <w:szCs w:val="21"/>
              </w:rPr>
              <w:t>2.42%</w:t>
            </w:r>
          </w:p>
        </w:tc>
        <w:tc>
          <w:tcPr>
            <w:tcW w:w="1291" w:type="dxa"/>
            <w:vAlign w:val="center"/>
          </w:tcPr>
          <w:p w:rsidR="000F062A" w:rsidRDefault="00215573">
            <w:pPr>
              <w:jc w:val="right"/>
            </w:pPr>
            <w:r>
              <w:rPr>
                <w:rFonts w:eastAsiaTheme="minorEastAsia"/>
                <w:color w:val="000000" w:themeColor="text1"/>
                <w:szCs w:val="21"/>
              </w:rPr>
              <w:t>1.01%</w:t>
            </w:r>
          </w:p>
        </w:tc>
      </w:tr>
      <w:tr w:rsidR="000F062A">
        <w:tc>
          <w:tcPr>
            <w:tcW w:w="1290" w:type="dxa"/>
            <w:vAlign w:val="center"/>
          </w:tcPr>
          <w:p w:rsidR="000F062A" w:rsidRDefault="00215573">
            <w:pPr>
              <w:jc w:val="left"/>
            </w:pPr>
            <w:r>
              <w:rPr>
                <w:rFonts w:eastAsiaTheme="minorEastAsia"/>
                <w:color w:val="000000" w:themeColor="text1"/>
                <w:szCs w:val="21"/>
              </w:rPr>
              <w:t>过去一年</w:t>
            </w:r>
          </w:p>
        </w:tc>
        <w:tc>
          <w:tcPr>
            <w:tcW w:w="1291" w:type="dxa"/>
            <w:vAlign w:val="center"/>
          </w:tcPr>
          <w:p w:rsidR="000F062A" w:rsidRDefault="00215573">
            <w:pPr>
              <w:jc w:val="right"/>
            </w:pPr>
            <w:r>
              <w:rPr>
                <w:rFonts w:eastAsiaTheme="minorEastAsia"/>
                <w:color w:val="000000" w:themeColor="text1"/>
                <w:szCs w:val="21"/>
              </w:rPr>
              <w:t>-27.86%</w:t>
            </w:r>
          </w:p>
        </w:tc>
        <w:tc>
          <w:tcPr>
            <w:tcW w:w="1291" w:type="dxa"/>
            <w:vAlign w:val="center"/>
          </w:tcPr>
          <w:p w:rsidR="000F062A" w:rsidRDefault="00215573">
            <w:pPr>
              <w:jc w:val="right"/>
            </w:pPr>
            <w:r>
              <w:rPr>
                <w:rFonts w:eastAsiaTheme="minorEastAsia"/>
                <w:color w:val="000000" w:themeColor="text1"/>
                <w:szCs w:val="21"/>
              </w:rPr>
              <w:t>1.70%</w:t>
            </w:r>
          </w:p>
        </w:tc>
        <w:tc>
          <w:tcPr>
            <w:tcW w:w="1291" w:type="dxa"/>
            <w:vAlign w:val="center"/>
          </w:tcPr>
          <w:p w:rsidR="000F062A" w:rsidRDefault="00215573">
            <w:pPr>
              <w:jc w:val="right"/>
            </w:pPr>
            <w:r>
              <w:rPr>
                <w:rFonts w:eastAsiaTheme="minorEastAsia"/>
                <w:color w:val="000000" w:themeColor="text1"/>
                <w:szCs w:val="21"/>
              </w:rPr>
              <w:t>-8.92%</w:t>
            </w:r>
          </w:p>
        </w:tc>
        <w:tc>
          <w:tcPr>
            <w:tcW w:w="1291" w:type="dxa"/>
            <w:vAlign w:val="center"/>
          </w:tcPr>
          <w:p w:rsidR="000F062A" w:rsidRDefault="00215573">
            <w:pPr>
              <w:jc w:val="right"/>
            </w:pPr>
            <w:r>
              <w:rPr>
                <w:rFonts w:eastAsiaTheme="minorEastAsia"/>
                <w:color w:val="000000" w:themeColor="text1"/>
                <w:szCs w:val="21"/>
              </w:rPr>
              <w:t>0.84%</w:t>
            </w:r>
          </w:p>
        </w:tc>
        <w:tc>
          <w:tcPr>
            <w:tcW w:w="1291" w:type="dxa"/>
            <w:vAlign w:val="center"/>
          </w:tcPr>
          <w:p w:rsidR="000F062A" w:rsidRDefault="00215573">
            <w:pPr>
              <w:jc w:val="right"/>
            </w:pPr>
            <w:r>
              <w:rPr>
                <w:rFonts w:eastAsiaTheme="minorEastAsia"/>
                <w:color w:val="000000" w:themeColor="text1"/>
                <w:szCs w:val="21"/>
              </w:rPr>
              <w:t>-18.94%</w:t>
            </w:r>
          </w:p>
        </w:tc>
        <w:tc>
          <w:tcPr>
            <w:tcW w:w="1291" w:type="dxa"/>
            <w:vAlign w:val="center"/>
          </w:tcPr>
          <w:p w:rsidR="000F062A" w:rsidRDefault="00215573">
            <w:pPr>
              <w:jc w:val="right"/>
            </w:pPr>
            <w:r>
              <w:rPr>
                <w:rFonts w:eastAsiaTheme="minorEastAsia"/>
                <w:color w:val="000000" w:themeColor="text1"/>
                <w:szCs w:val="21"/>
              </w:rPr>
              <w:t>0.86%</w:t>
            </w:r>
          </w:p>
        </w:tc>
      </w:tr>
      <w:tr w:rsidR="000F062A">
        <w:tc>
          <w:tcPr>
            <w:tcW w:w="1290" w:type="dxa"/>
            <w:vAlign w:val="center"/>
          </w:tcPr>
          <w:p w:rsidR="000F062A" w:rsidRDefault="00215573">
            <w:pPr>
              <w:jc w:val="left"/>
            </w:pPr>
            <w:r>
              <w:rPr>
                <w:rFonts w:eastAsiaTheme="minorEastAsia"/>
                <w:color w:val="000000" w:themeColor="text1"/>
                <w:szCs w:val="21"/>
              </w:rPr>
              <w:t>过去三年</w:t>
            </w:r>
          </w:p>
        </w:tc>
        <w:tc>
          <w:tcPr>
            <w:tcW w:w="1291" w:type="dxa"/>
            <w:vAlign w:val="center"/>
          </w:tcPr>
          <w:p w:rsidR="000F062A" w:rsidRDefault="00215573">
            <w:pPr>
              <w:jc w:val="right"/>
            </w:pPr>
            <w:r>
              <w:rPr>
                <w:rFonts w:eastAsiaTheme="minorEastAsia"/>
                <w:color w:val="000000" w:themeColor="text1"/>
                <w:szCs w:val="21"/>
              </w:rPr>
              <w:t>-</w:t>
            </w:r>
          </w:p>
        </w:tc>
        <w:tc>
          <w:tcPr>
            <w:tcW w:w="1291" w:type="dxa"/>
            <w:vAlign w:val="center"/>
          </w:tcPr>
          <w:p w:rsidR="000F062A" w:rsidRDefault="00215573">
            <w:pPr>
              <w:jc w:val="right"/>
            </w:pPr>
            <w:r>
              <w:rPr>
                <w:rFonts w:eastAsiaTheme="minorEastAsia"/>
                <w:color w:val="000000" w:themeColor="text1"/>
                <w:szCs w:val="21"/>
              </w:rPr>
              <w:t>-</w:t>
            </w:r>
          </w:p>
        </w:tc>
        <w:tc>
          <w:tcPr>
            <w:tcW w:w="1291" w:type="dxa"/>
            <w:vAlign w:val="center"/>
          </w:tcPr>
          <w:p w:rsidR="000F062A" w:rsidRDefault="00215573">
            <w:pPr>
              <w:jc w:val="right"/>
            </w:pPr>
            <w:r>
              <w:rPr>
                <w:rFonts w:eastAsiaTheme="minorEastAsia"/>
                <w:color w:val="000000" w:themeColor="text1"/>
                <w:szCs w:val="21"/>
              </w:rPr>
              <w:t>-</w:t>
            </w:r>
          </w:p>
        </w:tc>
        <w:tc>
          <w:tcPr>
            <w:tcW w:w="1291" w:type="dxa"/>
            <w:vAlign w:val="center"/>
          </w:tcPr>
          <w:p w:rsidR="000F062A" w:rsidRDefault="00215573">
            <w:pPr>
              <w:jc w:val="right"/>
            </w:pPr>
            <w:r>
              <w:rPr>
                <w:rFonts w:eastAsiaTheme="minorEastAsia"/>
                <w:color w:val="000000" w:themeColor="text1"/>
                <w:szCs w:val="21"/>
              </w:rPr>
              <w:t>-</w:t>
            </w:r>
          </w:p>
        </w:tc>
        <w:tc>
          <w:tcPr>
            <w:tcW w:w="1291" w:type="dxa"/>
            <w:vAlign w:val="center"/>
          </w:tcPr>
          <w:p w:rsidR="000F062A" w:rsidRDefault="00215573">
            <w:pPr>
              <w:jc w:val="right"/>
            </w:pPr>
            <w:r>
              <w:rPr>
                <w:rFonts w:eastAsiaTheme="minorEastAsia"/>
                <w:color w:val="000000" w:themeColor="text1"/>
                <w:szCs w:val="21"/>
              </w:rPr>
              <w:t>-</w:t>
            </w:r>
          </w:p>
        </w:tc>
        <w:tc>
          <w:tcPr>
            <w:tcW w:w="1291" w:type="dxa"/>
            <w:vAlign w:val="center"/>
          </w:tcPr>
          <w:p w:rsidR="000F062A" w:rsidRDefault="00215573">
            <w:pPr>
              <w:jc w:val="right"/>
            </w:pPr>
            <w:r>
              <w:rPr>
                <w:rFonts w:eastAsiaTheme="minorEastAsia"/>
                <w:color w:val="000000" w:themeColor="text1"/>
                <w:szCs w:val="21"/>
              </w:rPr>
              <w:t>-</w:t>
            </w:r>
          </w:p>
        </w:tc>
      </w:tr>
      <w:tr w:rsidR="000F062A">
        <w:tc>
          <w:tcPr>
            <w:tcW w:w="1290" w:type="dxa"/>
            <w:vAlign w:val="center"/>
          </w:tcPr>
          <w:p w:rsidR="000F062A" w:rsidRDefault="00215573">
            <w:pPr>
              <w:jc w:val="left"/>
            </w:pPr>
            <w:r>
              <w:rPr>
                <w:rFonts w:eastAsiaTheme="minorEastAsia"/>
                <w:color w:val="000000" w:themeColor="text1"/>
                <w:szCs w:val="21"/>
              </w:rPr>
              <w:t>过去五年</w:t>
            </w:r>
          </w:p>
        </w:tc>
        <w:tc>
          <w:tcPr>
            <w:tcW w:w="1291" w:type="dxa"/>
            <w:vAlign w:val="center"/>
          </w:tcPr>
          <w:p w:rsidR="000F062A" w:rsidRDefault="00215573">
            <w:pPr>
              <w:jc w:val="right"/>
            </w:pPr>
            <w:r>
              <w:rPr>
                <w:rFonts w:eastAsiaTheme="minorEastAsia"/>
                <w:color w:val="000000" w:themeColor="text1"/>
                <w:szCs w:val="21"/>
              </w:rPr>
              <w:t>-</w:t>
            </w:r>
          </w:p>
        </w:tc>
        <w:tc>
          <w:tcPr>
            <w:tcW w:w="1291" w:type="dxa"/>
            <w:vAlign w:val="center"/>
          </w:tcPr>
          <w:p w:rsidR="000F062A" w:rsidRDefault="00215573">
            <w:pPr>
              <w:jc w:val="right"/>
            </w:pPr>
            <w:r>
              <w:rPr>
                <w:rFonts w:eastAsiaTheme="minorEastAsia"/>
                <w:color w:val="000000" w:themeColor="text1"/>
                <w:szCs w:val="21"/>
              </w:rPr>
              <w:t>-</w:t>
            </w:r>
          </w:p>
        </w:tc>
        <w:tc>
          <w:tcPr>
            <w:tcW w:w="1291" w:type="dxa"/>
            <w:vAlign w:val="center"/>
          </w:tcPr>
          <w:p w:rsidR="000F062A" w:rsidRDefault="00215573">
            <w:pPr>
              <w:jc w:val="right"/>
            </w:pPr>
            <w:r>
              <w:rPr>
                <w:rFonts w:eastAsiaTheme="minorEastAsia"/>
                <w:color w:val="000000" w:themeColor="text1"/>
                <w:szCs w:val="21"/>
              </w:rPr>
              <w:t>-</w:t>
            </w:r>
          </w:p>
        </w:tc>
        <w:tc>
          <w:tcPr>
            <w:tcW w:w="1291" w:type="dxa"/>
            <w:vAlign w:val="center"/>
          </w:tcPr>
          <w:p w:rsidR="000F062A" w:rsidRDefault="00215573">
            <w:pPr>
              <w:jc w:val="right"/>
            </w:pPr>
            <w:r>
              <w:rPr>
                <w:rFonts w:eastAsiaTheme="minorEastAsia"/>
                <w:color w:val="000000" w:themeColor="text1"/>
                <w:szCs w:val="21"/>
              </w:rPr>
              <w:t>-</w:t>
            </w:r>
          </w:p>
        </w:tc>
        <w:tc>
          <w:tcPr>
            <w:tcW w:w="1291" w:type="dxa"/>
            <w:vAlign w:val="center"/>
          </w:tcPr>
          <w:p w:rsidR="000F062A" w:rsidRDefault="00215573">
            <w:pPr>
              <w:jc w:val="right"/>
            </w:pPr>
            <w:r>
              <w:rPr>
                <w:rFonts w:eastAsiaTheme="minorEastAsia"/>
                <w:color w:val="000000" w:themeColor="text1"/>
                <w:szCs w:val="21"/>
              </w:rPr>
              <w:t>-</w:t>
            </w:r>
          </w:p>
        </w:tc>
        <w:tc>
          <w:tcPr>
            <w:tcW w:w="1291" w:type="dxa"/>
            <w:vAlign w:val="center"/>
          </w:tcPr>
          <w:p w:rsidR="000F062A" w:rsidRDefault="00215573">
            <w:pPr>
              <w:jc w:val="right"/>
            </w:pPr>
            <w:r>
              <w:rPr>
                <w:rFonts w:eastAsiaTheme="minorEastAsia"/>
                <w:color w:val="000000" w:themeColor="text1"/>
                <w:szCs w:val="21"/>
              </w:rPr>
              <w:t>-</w:t>
            </w:r>
          </w:p>
        </w:tc>
      </w:tr>
      <w:tr w:rsidR="000F062A">
        <w:tc>
          <w:tcPr>
            <w:tcW w:w="1290" w:type="dxa"/>
            <w:vAlign w:val="center"/>
          </w:tcPr>
          <w:p w:rsidR="000F062A" w:rsidRDefault="00215573">
            <w:pPr>
              <w:jc w:val="left"/>
            </w:pPr>
            <w:r>
              <w:rPr>
                <w:rFonts w:eastAsiaTheme="minorEastAsia"/>
                <w:color w:val="000000" w:themeColor="text1"/>
                <w:szCs w:val="21"/>
              </w:rPr>
              <w:t>自基金合同生效起至今</w:t>
            </w:r>
          </w:p>
        </w:tc>
        <w:tc>
          <w:tcPr>
            <w:tcW w:w="1291" w:type="dxa"/>
            <w:vAlign w:val="center"/>
          </w:tcPr>
          <w:p w:rsidR="000F062A" w:rsidRDefault="00215573">
            <w:pPr>
              <w:jc w:val="right"/>
            </w:pPr>
            <w:r>
              <w:rPr>
                <w:rFonts w:eastAsiaTheme="minorEastAsia"/>
                <w:color w:val="000000" w:themeColor="text1"/>
                <w:szCs w:val="21"/>
              </w:rPr>
              <w:t>-38.03%</w:t>
            </w:r>
          </w:p>
        </w:tc>
        <w:tc>
          <w:tcPr>
            <w:tcW w:w="1291" w:type="dxa"/>
            <w:vAlign w:val="center"/>
          </w:tcPr>
          <w:p w:rsidR="000F062A" w:rsidRDefault="00215573">
            <w:pPr>
              <w:jc w:val="right"/>
            </w:pPr>
            <w:r>
              <w:rPr>
                <w:rFonts w:eastAsiaTheme="minorEastAsia"/>
                <w:color w:val="000000" w:themeColor="text1"/>
                <w:szCs w:val="21"/>
              </w:rPr>
              <w:t>1.61%</w:t>
            </w:r>
          </w:p>
        </w:tc>
        <w:tc>
          <w:tcPr>
            <w:tcW w:w="1291" w:type="dxa"/>
            <w:vAlign w:val="center"/>
          </w:tcPr>
          <w:p w:rsidR="000F062A" w:rsidRDefault="00215573">
            <w:pPr>
              <w:jc w:val="right"/>
            </w:pPr>
            <w:r>
              <w:rPr>
                <w:rFonts w:eastAsiaTheme="minorEastAsia"/>
                <w:color w:val="000000" w:themeColor="text1"/>
                <w:szCs w:val="21"/>
              </w:rPr>
              <w:t>-16.36%</w:t>
            </w:r>
          </w:p>
        </w:tc>
        <w:tc>
          <w:tcPr>
            <w:tcW w:w="1291" w:type="dxa"/>
            <w:vAlign w:val="center"/>
          </w:tcPr>
          <w:p w:rsidR="000F062A" w:rsidRDefault="00215573">
            <w:pPr>
              <w:jc w:val="right"/>
            </w:pPr>
            <w:r>
              <w:rPr>
                <w:rFonts w:eastAsiaTheme="minorEastAsia"/>
                <w:color w:val="000000" w:themeColor="text1"/>
                <w:szCs w:val="21"/>
              </w:rPr>
              <w:t>0.93%</w:t>
            </w:r>
          </w:p>
        </w:tc>
        <w:tc>
          <w:tcPr>
            <w:tcW w:w="1291" w:type="dxa"/>
            <w:vAlign w:val="center"/>
          </w:tcPr>
          <w:p w:rsidR="000F062A" w:rsidRDefault="00215573">
            <w:pPr>
              <w:jc w:val="right"/>
            </w:pPr>
            <w:r>
              <w:rPr>
                <w:rFonts w:eastAsiaTheme="minorEastAsia"/>
                <w:color w:val="000000" w:themeColor="text1"/>
                <w:szCs w:val="21"/>
              </w:rPr>
              <w:t>-21.67%</w:t>
            </w:r>
          </w:p>
        </w:tc>
        <w:tc>
          <w:tcPr>
            <w:tcW w:w="1291" w:type="dxa"/>
            <w:vAlign w:val="center"/>
          </w:tcPr>
          <w:p w:rsidR="000F062A" w:rsidRDefault="00215573">
            <w:pPr>
              <w:jc w:val="right"/>
            </w:pPr>
            <w:r>
              <w:rPr>
                <w:rFonts w:eastAsiaTheme="minorEastAsia"/>
                <w:color w:val="000000" w:themeColor="text1"/>
                <w:szCs w:val="21"/>
              </w:rPr>
              <w:t>0.68%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摩根优势成长混合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F062A">
        <w:tc>
          <w:tcPr>
            <w:tcW w:w="1290" w:type="dxa"/>
            <w:vAlign w:val="center"/>
          </w:tcPr>
          <w:p w:rsidR="000F062A" w:rsidRDefault="00215573">
            <w:pPr>
              <w:jc w:val="left"/>
            </w:pPr>
            <w:r>
              <w:rPr>
                <w:rFonts w:eastAsiaTheme="minorEastAsia"/>
                <w:color w:val="000000" w:themeColor="text1"/>
                <w:szCs w:val="21"/>
              </w:rPr>
              <w:t>过去三个月</w:t>
            </w:r>
          </w:p>
        </w:tc>
        <w:tc>
          <w:tcPr>
            <w:tcW w:w="1291" w:type="dxa"/>
            <w:vAlign w:val="center"/>
          </w:tcPr>
          <w:p w:rsidR="000F062A" w:rsidRDefault="00215573">
            <w:pPr>
              <w:jc w:val="right"/>
            </w:pPr>
            <w:r>
              <w:rPr>
                <w:rFonts w:eastAsiaTheme="minorEastAsia"/>
                <w:color w:val="000000" w:themeColor="text1"/>
                <w:szCs w:val="21"/>
              </w:rPr>
              <w:t>-2.90%</w:t>
            </w:r>
          </w:p>
        </w:tc>
        <w:tc>
          <w:tcPr>
            <w:tcW w:w="1291" w:type="dxa"/>
            <w:vAlign w:val="center"/>
          </w:tcPr>
          <w:p w:rsidR="000F062A" w:rsidRDefault="00215573">
            <w:pPr>
              <w:jc w:val="right"/>
            </w:pPr>
            <w:r>
              <w:rPr>
                <w:rFonts w:eastAsiaTheme="minorEastAsia"/>
                <w:color w:val="000000" w:themeColor="text1"/>
                <w:szCs w:val="21"/>
              </w:rPr>
              <w:t>2.09%</w:t>
            </w:r>
          </w:p>
        </w:tc>
        <w:tc>
          <w:tcPr>
            <w:tcW w:w="1291" w:type="dxa"/>
            <w:vAlign w:val="center"/>
          </w:tcPr>
          <w:p w:rsidR="000F062A" w:rsidRDefault="00215573">
            <w:pPr>
              <w:jc w:val="right"/>
            </w:pPr>
            <w:r>
              <w:rPr>
                <w:rFonts w:eastAsiaTheme="minorEastAsia"/>
                <w:color w:val="000000" w:themeColor="text1"/>
                <w:szCs w:val="21"/>
              </w:rPr>
              <w:t>-3.43%</w:t>
            </w:r>
          </w:p>
        </w:tc>
        <w:tc>
          <w:tcPr>
            <w:tcW w:w="1291" w:type="dxa"/>
            <w:vAlign w:val="center"/>
          </w:tcPr>
          <w:p w:rsidR="000F062A" w:rsidRDefault="00215573">
            <w:pPr>
              <w:jc w:val="right"/>
            </w:pPr>
            <w:r>
              <w:rPr>
                <w:rFonts w:eastAsiaTheme="minorEastAsia"/>
                <w:color w:val="000000" w:themeColor="text1"/>
                <w:szCs w:val="21"/>
              </w:rPr>
              <w:t>0.69%</w:t>
            </w:r>
          </w:p>
        </w:tc>
        <w:tc>
          <w:tcPr>
            <w:tcW w:w="1291" w:type="dxa"/>
            <w:vAlign w:val="center"/>
          </w:tcPr>
          <w:p w:rsidR="000F062A" w:rsidRDefault="00215573">
            <w:pPr>
              <w:jc w:val="right"/>
            </w:pPr>
            <w:r>
              <w:rPr>
                <w:rFonts w:eastAsiaTheme="minorEastAsia"/>
                <w:color w:val="000000" w:themeColor="text1"/>
                <w:szCs w:val="21"/>
              </w:rPr>
              <w:t>0.53%</w:t>
            </w:r>
          </w:p>
        </w:tc>
        <w:tc>
          <w:tcPr>
            <w:tcW w:w="1291" w:type="dxa"/>
            <w:vAlign w:val="center"/>
          </w:tcPr>
          <w:p w:rsidR="000F062A" w:rsidRDefault="00215573">
            <w:pPr>
              <w:jc w:val="right"/>
            </w:pPr>
            <w:r>
              <w:rPr>
                <w:rFonts w:eastAsiaTheme="minorEastAsia"/>
                <w:color w:val="000000" w:themeColor="text1"/>
                <w:szCs w:val="21"/>
              </w:rPr>
              <w:t>1.40%</w:t>
            </w:r>
          </w:p>
        </w:tc>
      </w:tr>
      <w:tr w:rsidR="000F062A">
        <w:tc>
          <w:tcPr>
            <w:tcW w:w="1290" w:type="dxa"/>
            <w:vAlign w:val="center"/>
          </w:tcPr>
          <w:p w:rsidR="000F062A" w:rsidRDefault="00215573">
            <w:pPr>
              <w:jc w:val="left"/>
            </w:pPr>
            <w:r>
              <w:rPr>
                <w:rFonts w:eastAsiaTheme="minorEastAsia"/>
                <w:color w:val="000000" w:themeColor="text1"/>
                <w:szCs w:val="21"/>
              </w:rPr>
              <w:t>过去六个月</w:t>
            </w:r>
          </w:p>
        </w:tc>
        <w:tc>
          <w:tcPr>
            <w:tcW w:w="1291" w:type="dxa"/>
            <w:vAlign w:val="center"/>
          </w:tcPr>
          <w:p w:rsidR="000F062A" w:rsidRDefault="00215573">
            <w:pPr>
              <w:jc w:val="right"/>
            </w:pPr>
            <w:r>
              <w:rPr>
                <w:rFonts w:eastAsiaTheme="minorEastAsia"/>
                <w:color w:val="000000" w:themeColor="text1"/>
                <w:szCs w:val="21"/>
              </w:rPr>
              <w:t>2.22%</w:t>
            </w:r>
          </w:p>
        </w:tc>
        <w:tc>
          <w:tcPr>
            <w:tcW w:w="1291" w:type="dxa"/>
            <w:vAlign w:val="center"/>
          </w:tcPr>
          <w:p w:rsidR="000F062A" w:rsidRDefault="00215573">
            <w:pPr>
              <w:jc w:val="right"/>
            </w:pPr>
            <w:r>
              <w:rPr>
                <w:rFonts w:eastAsiaTheme="minorEastAsia"/>
                <w:color w:val="000000" w:themeColor="text1"/>
                <w:szCs w:val="21"/>
              </w:rPr>
              <w:t>1.70%</w:t>
            </w:r>
          </w:p>
        </w:tc>
        <w:tc>
          <w:tcPr>
            <w:tcW w:w="1291" w:type="dxa"/>
            <w:vAlign w:val="center"/>
          </w:tcPr>
          <w:p w:rsidR="000F062A" w:rsidRDefault="00215573">
            <w:pPr>
              <w:jc w:val="right"/>
            </w:pPr>
            <w:r>
              <w:rPr>
                <w:rFonts w:eastAsiaTheme="minorEastAsia"/>
                <w:color w:val="000000" w:themeColor="text1"/>
                <w:szCs w:val="21"/>
              </w:rPr>
              <w:t>0.06%</w:t>
            </w:r>
          </w:p>
        </w:tc>
        <w:tc>
          <w:tcPr>
            <w:tcW w:w="1291" w:type="dxa"/>
            <w:vAlign w:val="center"/>
          </w:tcPr>
          <w:p w:rsidR="000F062A" w:rsidRDefault="00215573">
            <w:pPr>
              <w:jc w:val="right"/>
            </w:pPr>
            <w:r>
              <w:rPr>
                <w:rFonts w:eastAsiaTheme="minorEastAsia"/>
                <w:color w:val="000000" w:themeColor="text1"/>
                <w:szCs w:val="21"/>
              </w:rPr>
              <w:t>0.69%</w:t>
            </w:r>
          </w:p>
        </w:tc>
        <w:tc>
          <w:tcPr>
            <w:tcW w:w="1291" w:type="dxa"/>
            <w:vAlign w:val="center"/>
          </w:tcPr>
          <w:p w:rsidR="000F062A" w:rsidRDefault="00215573">
            <w:pPr>
              <w:jc w:val="right"/>
            </w:pPr>
            <w:r>
              <w:rPr>
                <w:rFonts w:eastAsiaTheme="minorEastAsia"/>
                <w:color w:val="000000" w:themeColor="text1"/>
                <w:szCs w:val="21"/>
              </w:rPr>
              <w:t>2.16%</w:t>
            </w:r>
          </w:p>
        </w:tc>
        <w:tc>
          <w:tcPr>
            <w:tcW w:w="1291" w:type="dxa"/>
            <w:vAlign w:val="center"/>
          </w:tcPr>
          <w:p w:rsidR="000F062A" w:rsidRDefault="00215573">
            <w:pPr>
              <w:jc w:val="right"/>
            </w:pPr>
            <w:r>
              <w:rPr>
                <w:rFonts w:eastAsiaTheme="minorEastAsia"/>
                <w:color w:val="000000" w:themeColor="text1"/>
                <w:szCs w:val="21"/>
              </w:rPr>
              <w:t>1.01%</w:t>
            </w:r>
          </w:p>
        </w:tc>
      </w:tr>
      <w:tr w:rsidR="000F062A">
        <w:tc>
          <w:tcPr>
            <w:tcW w:w="1290" w:type="dxa"/>
            <w:vAlign w:val="center"/>
          </w:tcPr>
          <w:p w:rsidR="000F062A" w:rsidRDefault="00215573">
            <w:pPr>
              <w:jc w:val="left"/>
            </w:pPr>
            <w:r>
              <w:rPr>
                <w:rFonts w:eastAsiaTheme="minorEastAsia"/>
                <w:color w:val="000000" w:themeColor="text1"/>
                <w:szCs w:val="21"/>
              </w:rPr>
              <w:t>过去一年</w:t>
            </w:r>
          </w:p>
        </w:tc>
        <w:tc>
          <w:tcPr>
            <w:tcW w:w="1291" w:type="dxa"/>
            <w:vAlign w:val="center"/>
          </w:tcPr>
          <w:p w:rsidR="000F062A" w:rsidRDefault="00215573">
            <w:pPr>
              <w:jc w:val="right"/>
            </w:pPr>
            <w:r>
              <w:rPr>
                <w:rFonts w:eastAsiaTheme="minorEastAsia"/>
                <w:color w:val="000000" w:themeColor="text1"/>
                <w:szCs w:val="21"/>
              </w:rPr>
              <w:t>-28.22%</w:t>
            </w:r>
          </w:p>
        </w:tc>
        <w:tc>
          <w:tcPr>
            <w:tcW w:w="1291" w:type="dxa"/>
            <w:vAlign w:val="center"/>
          </w:tcPr>
          <w:p w:rsidR="000F062A" w:rsidRDefault="00215573">
            <w:pPr>
              <w:jc w:val="right"/>
            </w:pPr>
            <w:r>
              <w:rPr>
                <w:rFonts w:eastAsiaTheme="minorEastAsia"/>
                <w:color w:val="000000" w:themeColor="text1"/>
                <w:szCs w:val="21"/>
              </w:rPr>
              <w:t>1.70%</w:t>
            </w:r>
          </w:p>
        </w:tc>
        <w:tc>
          <w:tcPr>
            <w:tcW w:w="1291" w:type="dxa"/>
            <w:vAlign w:val="center"/>
          </w:tcPr>
          <w:p w:rsidR="000F062A" w:rsidRDefault="00215573">
            <w:pPr>
              <w:jc w:val="right"/>
            </w:pPr>
            <w:r>
              <w:rPr>
                <w:rFonts w:eastAsiaTheme="minorEastAsia"/>
                <w:color w:val="000000" w:themeColor="text1"/>
                <w:szCs w:val="21"/>
              </w:rPr>
              <w:t>-8.92%</w:t>
            </w:r>
          </w:p>
        </w:tc>
        <w:tc>
          <w:tcPr>
            <w:tcW w:w="1291" w:type="dxa"/>
            <w:vAlign w:val="center"/>
          </w:tcPr>
          <w:p w:rsidR="000F062A" w:rsidRDefault="00215573">
            <w:pPr>
              <w:jc w:val="right"/>
            </w:pPr>
            <w:r>
              <w:rPr>
                <w:rFonts w:eastAsiaTheme="minorEastAsia"/>
                <w:color w:val="000000" w:themeColor="text1"/>
                <w:szCs w:val="21"/>
              </w:rPr>
              <w:t>0.84%</w:t>
            </w:r>
          </w:p>
        </w:tc>
        <w:tc>
          <w:tcPr>
            <w:tcW w:w="1291" w:type="dxa"/>
            <w:vAlign w:val="center"/>
          </w:tcPr>
          <w:p w:rsidR="000F062A" w:rsidRDefault="00215573">
            <w:pPr>
              <w:jc w:val="right"/>
            </w:pPr>
            <w:r>
              <w:rPr>
                <w:rFonts w:eastAsiaTheme="minorEastAsia"/>
                <w:color w:val="000000" w:themeColor="text1"/>
                <w:szCs w:val="21"/>
              </w:rPr>
              <w:t>-19.30%</w:t>
            </w:r>
          </w:p>
        </w:tc>
        <w:tc>
          <w:tcPr>
            <w:tcW w:w="1291" w:type="dxa"/>
            <w:vAlign w:val="center"/>
          </w:tcPr>
          <w:p w:rsidR="000F062A" w:rsidRDefault="00215573">
            <w:pPr>
              <w:jc w:val="right"/>
            </w:pPr>
            <w:r>
              <w:rPr>
                <w:rFonts w:eastAsiaTheme="minorEastAsia"/>
                <w:color w:val="000000" w:themeColor="text1"/>
                <w:szCs w:val="21"/>
              </w:rPr>
              <w:t>0.86%</w:t>
            </w:r>
          </w:p>
        </w:tc>
      </w:tr>
      <w:tr w:rsidR="000F062A">
        <w:tc>
          <w:tcPr>
            <w:tcW w:w="1290" w:type="dxa"/>
            <w:vAlign w:val="center"/>
          </w:tcPr>
          <w:p w:rsidR="000F062A" w:rsidRDefault="00215573">
            <w:pPr>
              <w:jc w:val="left"/>
            </w:pPr>
            <w:r>
              <w:rPr>
                <w:rFonts w:eastAsiaTheme="minorEastAsia"/>
                <w:color w:val="000000" w:themeColor="text1"/>
                <w:szCs w:val="21"/>
              </w:rPr>
              <w:t>过去三年</w:t>
            </w:r>
          </w:p>
        </w:tc>
        <w:tc>
          <w:tcPr>
            <w:tcW w:w="1291" w:type="dxa"/>
            <w:vAlign w:val="center"/>
          </w:tcPr>
          <w:p w:rsidR="000F062A" w:rsidRDefault="00215573">
            <w:pPr>
              <w:jc w:val="right"/>
            </w:pPr>
            <w:r>
              <w:rPr>
                <w:rFonts w:eastAsiaTheme="minorEastAsia"/>
                <w:color w:val="000000" w:themeColor="text1"/>
                <w:szCs w:val="21"/>
              </w:rPr>
              <w:t>-</w:t>
            </w:r>
          </w:p>
        </w:tc>
        <w:tc>
          <w:tcPr>
            <w:tcW w:w="1291" w:type="dxa"/>
            <w:vAlign w:val="center"/>
          </w:tcPr>
          <w:p w:rsidR="000F062A" w:rsidRDefault="00215573">
            <w:pPr>
              <w:jc w:val="right"/>
            </w:pPr>
            <w:r>
              <w:rPr>
                <w:rFonts w:eastAsiaTheme="minorEastAsia"/>
                <w:color w:val="000000" w:themeColor="text1"/>
                <w:szCs w:val="21"/>
              </w:rPr>
              <w:t>-</w:t>
            </w:r>
          </w:p>
        </w:tc>
        <w:tc>
          <w:tcPr>
            <w:tcW w:w="1291" w:type="dxa"/>
            <w:vAlign w:val="center"/>
          </w:tcPr>
          <w:p w:rsidR="000F062A" w:rsidRDefault="00215573">
            <w:pPr>
              <w:jc w:val="right"/>
            </w:pPr>
            <w:r>
              <w:rPr>
                <w:rFonts w:eastAsiaTheme="minorEastAsia"/>
                <w:color w:val="000000" w:themeColor="text1"/>
                <w:szCs w:val="21"/>
              </w:rPr>
              <w:t>-</w:t>
            </w:r>
          </w:p>
        </w:tc>
        <w:tc>
          <w:tcPr>
            <w:tcW w:w="1291" w:type="dxa"/>
            <w:vAlign w:val="center"/>
          </w:tcPr>
          <w:p w:rsidR="000F062A" w:rsidRDefault="00215573">
            <w:pPr>
              <w:jc w:val="right"/>
            </w:pPr>
            <w:r>
              <w:rPr>
                <w:rFonts w:eastAsiaTheme="minorEastAsia"/>
                <w:color w:val="000000" w:themeColor="text1"/>
                <w:szCs w:val="21"/>
              </w:rPr>
              <w:t>-</w:t>
            </w:r>
          </w:p>
        </w:tc>
        <w:tc>
          <w:tcPr>
            <w:tcW w:w="1291" w:type="dxa"/>
            <w:vAlign w:val="center"/>
          </w:tcPr>
          <w:p w:rsidR="000F062A" w:rsidRDefault="00215573">
            <w:pPr>
              <w:jc w:val="right"/>
            </w:pPr>
            <w:r>
              <w:rPr>
                <w:rFonts w:eastAsiaTheme="minorEastAsia"/>
                <w:color w:val="000000" w:themeColor="text1"/>
                <w:szCs w:val="21"/>
              </w:rPr>
              <w:t>-</w:t>
            </w:r>
          </w:p>
        </w:tc>
        <w:tc>
          <w:tcPr>
            <w:tcW w:w="1291" w:type="dxa"/>
            <w:vAlign w:val="center"/>
          </w:tcPr>
          <w:p w:rsidR="000F062A" w:rsidRDefault="00215573">
            <w:pPr>
              <w:jc w:val="right"/>
            </w:pPr>
            <w:r>
              <w:rPr>
                <w:rFonts w:eastAsiaTheme="minorEastAsia"/>
                <w:color w:val="000000" w:themeColor="text1"/>
                <w:szCs w:val="21"/>
              </w:rPr>
              <w:t>-</w:t>
            </w:r>
          </w:p>
        </w:tc>
      </w:tr>
      <w:tr w:rsidR="000F062A">
        <w:tc>
          <w:tcPr>
            <w:tcW w:w="1290" w:type="dxa"/>
            <w:vAlign w:val="center"/>
          </w:tcPr>
          <w:p w:rsidR="000F062A" w:rsidRDefault="00215573">
            <w:pPr>
              <w:jc w:val="left"/>
            </w:pPr>
            <w:r>
              <w:rPr>
                <w:rFonts w:eastAsiaTheme="minorEastAsia"/>
                <w:color w:val="000000" w:themeColor="text1"/>
                <w:szCs w:val="21"/>
              </w:rPr>
              <w:t>过去五年</w:t>
            </w:r>
          </w:p>
        </w:tc>
        <w:tc>
          <w:tcPr>
            <w:tcW w:w="1291" w:type="dxa"/>
            <w:vAlign w:val="center"/>
          </w:tcPr>
          <w:p w:rsidR="000F062A" w:rsidRDefault="00215573">
            <w:pPr>
              <w:jc w:val="right"/>
            </w:pPr>
            <w:r>
              <w:rPr>
                <w:rFonts w:eastAsiaTheme="minorEastAsia"/>
                <w:color w:val="000000" w:themeColor="text1"/>
                <w:szCs w:val="21"/>
              </w:rPr>
              <w:t>-</w:t>
            </w:r>
          </w:p>
        </w:tc>
        <w:tc>
          <w:tcPr>
            <w:tcW w:w="1291" w:type="dxa"/>
            <w:vAlign w:val="center"/>
          </w:tcPr>
          <w:p w:rsidR="000F062A" w:rsidRDefault="00215573">
            <w:pPr>
              <w:jc w:val="right"/>
            </w:pPr>
            <w:r>
              <w:rPr>
                <w:rFonts w:eastAsiaTheme="minorEastAsia"/>
                <w:color w:val="000000" w:themeColor="text1"/>
                <w:szCs w:val="21"/>
              </w:rPr>
              <w:t>-</w:t>
            </w:r>
          </w:p>
        </w:tc>
        <w:tc>
          <w:tcPr>
            <w:tcW w:w="1291" w:type="dxa"/>
            <w:vAlign w:val="center"/>
          </w:tcPr>
          <w:p w:rsidR="000F062A" w:rsidRDefault="00215573">
            <w:pPr>
              <w:jc w:val="right"/>
            </w:pPr>
            <w:r>
              <w:rPr>
                <w:rFonts w:eastAsiaTheme="minorEastAsia"/>
                <w:color w:val="000000" w:themeColor="text1"/>
                <w:szCs w:val="21"/>
              </w:rPr>
              <w:t>-</w:t>
            </w:r>
          </w:p>
        </w:tc>
        <w:tc>
          <w:tcPr>
            <w:tcW w:w="1291" w:type="dxa"/>
            <w:vAlign w:val="center"/>
          </w:tcPr>
          <w:p w:rsidR="000F062A" w:rsidRDefault="00215573">
            <w:pPr>
              <w:jc w:val="right"/>
            </w:pPr>
            <w:r>
              <w:rPr>
                <w:rFonts w:eastAsiaTheme="minorEastAsia"/>
                <w:color w:val="000000" w:themeColor="text1"/>
                <w:szCs w:val="21"/>
              </w:rPr>
              <w:t>-</w:t>
            </w:r>
          </w:p>
        </w:tc>
        <w:tc>
          <w:tcPr>
            <w:tcW w:w="1291" w:type="dxa"/>
            <w:vAlign w:val="center"/>
          </w:tcPr>
          <w:p w:rsidR="000F062A" w:rsidRDefault="00215573">
            <w:pPr>
              <w:jc w:val="right"/>
            </w:pPr>
            <w:r>
              <w:rPr>
                <w:rFonts w:eastAsiaTheme="minorEastAsia"/>
                <w:color w:val="000000" w:themeColor="text1"/>
                <w:szCs w:val="21"/>
              </w:rPr>
              <w:t>-</w:t>
            </w:r>
          </w:p>
        </w:tc>
        <w:tc>
          <w:tcPr>
            <w:tcW w:w="1291" w:type="dxa"/>
            <w:vAlign w:val="center"/>
          </w:tcPr>
          <w:p w:rsidR="000F062A" w:rsidRDefault="00215573">
            <w:pPr>
              <w:jc w:val="right"/>
            </w:pPr>
            <w:r>
              <w:rPr>
                <w:rFonts w:eastAsiaTheme="minorEastAsia"/>
                <w:color w:val="000000" w:themeColor="text1"/>
                <w:szCs w:val="21"/>
              </w:rPr>
              <w:t>-</w:t>
            </w:r>
          </w:p>
        </w:tc>
      </w:tr>
      <w:tr w:rsidR="000F062A">
        <w:tc>
          <w:tcPr>
            <w:tcW w:w="1290" w:type="dxa"/>
            <w:vAlign w:val="center"/>
          </w:tcPr>
          <w:p w:rsidR="000F062A" w:rsidRDefault="00215573">
            <w:pPr>
              <w:jc w:val="left"/>
            </w:pPr>
            <w:r>
              <w:rPr>
                <w:rFonts w:eastAsiaTheme="minorEastAsia"/>
                <w:color w:val="000000" w:themeColor="text1"/>
                <w:szCs w:val="21"/>
              </w:rPr>
              <w:t>自基金合同生效起至今</w:t>
            </w:r>
          </w:p>
        </w:tc>
        <w:tc>
          <w:tcPr>
            <w:tcW w:w="1291" w:type="dxa"/>
            <w:vAlign w:val="center"/>
          </w:tcPr>
          <w:p w:rsidR="000F062A" w:rsidRDefault="00215573">
            <w:pPr>
              <w:jc w:val="right"/>
            </w:pPr>
            <w:r>
              <w:rPr>
                <w:rFonts w:eastAsiaTheme="minorEastAsia"/>
                <w:color w:val="000000" w:themeColor="text1"/>
                <w:szCs w:val="21"/>
              </w:rPr>
              <w:t>-38.69%</w:t>
            </w:r>
          </w:p>
        </w:tc>
        <w:tc>
          <w:tcPr>
            <w:tcW w:w="1291" w:type="dxa"/>
            <w:vAlign w:val="center"/>
          </w:tcPr>
          <w:p w:rsidR="000F062A" w:rsidRDefault="00215573">
            <w:pPr>
              <w:jc w:val="right"/>
            </w:pPr>
            <w:r>
              <w:rPr>
                <w:rFonts w:eastAsiaTheme="minorEastAsia"/>
                <w:color w:val="000000" w:themeColor="text1"/>
                <w:szCs w:val="21"/>
              </w:rPr>
              <w:t>1.61%</w:t>
            </w:r>
          </w:p>
        </w:tc>
        <w:tc>
          <w:tcPr>
            <w:tcW w:w="1291" w:type="dxa"/>
            <w:vAlign w:val="center"/>
          </w:tcPr>
          <w:p w:rsidR="000F062A" w:rsidRDefault="00215573">
            <w:pPr>
              <w:jc w:val="right"/>
            </w:pPr>
            <w:r>
              <w:rPr>
                <w:rFonts w:eastAsiaTheme="minorEastAsia"/>
                <w:color w:val="000000" w:themeColor="text1"/>
                <w:szCs w:val="21"/>
              </w:rPr>
              <w:t>-16.36%</w:t>
            </w:r>
          </w:p>
        </w:tc>
        <w:tc>
          <w:tcPr>
            <w:tcW w:w="1291" w:type="dxa"/>
            <w:vAlign w:val="center"/>
          </w:tcPr>
          <w:p w:rsidR="000F062A" w:rsidRDefault="00215573">
            <w:pPr>
              <w:jc w:val="right"/>
            </w:pPr>
            <w:r>
              <w:rPr>
                <w:rFonts w:eastAsiaTheme="minorEastAsia"/>
                <w:color w:val="000000" w:themeColor="text1"/>
                <w:szCs w:val="21"/>
              </w:rPr>
              <w:t>0.93%</w:t>
            </w:r>
          </w:p>
        </w:tc>
        <w:tc>
          <w:tcPr>
            <w:tcW w:w="1291" w:type="dxa"/>
            <w:vAlign w:val="center"/>
          </w:tcPr>
          <w:p w:rsidR="000F062A" w:rsidRDefault="00215573">
            <w:pPr>
              <w:jc w:val="right"/>
            </w:pPr>
            <w:r>
              <w:rPr>
                <w:rFonts w:eastAsiaTheme="minorEastAsia"/>
                <w:color w:val="000000" w:themeColor="text1"/>
                <w:szCs w:val="21"/>
              </w:rPr>
              <w:t>-22.33%</w:t>
            </w:r>
          </w:p>
        </w:tc>
        <w:tc>
          <w:tcPr>
            <w:tcW w:w="1291" w:type="dxa"/>
            <w:vAlign w:val="center"/>
          </w:tcPr>
          <w:p w:rsidR="000F062A" w:rsidRDefault="00215573">
            <w:pPr>
              <w:jc w:val="right"/>
            </w:pPr>
            <w:r>
              <w:rPr>
                <w:rFonts w:eastAsiaTheme="minorEastAsia"/>
                <w:color w:val="000000" w:themeColor="text1"/>
                <w:szCs w:val="21"/>
              </w:rPr>
              <w:t>0.68%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摩根优势成长混合型证券投资基金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．摩根优势成长混合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F062A" w:rsidRDefault="0021557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．摩根优势成长混合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F062A" w:rsidRDefault="0021557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F062A">
        <w:tc>
          <w:tcPr>
            <w:tcW w:w="952" w:type="dxa"/>
            <w:vAlign w:val="center"/>
          </w:tcPr>
          <w:p w:rsidR="000F062A" w:rsidRDefault="00215573">
            <w:pPr>
              <w:jc w:val="center"/>
            </w:pPr>
            <w:r>
              <w:rPr>
                <w:rFonts w:eastAsiaTheme="minorEastAsia"/>
                <w:color w:val="000000" w:themeColor="text1"/>
                <w:szCs w:val="21"/>
              </w:rPr>
              <w:t>郭晨</w:t>
            </w:r>
          </w:p>
        </w:tc>
        <w:tc>
          <w:tcPr>
            <w:tcW w:w="930" w:type="dxa"/>
            <w:vAlign w:val="center"/>
          </w:tcPr>
          <w:p w:rsidR="000F062A" w:rsidRDefault="00215573">
            <w:pPr>
              <w:jc w:val="center"/>
            </w:pPr>
            <w:r>
              <w:rPr>
                <w:rFonts w:eastAsiaTheme="minorEastAsia"/>
                <w:color w:val="000000" w:themeColor="text1"/>
                <w:szCs w:val="21"/>
              </w:rPr>
              <w:t>本基金基金经理</w:t>
            </w:r>
          </w:p>
        </w:tc>
        <w:tc>
          <w:tcPr>
            <w:tcW w:w="1210" w:type="dxa"/>
            <w:vAlign w:val="center"/>
          </w:tcPr>
          <w:p w:rsidR="000F062A" w:rsidRDefault="00215573">
            <w:pPr>
              <w:jc w:val="center"/>
            </w:pPr>
            <w:r>
              <w:rPr>
                <w:rFonts w:eastAsiaTheme="minorEastAsia"/>
                <w:color w:val="000000" w:themeColor="text1"/>
                <w:szCs w:val="21"/>
              </w:rPr>
              <w:t>2021-05-14</w:t>
            </w:r>
          </w:p>
        </w:tc>
        <w:tc>
          <w:tcPr>
            <w:tcW w:w="1309" w:type="dxa"/>
            <w:vAlign w:val="center"/>
          </w:tcPr>
          <w:p w:rsidR="000F062A" w:rsidRDefault="00215573">
            <w:pPr>
              <w:jc w:val="center"/>
            </w:pPr>
            <w:r>
              <w:rPr>
                <w:rFonts w:eastAsiaTheme="minorEastAsia"/>
                <w:color w:val="000000" w:themeColor="text1"/>
                <w:szCs w:val="21"/>
              </w:rPr>
              <w:t>-</w:t>
            </w:r>
          </w:p>
        </w:tc>
        <w:tc>
          <w:tcPr>
            <w:tcW w:w="1254" w:type="dxa"/>
            <w:vAlign w:val="center"/>
          </w:tcPr>
          <w:p w:rsidR="000F062A" w:rsidRDefault="00215573">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0F062A" w:rsidRDefault="00215573">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0F062A" w:rsidRDefault="0021557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0F062A" w:rsidRDefault="0021557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郭晨先生为本基金首任基金经理，其任职日期指本基金基金合同生效之日。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0F062A" w:rsidRDefault="0021557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eastAsiaTheme="minorEastAsia"/>
          <w:color w:val="000000" w:themeColor="text1"/>
          <w:szCs w:val="21"/>
        </w:rPr>
        <w:lastRenderedPageBreak/>
        <w:t>均得到公平对待。</w:t>
      </w:r>
    </w:p>
    <w:p w:rsidR="000F062A" w:rsidRDefault="0021557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0F062A" w:rsidRDefault="0021557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0F062A" w:rsidRDefault="00215573">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5.15%</w:t>
      </w:r>
      <w:r>
        <w:rPr>
          <w:rFonts w:eastAsiaTheme="minorEastAsia"/>
          <w:color w:val="000000" w:themeColor="text1"/>
          <w:szCs w:val="21"/>
        </w:rPr>
        <w:t>，创业板指数下跌</w:t>
      </w:r>
      <w:r>
        <w:rPr>
          <w:rFonts w:eastAsiaTheme="minorEastAsia"/>
          <w:color w:val="000000" w:themeColor="text1"/>
          <w:szCs w:val="21"/>
        </w:rPr>
        <w:t>7.69%</w:t>
      </w:r>
      <w:r>
        <w:rPr>
          <w:rFonts w:eastAsiaTheme="minorEastAsia"/>
          <w:color w:val="000000" w:themeColor="text1"/>
          <w:szCs w:val="21"/>
        </w:rPr>
        <w:t>。尽管指数表现不佳，但是市场还是比较活跃，人工智能（</w:t>
      </w:r>
      <w:r>
        <w:rPr>
          <w:rFonts w:eastAsiaTheme="minorEastAsia"/>
          <w:color w:val="000000" w:themeColor="text1"/>
          <w:szCs w:val="21"/>
        </w:rPr>
        <w:t>AI</w:t>
      </w:r>
      <w:r>
        <w:rPr>
          <w:rFonts w:eastAsiaTheme="minorEastAsia"/>
          <w:color w:val="000000" w:themeColor="text1"/>
          <w:szCs w:val="21"/>
        </w:rPr>
        <w:t>）板块大涨，引领市场，前一季度强势的中特估板块表现相对一般。二季度国内经济恢复弱于预期，各项经济数据差强人意，政策也较为克制，依然是以经济高质量发展为主要抓手，市场对于房地产的未来比较悲观。美国经济依然稳健，美股表现强势，人民币调整幅度较大。本季度</w:t>
      </w:r>
      <w:r>
        <w:rPr>
          <w:rFonts w:eastAsiaTheme="minorEastAsia"/>
          <w:color w:val="000000" w:themeColor="text1"/>
          <w:szCs w:val="21"/>
        </w:rPr>
        <w:t>AI</w:t>
      </w:r>
      <w:r>
        <w:rPr>
          <w:rFonts w:eastAsiaTheme="minorEastAsia"/>
          <w:color w:val="000000" w:themeColor="text1"/>
          <w:szCs w:val="21"/>
        </w:rPr>
        <w:t>是市场为数不多的亮点，相关产业链轮番表现，算力板块尤为强势。市场资金依然处于存量博弈的状态，结构差异和个股波动很大。</w:t>
      </w:r>
    </w:p>
    <w:p w:rsidR="000F062A" w:rsidRDefault="00215573">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我们始终看好国内权益市场的长期机会，认为市场处于一个长期慢牛的走势之中，结构性行情为主。二季度本基金增加了</w:t>
      </w:r>
      <w:r>
        <w:rPr>
          <w:rFonts w:eastAsiaTheme="minorEastAsia"/>
          <w:color w:val="000000" w:themeColor="text1"/>
          <w:szCs w:val="21"/>
        </w:rPr>
        <w:t>TMT</w:t>
      </w:r>
      <w:r>
        <w:rPr>
          <w:rFonts w:eastAsiaTheme="minorEastAsia"/>
          <w:color w:val="000000" w:themeColor="text1"/>
          <w:szCs w:val="21"/>
        </w:rPr>
        <w:t>的配置比例，尤其是</w:t>
      </w:r>
      <w:r>
        <w:rPr>
          <w:rFonts w:eastAsiaTheme="minorEastAsia"/>
          <w:color w:val="000000" w:themeColor="text1"/>
          <w:szCs w:val="21"/>
        </w:rPr>
        <w:t>AI</w:t>
      </w:r>
      <w:r>
        <w:rPr>
          <w:rFonts w:eastAsiaTheme="minorEastAsia"/>
          <w:color w:val="000000" w:themeColor="text1"/>
          <w:szCs w:val="21"/>
        </w:rPr>
        <w:t>产业链的相关公司，依然重点配置在一些优质成长行业，比如</w:t>
      </w:r>
      <w:r>
        <w:rPr>
          <w:rFonts w:eastAsiaTheme="minorEastAsia"/>
          <w:color w:val="000000" w:themeColor="text1"/>
          <w:szCs w:val="21"/>
        </w:rPr>
        <w:t>AI</w:t>
      </w:r>
      <w:r>
        <w:rPr>
          <w:rFonts w:eastAsiaTheme="minorEastAsia"/>
          <w:color w:val="000000" w:themeColor="text1"/>
          <w:szCs w:val="21"/>
        </w:rPr>
        <w:t>的算力和应用、信创、数字经济、新能源汽车、光伏、储能、家电等，在房地产、金融、上游资源品等传统周期行业配置比例较低，净值表现良好。本基金将始终坚持价值投资思路，持续关注高景气度成长行业，选择高景气行业中相对优秀的龙头公司长期投资。</w:t>
      </w:r>
    </w:p>
    <w:p w:rsidR="000F062A" w:rsidRDefault="0021557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展望三季度，我们并不悲观。目前市场对国内经济悲观，对政策也没有什么预期，市场的主线大概率依然在成长板块，如果经济数据有见底回升的迹象，那么指数也会有一定机会。港股在</w:t>
      </w:r>
      <w:r>
        <w:rPr>
          <w:rFonts w:eastAsiaTheme="minorEastAsia"/>
          <w:color w:val="000000" w:themeColor="text1"/>
          <w:szCs w:val="21"/>
        </w:rPr>
        <w:lastRenderedPageBreak/>
        <w:t>经历调整之后，估值吸引力提升，依然是国内经济变化高弹性的标的。成长板块的表现，重点关注两个方向，一是新技术的变革，</w:t>
      </w:r>
      <w:r>
        <w:rPr>
          <w:rFonts w:eastAsiaTheme="minorEastAsia"/>
          <w:color w:val="000000" w:themeColor="text1"/>
          <w:szCs w:val="21"/>
        </w:rPr>
        <w:t>TMT</w:t>
      </w:r>
      <w:r>
        <w:rPr>
          <w:rFonts w:eastAsiaTheme="minorEastAsia"/>
          <w:color w:val="000000" w:themeColor="text1"/>
          <w:szCs w:val="21"/>
        </w:rPr>
        <w:t>板块可能会继续活跃，二是业绩同比增速较好的板块，比如新能源相关行业，消费的一些细分子行业。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始终坚持价值投资，坚持超配高景气度行业，选择朝阳行业中较优秀的龙头公司长期投资。我们依然战略看好高科技、先进制造等成长板块和与百姓生活相关的消费、医药行业，致力长期投资高景气度、高成长、低估值的优秀龙头公司。行业上，我们看好</w:t>
      </w:r>
      <w:r w:rsidRPr="00B27A29">
        <w:rPr>
          <w:rFonts w:eastAsiaTheme="minorEastAsia"/>
          <w:color w:val="000000" w:themeColor="text1"/>
          <w:szCs w:val="21"/>
        </w:rPr>
        <w:t>AI</w:t>
      </w:r>
      <w:r w:rsidRPr="00B27A29">
        <w:rPr>
          <w:rFonts w:eastAsiaTheme="minorEastAsia"/>
          <w:color w:val="000000" w:themeColor="text1"/>
          <w:szCs w:val="21"/>
        </w:rPr>
        <w:t>中的算力和应用、机器人、新能源汽车及其零部件、光储等细分行业。合理的估值，较高的业绩增速，成长的确定性是本基金最看重的。</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0F062A" w:rsidRDefault="0021557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本报告期摩根优势成长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:-2.78%</w:t>
      </w:r>
      <w:r>
        <w:rPr>
          <w:rFonts w:eastAsiaTheme="minorEastAsia"/>
          <w:color w:val="000000" w:themeColor="text1"/>
          <w:szCs w:val="21"/>
        </w:rPr>
        <w:t>，同期业绩比较基准收益率为</w:t>
      </w:r>
      <w:r>
        <w:rPr>
          <w:rFonts w:eastAsiaTheme="minorEastAsia"/>
          <w:color w:val="000000" w:themeColor="text1"/>
          <w:szCs w:val="21"/>
        </w:rPr>
        <w:t>:-3.43%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摩根优势成长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:-2.90%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:-3.43%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213,208,439.95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92.47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213,208,439.95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92.47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17,198,731.96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166,038.98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230,573,210.89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注：本基金本报告期末通过港股通交易机制投资的港股市值为</w:t>
      </w:r>
      <w:r w:rsidRPr="00B27A29">
        <w:rPr>
          <w:rFonts w:eastAsiaTheme="minorEastAsia"/>
          <w:color w:val="000000" w:themeColor="text1"/>
          <w:szCs w:val="21"/>
        </w:rPr>
        <w:t>18898262.92</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占净值比例</w:t>
      </w:r>
      <w:r w:rsidRPr="00B27A29">
        <w:rPr>
          <w:rFonts w:eastAsiaTheme="minorEastAsia"/>
          <w:color w:val="000000" w:themeColor="text1"/>
          <w:szCs w:val="21"/>
        </w:rPr>
        <w:t>8.24%</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1,532,511.40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0.67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95,418,061.19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41.61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6,940,156.30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79,588,645.24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34.71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9,577,113.16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1,253,689.74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194,310,177.03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84.74</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0F062A">
        <w:trPr>
          <w:jc w:val="center"/>
        </w:trPr>
        <w:tc>
          <w:tcPr>
            <w:tcW w:w="2397" w:type="dxa"/>
            <w:vAlign w:val="center"/>
          </w:tcPr>
          <w:p w:rsidR="000F062A" w:rsidRDefault="00215573">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0F062A" w:rsidRDefault="00215573">
            <w:pPr>
              <w:jc w:val="center"/>
            </w:pPr>
            <w:r>
              <w:rPr>
                <w:rFonts w:eastAsiaTheme="minorEastAsia"/>
                <w:color w:val="000000" w:themeColor="text1"/>
                <w:szCs w:val="21"/>
              </w:rPr>
              <w:t>-</w:t>
            </w:r>
          </w:p>
        </w:tc>
        <w:tc>
          <w:tcPr>
            <w:tcW w:w="3118" w:type="dxa"/>
            <w:vAlign w:val="center"/>
          </w:tcPr>
          <w:p w:rsidR="000F062A" w:rsidRDefault="00215573">
            <w:pPr>
              <w:jc w:val="center"/>
            </w:pPr>
            <w:r>
              <w:rPr>
                <w:rFonts w:eastAsiaTheme="minorEastAsia"/>
                <w:color w:val="000000" w:themeColor="text1"/>
                <w:szCs w:val="21"/>
              </w:rPr>
              <w:t>-</w:t>
            </w:r>
          </w:p>
        </w:tc>
      </w:tr>
      <w:tr w:rsidR="000F062A">
        <w:trPr>
          <w:jc w:val="center"/>
        </w:trPr>
        <w:tc>
          <w:tcPr>
            <w:tcW w:w="2397" w:type="dxa"/>
            <w:vAlign w:val="center"/>
          </w:tcPr>
          <w:p w:rsidR="000F062A" w:rsidRDefault="00215573">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0F062A" w:rsidRDefault="00215573">
            <w:pPr>
              <w:jc w:val="center"/>
            </w:pPr>
            <w:r>
              <w:rPr>
                <w:rFonts w:eastAsiaTheme="minorEastAsia"/>
                <w:color w:val="000000" w:themeColor="text1"/>
                <w:szCs w:val="21"/>
              </w:rPr>
              <w:t>7,187,953.38</w:t>
            </w:r>
          </w:p>
        </w:tc>
        <w:tc>
          <w:tcPr>
            <w:tcW w:w="3118" w:type="dxa"/>
            <w:vAlign w:val="center"/>
          </w:tcPr>
          <w:p w:rsidR="000F062A" w:rsidRDefault="00215573">
            <w:pPr>
              <w:jc w:val="center"/>
            </w:pPr>
            <w:r>
              <w:rPr>
                <w:rFonts w:eastAsiaTheme="minorEastAsia"/>
                <w:color w:val="000000" w:themeColor="text1"/>
                <w:szCs w:val="21"/>
              </w:rPr>
              <w:t>3.13</w:t>
            </w:r>
          </w:p>
        </w:tc>
      </w:tr>
      <w:tr w:rsidR="000F062A">
        <w:trPr>
          <w:jc w:val="center"/>
        </w:trPr>
        <w:tc>
          <w:tcPr>
            <w:tcW w:w="2397" w:type="dxa"/>
            <w:vAlign w:val="center"/>
          </w:tcPr>
          <w:p w:rsidR="000F062A" w:rsidRDefault="00215573">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0F062A" w:rsidRDefault="00215573">
            <w:pPr>
              <w:jc w:val="center"/>
            </w:pPr>
            <w:r>
              <w:rPr>
                <w:rFonts w:eastAsiaTheme="minorEastAsia"/>
                <w:color w:val="000000" w:themeColor="text1"/>
                <w:szCs w:val="21"/>
              </w:rPr>
              <w:t>-</w:t>
            </w:r>
          </w:p>
        </w:tc>
        <w:tc>
          <w:tcPr>
            <w:tcW w:w="3118" w:type="dxa"/>
            <w:vAlign w:val="center"/>
          </w:tcPr>
          <w:p w:rsidR="000F062A" w:rsidRDefault="00215573">
            <w:pPr>
              <w:jc w:val="center"/>
            </w:pPr>
            <w:r>
              <w:rPr>
                <w:rFonts w:eastAsiaTheme="minorEastAsia"/>
                <w:color w:val="000000" w:themeColor="text1"/>
                <w:szCs w:val="21"/>
              </w:rPr>
              <w:t>-</w:t>
            </w:r>
          </w:p>
        </w:tc>
      </w:tr>
      <w:tr w:rsidR="000F062A">
        <w:trPr>
          <w:jc w:val="center"/>
        </w:trPr>
        <w:tc>
          <w:tcPr>
            <w:tcW w:w="2397" w:type="dxa"/>
            <w:vAlign w:val="center"/>
          </w:tcPr>
          <w:p w:rsidR="000F062A" w:rsidRDefault="00215573">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0F062A" w:rsidRDefault="00215573">
            <w:pPr>
              <w:jc w:val="center"/>
            </w:pPr>
            <w:r>
              <w:rPr>
                <w:rFonts w:eastAsiaTheme="minorEastAsia"/>
                <w:color w:val="000000" w:themeColor="text1"/>
                <w:szCs w:val="21"/>
              </w:rPr>
              <w:t>-</w:t>
            </w:r>
          </w:p>
        </w:tc>
        <w:tc>
          <w:tcPr>
            <w:tcW w:w="3118" w:type="dxa"/>
            <w:vAlign w:val="center"/>
          </w:tcPr>
          <w:p w:rsidR="000F062A" w:rsidRDefault="00215573">
            <w:pPr>
              <w:jc w:val="center"/>
            </w:pPr>
            <w:r>
              <w:rPr>
                <w:rFonts w:eastAsiaTheme="minorEastAsia"/>
                <w:color w:val="000000" w:themeColor="text1"/>
                <w:szCs w:val="21"/>
              </w:rPr>
              <w:t>-</w:t>
            </w:r>
          </w:p>
        </w:tc>
      </w:tr>
      <w:tr w:rsidR="000F062A">
        <w:trPr>
          <w:jc w:val="center"/>
        </w:trPr>
        <w:tc>
          <w:tcPr>
            <w:tcW w:w="2397" w:type="dxa"/>
            <w:vAlign w:val="center"/>
          </w:tcPr>
          <w:p w:rsidR="000F062A" w:rsidRDefault="00215573">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0F062A" w:rsidRDefault="00215573">
            <w:pPr>
              <w:jc w:val="center"/>
            </w:pPr>
            <w:r>
              <w:rPr>
                <w:rFonts w:eastAsiaTheme="minorEastAsia"/>
                <w:color w:val="000000" w:themeColor="text1"/>
                <w:szCs w:val="21"/>
              </w:rPr>
              <w:t>-</w:t>
            </w:r>
          </w:p>
        </w:tc>
        <w:tc>
          <w:tcPr>
            <w:tcW w:w="3118" w:type="dxa"/>
            <w:vAlign w:val="center"/>
          </w:tcPr>
          <w:p w:rsidR="000F062A" w:rsidRDefault="00215573">
            <w:pPr>
              <w:jc w:val="center"/>
            </w:pPr>
            <w:r>
              <w:rPr>
                <w:rFonts w:eastAsiaTheme="minorEastAsia"/>
                <w:color w:val="000000" w:themeColor="text1"/>
                <w:szCs w:val="21"/>
              </w:rPr>
              <w:t>-</w:t>
            </w:r>
          </w:p>
        </w:tc>
      </w:tr>
      <w:tr w:rsidR="000F062A">
        <w:trPr>
          <w:jc w:val="center"/>
        </w:trPr>
        <w:tc>
          <w:tcPr>
            <w:tcW w:w="2397" w:type="dxa"/>
            <w:vAlign w:val="center"/>
          </w:tcPr>
          <w:p w:rsidR="000F062A" w:rsidRDefault="00215573">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0F062A" w:rsidRDefault="00215573">
            <w:pPr>
              <w:jc w:val="center"/>
            </w:pPr>
            <w:r>
              <w:rPr>
                <w:rFonts w:eastAsiaTheme="minorEastAsia"/>
                <w:color w:val="000000" w:themeColor="text1"/>
                <w:szCs w:val="21"/>
              </w:rPr>
              <w:t>1,223,449.02</w:t>
            </w:r>
          </w:p>
        </w:tc>
        <w:tc>
          <w:tcPr>
            <w:tcW w:w="3118" w:type="dxa"/>
            <w:vAlign w:val="center"/>
          </w:tcPr>
          <w:p w:rsidR="000F062A" w:rsidRDefault="00215573">
            <w:pPr>
              <w:jc w:val="center"/>
            </w:pPr>
            <w:r>
              <w:rPr>
                <w:rFonts w:eastAsiaTheme="minorEastAsia"/>
                <w:color w:val="000000" w:themeColor="text1"/>
                <w:szCs w:val="21"/>
              </w:rPr>
              <w:t>0.53</w:t>
            </w:r>
          </w:p>
        </w:tc>
      </w:tr>
      <w:tr w:rsidR="000F062A">
        <w:trPr>
          <w:jc w:val="center"/>
        </w:trPr>
        <w:tc>
          <w:tcPr>
            <w:tcW w:w="2397" w:type="dxa"/>
            <w:vAlign w:val="center"/>
          </w:tcPr>
          <w:p w:rsidR="000F062A" w:rsidRDefault="00215573">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0F062A" w:rsidRDefault="00215573">
            <w:pPr>
              <w:jc w:val="center"/>
            </w:pPr>
            <w:r>
              <w:rPr>
                <w:rFonts w:eastAsiaTheme="minorEastAsia"/>
                <w:color w:val="000000" w:themeColor="text1"/>
                <w:szCs w:val="21"/>
              </w:rPr>
              <w:t>-</w:t>
            </w:r>
          </w:p>
        </w:tc>
        <w:tc>
          <w:tcPr>
            <w:tcW w:w="3118" w:type="dxa"/>
            <w:vAlign w:val="center"/>
          </w:tcPr>
          <w:p w:rsidR="000F062A" w:rsidRDefault="00215573">
            <w:pPr>
              <w:jc w:val="center"/>
            </w:pPr>
            <w:r>
              <w:rPr>
                <w:rFonts w:eastAsiaTheme="minorEastAsia"/>
                <w:color w:val="000000" w:themeColor="text1"/>
                <w:szCs w:val="21"/>
              </w:rPr>
              <w:t>-</w:t>
            </w:r>
          </w:p>
        </w:tc>
      </w:tr>
      <w:tr w:rsidR="000F062A">
        <w:trPr>
          <w:jc w:val="center"/>
        </w:trPr>
        <w:tc>
          <w:tcPr>
            <w:tcW w:w="2397" w:type="dxa"/>
            <w:vAlign w:val="center"/>
          </w:tcPr>
          <w:p w:rsidR="000F062A" w:rsidRDefault="00215573">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0F062A" w:rsidRDefault="00215573">
            <w:pPr>
              <w:jc w:val="center"/>
            </w:pPr>
            <w:r>
              <w:rPr>
                <w:rFonts w:eastAsiaTheme="minorEastAsia"/>
                <w:color w:val="000000" w:themeColor="text1"/>
                <w:szCs w:val="21"/>
              </w:rPr>
              <w:t>-</w:t>
            </w:r>
          </w:p>
        </w:tc>
        <w:tc>
          <w:tcPr>
            <w:tcW w:w="3118" w:type="dxa"/>
            <w:vAlign w:val="center"/>
          </w:tcPr>
          <w:p w:rsidR="000F062A" w:rsidRDefault="00215573">
            <w:pPr>
              <w:jc w:val="center"/>
            </w:pPr>
            <w:r>
              <w:rPr>
                <w:rFonts w:eastAsiaTheme="minorEastAsia"/>
                <w:color w:val="000000" w:themeColor="text1"/>
                <w:szCs w:val="21"/>
              </w:rPr>
              <w:t>-</w:t>
            </w:r>
          </w:p>
        </w:tc>
      </w:tr>
      <w:tr w:rsidR="000F062A">
        <w:trPr>
          <w:jc w:val="center"/>
        </w:trPr>
        <w:tc>
          <w:tcPr>
            <w:tcW w:w="2397" w:type="dxa"/>
            <w:vAlign w:val="center"/>
          </w:tcPr>
          <w:p w:rsidR="000F062A" w:rsidRDefault="00215573">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0F062A" w:rsidRDefault="00215573">
            <w:pPr>
              <w:jc w:val="center"/>
            </w:pPr>
            <w:r>
              <w:rPr>
                <w:rFonts w:eastAsiaTheme="minorEastAsia"/>
                <w:color w:val="000000" w:themeColor="text1"/>
                <w:szCs w:val="21"/>
              </w:rPr>
              <w:t>10,486,860.52</w:t>
            </w:r>
          </w:p>
        </w:tc>
        <w:tc>
          <w:tcPr>
            <w:tcW w:w="3118" w:type="dxa"/>
            <w:vAlign w:val="center"/>
          </w:tcPr>
          <w:p w:rsidR="000F062A" w:rsidRDefault="00215573">
            <w:pPr>
              <w:jc w:val="center"/>
            </w:pPr>
            <w:r>
              <w:rPr>
                <w:rFonts w:eastAsiaTheme="minorEastAsia"/>
                <w:color w:val="000000" w:themeColor="text1"/>
                <w:szCs w:val="21"/>
              </w:rPr>
              <w:t>4.57</w:t>
            </w:r>
          </w:p>
        </w:tc>
      </w:tr>
      <w:tr w:rsidR="000F062A">
        <w:trPr>
          <w:jc w:val="center"/>
        </w:trPr>
        <w:tc>
          <w:tcPr>
            <w:tcW w:w="2397" w:type="dxa"/>
            <w:vAlign w:val="center"/>
          </w:tcPr>
          <w:p w:rsidR="000F062A" w:rsidRDefault="00215573">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0F062A" w:rsidRDefault="00215573">
            <w:pPr>
              <w:jc w:val="center"/>
            </w:pPr>
            <w:r>
              <w:rPr>
                <w:rFonts w:eastAsiaTheme="minorEastAsia"/>
                <w:color w:val="000000" w:themeColor="text1"/>
                <w:szCs w:val="21"/>
              </w:rPr>
              <w:t>-</w:t>
            </w:r>
          </w:p>
        </w:tc>
        <w:tc>
          <w:tcPr>
            <w:tcW w:w="3118" w:type="dxa"/>
            <w:vAlign w:val="center"/>
          </w:tcPr>
          <w:p w:rsidR="000F062A" w:rsidRDefault="00215573">
            <w:pPr>
              <w:jc w:val="center"/>
            </w:pPr>
            <w:r>
              <w:rPr>
                <w:rFonts w:eastAsiaTheme="minorEastAsia"/>
                <w:color w:val="000000" w:themeColor="text1"/>
                <w:szCs w:val="21"/>
              </w:rPr>
              <w:t>-</w:t>
            </w:r>
          </w:p>
        </w:tc>
      </w:tr>
      <w:tr w:rsidR="000F062A">
        <w:trPr>
          <w:jc w:val="center"/>
        </w:trPr>
        <w:tc>
          <w:tcPr>
            <w:tcW w:w="2397" w:type="dxa"/>
            <w:vAlign w:val="center"/>
          </w:tcPr>
          <w:p w:rsidR="000F062A" w:rsidRDefault="00215573">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0F062A" w:rsidRDefault="00215573">
            <w:pPr>
              <w:jc w:val="center"/>
            </w:pPr>
            <w:r>
              <w:rPr>
                <w:rFonts w:eastAsiaTheme="minorEastAsia"/>
                <w:color w:val="000000" w:themeColor="text1"/>
                <w:szCs w:val="21"/>
              </w:rPr>
              <w:t>-</w:t>
            </w:r>
          </w:p>
        </w:tc>
        <w:tc>
          <w:tcPr>
            <w:tcW w:w="3118" w:type="dxa"/>
            <w:vAlign w:val="center"/>
          </w:tcPr>
          <w:p w:rsidR="000F062A" w:rsidRDefault="00215573">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18,898,262.92</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8.24</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0F062A">
        <w:tc>
          <w:tcPr>
            <w:tcW w:w="817" w:type="dxa"/>
            <w:vAlign w:val="center"/>
          </w:tcPr>
          <w:p w:rsidR="000F062A" w:rsidRDefault="00215573">
            <w:pPr>
              <w:jc w:val="center"/>
            </w:pPr>
            <w:r>
              <w:rPr>
                <w:rFonts w:eastAsiaTheme="minorEastAsia"/>
                <w:kern w:val="0"/>
                <w:szCs w:val="21"/>
              </w:rPr>
              <w:t>1</w:t>
            </w:r>
          </w:p>
        </w:tc>
        <w:tc>
          <w:tcPr>
            <w:tcW w:w="1276" w:type="dxa"/>
            <w:vAlign w:val="center"/>
          </w:tcPr>
          <w:p w:rsidR="000F062A" w:rsidRDefault="00215573">
            <w:pPr>
              <w:jc w:val="center"/>
            </w:pPr>
            <w:r>
              <w:rPr>
                <w:rFonts w:eastAsiaTheme="minorEastAsia"/>
                <w:kern w:val="0"/>
                <w:szCs w:val="21"/>
              </w:rPr>
              <w:t>300308</w:t>
            </w:r>
          </w:p>
        </w:tc>
        <w:tc>
          <w:tcPr>
            <w:tcW w:w="1701" w:type="dxa"/>
            <w:vAlign w:val="center"/>
          </w:tcPr>
          <w:p w:rsidR="000F062A" w:rsidRDefault="00215573">
            <w:pPr>
              <w:jc w:val="center"/>
            </w:pPr>
            <w:r>
              <w:rPr>
                <w:rFonts w:eastAsiaTheme="minorEastAsia"/>
                <w:kern w:val="0"/>
                <w:szCs w:val="21"/>
              </w:rPr>
              <w:t>中际旭创</w:t>
            </w:r>
          </w:p>
        </w:tc>
        <w:tc>
          <w:tcPr>
            <w:tcW w:w="1276" w:type="dxa"/>
            <w:vAlign w:val="center"/>
          </w:tcPr>
          <w:p w:rsidR="000F062A" w:rsidRDefault="00215573">
            <w:pPr>
              <w:jc w:val="right"/>
            </w:pPr>
            <w:r>
              <w:rPr>
                <w:rFonts w:eastAsiaTheme="minorEastAsia"/>
                <w:kern w:val="0"/>
                <w:szCs w:val="21"/>
              </w:rPr>
              <w:t>140,900.00</w:t>
            </w:r>
          </w:p>
        </w:tc>
        <w:tc>
          <w:tcPr>
            <w:tcW w:w="1842" w:type="dxa"/>
            <w:vAlign w:val="center"/>
          </w:tcPr>
          <w:p w:rsidR="000F062A" w:rsidRDefault="00215573">
            <w:pPr>
              <w:jc w:val="right"/>
            </w:pPr>
            <w:r>
              <w:rPr>
                <w:rFonts w:eastAsiaTheme="minorEastAsia"/>
                <w:kern w:val="0"/>
                <w:szCs w:val="21"/>
              </w:rPr>
              <w:t>20,775,705.00</w:t>
            </w:r>
          </w:p>
        </w:tc>
        <w:tc>
          <w:tcPr>
            <w:tcW w:w="1616" w:type="dxa"/>
            <w:vAlign w:val="center"/>
          </w:tcPr>
          <w:p w:rsidR="000F062A" w:rsidRDefault="00215573">
            <w:pPr>
              <w:jc w:val="right"/>
            </w:pPr>
            <w:r>
              <w:rPr>
                <w:rFonts w:eastAsiaTheme="minorEastAsia"/>
                <w:kern w:val="0"/>
                <w:szCs w:val="21"/>
              </w:rPr>
              <w:t>9.06</w:t>
            </w:r>
          </w:p>
        </w:tc>
      </w:tr>
      <w:tr w:rsidR="000F062A">
        <w:tc>
          <w:tcPr>
            <w:tcW w:w="817" w:type="dxa"/>
            <w:vAlign w:val="center"/>
          </w:tcPr>
          <w:p w:rsidR="000F062A" w:rsidRDefault="00215573">
            <w:pPr>
              <w:jc w:val="center"/>
            </w:pPr>
            <w:r>
              <w:rPr>
                <w:rFonts w:eastAsiaTheme="minorEastAsia"/>
                <w:kern w:val="0"/>
                <w:szCs w:val="21"/>
              </w:rPr>
              <w:t>2</w:t>
            </w:r>
          </w:p>
        </w:tc>
        <w:tc>
          <w:tcPr>
            <w:tcW w:w="1276" w:type="dxa"/>
            <w:vAlign w:val="center"/>
          </w:tcPr>
          <w:p w:rsidR="000F062A" w:rsidRDefault="00215573">
            <w:pPr>
              <w:jc w:val="center"/>
            </w:pPr>
            <w:r>
              <w:rPr>
                <w:rFonts w:eastAsiaTheme="minorEastAsia"/>
                <w:kern w:val="0"/>
                <w:szCs w:val="21"/>
              </w:rPr>
              <w:t>300502</w:t>
            </w:r>
          </w:p>
        </w:tc>
        <w:tc>
          <w:tcPr>
            <w:tcW w:w="1701" w:type="dxa"/>
            <w:vAlign w:val="center"/>
          </w:tcPr>
          <w:p w:rsidR="000F062A" w:rsidRDefault="00215573">
            <w:pPr>
              <w:jc w:val="center"/>
            </w:pPr>
            <w:r>
              <w:rPr>
                <w:rFonts w:eastAsiaTheme="minorEastAsia"/>
                <w:kern w:val="0"/>
                <w:szCs w:val="21"/>
              </w:rPr>
              <w:t>新易盛</w:t>
            </w:r>
          </w:p>
        </w:tc>
        <w:tc>
          <w:tcPr>
            <w:tcW w:w="1276" w:type="dxa"/>
            <w:vAlign w:val="center"/>
          </w:tcPr>
          <w:p w:rsidR="000F062A" w:rsidRDefault="00215573">
            <w:pPr>
              <w:jc w:val="right"/>
            </w:pPr>
            <w:r>
              <w:rPr>
                <w:rFonts w:eastAsiaTheme="minorEastAsia"/>
                <w:kern w:val="0"/>
                <w:szCs w:val="21"/>
              </w:rPr>
              <w:t>195,560.00</w:t>
            </w:r>
          </w:p>
        </w:tc>
        <w:tc>
          <w:tcPr>
            <w:tcW w:w="1842" w:type="dxa"/>
            <w:vAlign w:val="center"/>
          </w:tcPr>
          <w:p w:rsidR="000F062A" w:rsidRDefault="00215573">
            <w:pPr>
              <w:jc w:val="right"/>
            </w:pPr>
            <w:r>
              <w:rPr>
                <w:rFonts w:eastAsiaTheme="minorEastAsia"/>
                <w:kern w:val="0"/>
                <w:szCs w:val="21"/>
              </w:rPr>
              <w:t>13,292,213.20</w:t>
            </w:r>
          </w:p>
        </w:tc>
        <w:tc>
          <w:tcPr>
            <w:tcW w:w="1616" w:type="dxa"/>
            <w:vAlign w:val="center"/>
          </w:tcPr>
          <w:p w:rsidR="000F062A" w:rsidRDefault="00215573">
            <w:pPr>
              <w:jc w:val="right"/>
            </w:pPr>
            <w:r>
              <w:rPr>
                <w:rFonts w:eastAsiaTheme="minorEastAsia"/>
                <w:kern w:val="0"/>
                <w:szCs w:val="21"/>
              </w:rPr>
              <w:t>5.80</w:t>
            </w:r>
          </w:p>
        </w:tc>
      </w:tr>
      <w:tr w:rsidR="000F062A">
        <w:tc>
          <w:tcPr>
            <w:tcW w:w="817" w:type="dxa"/>
            <w:vAlign w:val="center"/>
          </w:tcPr>
          <w:p w:rsidR="000F062A" w:rsidRDefault="00215573">
            <w:pPr>
              <w:jc w:val="center"/>
            </w:pPr>
            <w:r>
              <w:rPr>
                <w:rFonts w:eastAsiaTheme="minorEastAsia"/>
                <w:kern w:val="0"/>
                <w:szCs w:val="21"/>
              </w:rPr>
              <w:t>3</w:t>
            </w:r>
          </w:p>
        </w:tc>
        <w:tc>
          <w:tcPr>
            <w:tcW w:w="1276" w:type="dxa"/>
            <w:vAlign w:val="center"/>
          </w:tcPr>
          <w:p w:rsidR="000F062A" w:rsidRDefault="00215573">
            <w:pPr>
              <w:jc w:val="center"/>
            </w:pPr>
            <w:r>
              <w:rPr>
                <w:rFonts w:eastAsiaTheme="minorEastAsia"/>
                <w:kern w:val="0"/>
                <w:szCs w:val="21"/>
              </w:rPr>
              <w:t>688169</w:t>
            </w:r>
          </w:p>
        </w:tc>
        <w:tc>
          <w:tcPr>
            <w:tcW w:w="1701" w:type="dxa"/>
            <w:vAlign w:val="center"/>
          </w:tcPr>
          <w:p w:rsidR="000F062A" w:rsidRDefault="00215573">
            <w:pPr>
              <w:jc w:val="center"/>
            </w:pPr>
            <w:r>
              <w:rPr>
                <w:rFonts w:eastAsiaTheme="minorEastAsia"/>
                <w:kern w:val="0"/>
                <w:szCs w:val="21"/>
              </w:rPr>
              <w:t>石头科技</w:t>
            </w:r>
          </w:p>
        </w:tc>
        <w:tc>
          <w:tcPr>
            <w:tcW w:w="1276" w:type="dxa"/>
            <w:vAlign w:val="center"/>
          </w:tcPr>
          <w:p w:rsidR="000F062A" w:rsidRDefault="00215573">
            <w:pPr>
              <w:jc w:val="right"/>
            </w:pPr>
            <w:r>
              <w:rPr>
                <w:rFonts w:eastAsiaTheme="minorEastAsia"/>
                <w:kern w:val="0"/>
                <w:szCs w:val="21"/>
              </w:rPr>
              <w:t>39,653.00</w:t>
            </w:r>
          </w:p>
        </w:tc>
        <w:tc>
          <w:tcPr>
            <w:tcW w:w="1842" w:type="dxa"/>
            <w:vAlign w:val="center"/>
          </w:tcPr>
          <w:p w:rsidR="000F062A" w:rsidRDefault="00215573">
            <w:pPr>
              <w:jc w:val="right"/>
            </w:pPr>
            <w:r>
              <w:rPr>
                <w:rFonts w:eastAsiaTheme="minorEastAsia"/>
                <w:kern w:val="0"/>
                <w:szCs w:val="21"/>
              </w:rPr>
              <w:t>12,715,924.04</w:t>
            </w:r>
          </w:p>
        </w:tc>
        <w:tc>
          <w:tcPr>
            <w:tcW w:w="1616" w:type="dxa"/>
            <w:vAlign w:val="center"/>
          </w:tcPr>
          <w:p w:rsidR="000F062A" w:rsidRDefault="00215573">
            <w:pPr>
              <w:jc w:val="right"/>
            </w:pPr>
            <w:r>
              <w:rPr>
                <w:rFonts w:eastAsiaTheme="minorEastAsia"/>
                <w:kern w:val="0"/>
                <w:szCs w:val="21"/>
              </w:rPr>
              <w:t>5.55</w:t>
            </w:r>
          </w:p>
        </w:tc>
      </w:tr>
      <w:tr w:rsidR="000F062A">
        <w:tc>
          <w:tcPr>
            <w:tcW w:w="817" w:type="dxa"/>
            <w:vAlign w:val="center"/>
          </w:tcPr>
          <w:p w:rsidR="000F062A" w:rsidRDefault="00215573">
            <w:pPr>
              <w:jc w:val="center"/>
            </w:pPr>
            <w:r>
              <w:rPr>
                <w:rFonts w:eastAsiaTheme="minorEastAsia"/>
                <w:kern w:val="0"/>
                <w:szCs w:val="21"/>
              </w:rPr>
              <w:t>4</w:t>
            </w:r>
          </w:p>
        </w:tc>
        <w:tc>
          <w:tcPr>
            <w:tcW w:w="1276" w:type="dxa"/>
            <w:vAlign w:val="center"/>
          </w:tcPr>
          <w:p w:rsidR="000F062A" w:rsidRDefault="00215573">
            <w:pPr>
              <w:jc w:val="center"/>
            </w:pPr>
            <w:r>
              <w:rPr>
                <w:rFonts w:eastAsiaTheme="minorEastAsia"/>
                <w:kern w:val="0"/>
                <w:szCs w:val="21"/>
              </w:rPr>
              <w:t>603444</w:t>
            </w:r>
          </w:p>
        </w:tc>
        <w:tc>
          <w:tcPr>
            <w:tcW w:w="1701" w:type="dxa"/>
            <w:vAlign w:val="center"/>
          </w:tcPr>
          <w:p w:rsidR="000F062A" w:rsidRDefault="00215573">
            <w:pPr>
              <w:jc w:val="center"/>
            </w:pPr>
            <w:r>
              <w:rPr>
                <w:rFonts w:eastAsiaTheme="minorEastAsia"/>
                <w:kern w:val="0"/>
                <w:szCs w:val="21"/>
              </w:rPr>
              <w:t>吉比特</w:t>
            </w:r>
          </w:p>
        </w:tc>
        <w:tc>
          <w:tcPr>
            <w:tcW w:w="1276" w:type="dxa"/>
            <w:vAlign w:val="center"/>
          </w:tcPr>
          <w:p w:rsidR="000F062A" w:rsidRDefault="00215573">
            <w:pPr>
              <w:jc w:val="right"/>
            </w:pPr>
            <w:r>
              <w:rPr>
                <w:rFonts w:eastAsiaTheme="minorEastAsia"/>
                <w:kern w:val="0"/>
                <w:szCs w:val="21"/>
              </w:rPr>
              <w:t>17,500.00</w:t>
            </w:r>
          </w:p>
        </w:tc>
        <w:tc>
          <w:tcPr>
            <w:tcW w:w="1842" w:type="dxa"/>
            <w:vAlign w:val="center"/>
          </w:tcPr>
          <w:p w:rsidR="000F062A" w:rsidRDefault="00215573">
            <w:pPr>
              <w:jc w:val="right"/>
            </w:pPr>
            <w:r>
              <w:rPr>
                <w:rFonts w:eastAsiaTheme="minorEastAsia"/>
                <w:kern w:val="0"/>
                <w:szCs w:val="21"/>
              </w:rPr>
              <w:t>8,594,425.00</w:t>
            </w:r>
          </w:p>
        </w:tc>
        <w:tc>
          <w:tcPr>
            <w:tcW w:w="1616" w:type="dxa"/>
            <w:vAlign w:val="center"/>
          </w:tcPr>
          <w:p w:rsidR="000F062A" w:rsidRDefault="00215573">
            <w:pPr>
              <w:jc w:val="right"/>
            </w:pPr>
            <w:r>
              <w:rPr>
                <w:rFonts w:eastAsiaTheme="minorEastAsia"/>
                <w:kern w:val="0"/>
                <w:szCs w:val="21"/>
              </w:rPr>
              <w:t>3.75</w:t>
            </w:r>
          </w:p>
        </w:tc>
      </w:tr>
      <w:tr w:rsidR="000F062A">
        <w:tc>
          <w:tcPr>
            <w:tcW w:w="817" w:type="dxa"/>
            <w:vAlign w:val="center"/>
          </w:tcPr>
          <w:p w:rsidR="000F062A" w:rsidRDefault="00215573">
            <w:pPr>
              <w:jc w:val="center"/>
            </w:pPr>
            <w:r>
              <w:rPr>
                <w:rFonts w:eastAsiaTheme="minorEastAsia"/>
                <w:kern w:val="0"/>
                <w:szCs w:val="21"/>
              </w:rPr>
              <w:t>5</w:t>
            </w:r>
          </w:p>
        </w:tc>
        <w:tc>
          <w:tcPr>
            <w:tcW w:w="1276" w:type="dxa"/>
            <w:vAlign w:val="center"/>
          </w:tcPr>
          <w:p w:rsidR="000F062A" w:rsidRDefault="00215573">
            <w:pPr>
              <w:jc w:val="center"/>
            </w:pPr>
            <w:r>
              <w:rPr>
                <w:rFonts w:eastAsiaTheme="minorEastAsia"/>
                <w:kern w:val="0"/>
                <w:szCs w:val="21"/>
              </w:rPr>
              <w:t>688111</w:t>
            </w:r>
          </w:p>
        </w:tc>
        <w:tc>
          <w:tcPr>
            <w:tcW w:w="1701" w:type="dxa"/>
            <w:vAlign w:val="center"/>
          </w:tcPr>
          <w:p w:rsidR="000F062A" w:rsidRDefault="00215573">
            <w:pPr>
              <w:jc w:val="center"/>
            </w:pPr>
            <w:r>
              <w:rPr>
                <w:rFonts w:eastAsiaTheme="minorEastAsia"/>
                <w:kern w:val="0"/>
                <w:szCs w:val="21"/>
              </w:rPr>
              <w:t>金山办公</w:t>
            </w:r>
          </w:p>
        </w:tc>
        <w:tc>
          <w:tcPr>
            <w:tcW w:w="1276" w:type="dxa"/>
            <w:vAlign w:val="center"/>
          </w:tcPr>
          <w:p w:rsidR="000F062A" w:rsidRDefault="00215573">
            <w:pPr>
              <w:jc w:val="right"/>
            </w:pPr>
            <w:r>
              <w:rPr>
                <w:rFonts w:eastAsiaTheme="minorEastAsia"/>
                <w:kern w:val="0"/>
                <w:szCs w:val="21"/>
              </w:rPr>
              <w:t>17,507.00</w:t>
            </w:r>
          </w:p>
        </w:tc>
        <w:tc>
          <w:tcPr>
            <w:tcW w:w="1842" w:type="dxa"/>
            <w:vAlign w:val="center"/>
          </w:tcPr>
          <w:p w:rsidR="000F062A" w:rsidRDefault="00215573">
            <w:pPr>
              <w:jc w:val="right"/>
            </w:pPr>
            <w:r>
              <w:rPr>
                <w:rFonts w:eastAsiaTheme="minorEastAsia"/>
                <w:kern w:val="0"/>
                <w:szCs w:val="21"/>
              </w:rPr>
              <w:t>8,267,155.54</w:t>
            </w:r>
          </w:p>
        </w:tc>
        <w:tc>
          <w:tcPr>
            <w:tcW w:w="1616" w:type="dxa"/>
            <w:vAlign w:val="center"/>
          </w:tcPr>
          <w:p w:rsidR="000F062A" w:rsidRDefault="00215573">
            <w:pPr>
              <w:jc w:val="right"/>
            </w:pPr>
            <w:r>
              <w:rPr>
                <w:rFonts w:eastAsiaTheme="minorEastAsia"/>
                <w:kern w:val="0"/>
                <w:szCs w:val="21"/>
              </w:rPr>
              <w:t>3.61</w:t>
            </w:r>
          </w:p>
        </w:tc>
      </w:tr>
      <w:tr w:rsidR="000F062A">
        <w:tc>
          <w:tcPr>
            <w:tcW w:w="817" w:type="dxa"/>
            <w:vAlign w:val="center"/>
          </w:tcPr>
          <w:p w:rsidR="000F062A" w:rsidRDefault="00215573">
            <w:pPr>
              <w:jc w:val="center"/>
            </w:pPr>
            <w:r>
              <w:rPr>
                <w:rFonts w:eastAsiaTheme="minorEastAsia"/>
                <w:kern w:val="0"/>
                <w:szCs w:val="21"/>
              </w:rPr>
              <w:t>6</w:t>
            </w:r>
          </w:p>
        </w:tc>
        <w:tc>
          <w:tcPr>
            <w:tcW w:w="1276" w:type="dxa"/>
            <w:vAlign w:val="center"/>
          </w:tcPr>
          <w:p w:rsidR="000F062A" w:rsidRDefault="00215573">
            <w:pPr>
              <w:jc w:val="center"/>
            </w:pPr>
            <w:r>
              <w:rPr>
                <w:rFonts w:eastAsiaTheme="minorEastAsia"/>
                <w:kern w:val="0"/>
                <w:szCs w:val="21"/>
              </w:rPr>
              <w:t>002555</w:t>
            </w:r>
          </w:p>
        </w:tc>
        <w:tc>
          <w:tcPr>
            <w:tcW w:w="1701" w:type="dxa"/>
            <w:vAlign w:val="center"/>
          </w:tcPr>
          <w:p w:rsidR="000F062A" w:rsidRDefault="00215573">
            <w:pPr>
              <w:jc w:val="center"/>
            </w:pPr>
            <w:r>
              <w:rPr>
                <w:rFonts w:eastAsiaTheme="minorEastAsia"/>
                <w:kern w:val="0"/>
                <w:szCs w:val="21"/>
              </w:rPr>
              <w:t>三七互娱</w:t>
            </w:r>
          </w:p>
        </w:tc>
        <w:tc>
          <w:tcPr>
            <w:tcW w:w="1276" w:type="dxa"/>
            <w:vAlign w:val="center"/>
          </w:tcPr>
          <w:p w:rsidR="000F062A" w:rsidRDefault="00215573">
            <w:pPr>
              <w:jc w:val="right"/>
            </w:pPr>
            <w:r>
              <w:rPr>
                <w:rFonts w:eastAsiaTheme="minorEastAsia"/>
                <w:kern w:val="0"/>
                <w:szCs w:val="21"/>
              </w:rPr>
              <w:t>212,627.00</w:t>
            </w:r>
          </w:p>
        </w:tc>
        <w:tc>
          <w:tcPr>
            <w:tcW w:w="1842" w:type="dxa"/>
            <w:vAlign w:val="center"/>
          </w:tcPr>
          <w:p w:rsidR="000F062A" w:rsidRDefault="00215573">
            <w:pPr>
              <w:jc w:val="right"/>
            </w:pPr>
            <w:r>
              <w:rPr>
                <w:rFonts w:eastAsiaTheme="minorEastAsia"/>
                <w:kern w:val="0"/>
                <w:szCs w:val="21"/>
              </w:rPr>
              <w:t>7,416,429.76</w:t>
            </w:r>
          </w:p>
        </w:tc>
        <w:tc>
          <w:tcPr>
            <w:tcW w:w="1616" w:type="dxa"/>
            <w:vAlign w:val="center"/>
          </w:tcPr>
          <w:p w:rsidR="000F062A" w:rsidRDefault="00215573">
            <w:pPr>
              <w:jc w:val="right"/>
            </w:pPr>
            <w:r>
              <w:rPr>
                <w:rFonts w:eastAsiaTheme="minorEastAsia"/>
                <w:kern w:val="0"/>
                <w:szCs w:val="21"/>
              </w:rPr>
              <w:t>3.23</w:t>
            </w:r>
          </w:p>
        </w:tc>
      </w:tr>
      <w:tr w:rsidR="000F062A">
        <w:tc>
          <w:tcPr>
            <w:tcW w:w="817" w:type="dxa"/>
            <w:vAlign w:val="center"/>
          </w:tcPr>
          <w:p w:rsidR="000F062A" w:rsidRDefault="00215573">
            <w:pPr>
              <w:jc w:val="center"/>
            </w:pPr>
            <w:r>
              <w:rPr>
                <w:rFonts w:eastAsiaTheme="minorEastAsia"/>
                <w:kern w:val="0"/>
                <w:szCs w:val="21"/>
              </w:rPr>
              <w:t>7</w:t>
            </w:r>
          </w:p>
        </w:tc>
        <w:tc>
          <w:tcPr>
            <w:tcW w:w="1276" w:type="dxa"/>
            <w:vAlign w:val="center"/>
          </w:tcPr>
          <w:p w:rsidR="000F062A" w:rsidRDefault="00215573">
            <w:pPr>
              <w:jc w:val="center"/>
            </w:pPr>
            <w:r>
              <w:rPr>
                <w:rFonts w:eastAsiaTheme="minorEastAsia"/>
                <w:kern w:val="0"/>
                <w:szCs w:val="21"/>
              </w:rPr>
              <w:t>00700</w:t>
            </w:r>
          </w:p>
        </w:tc>
        <w:tc>
          <w:tcPr>
            <w:tcW w:w="1701" w:type="dxa"/>
            <w:vAlign w:val="center"/>
          </w:tcPr>
          <w:p w:rsidR="000F062A" w:rsidRDefault="00215573">
            <w:pPr>
              <w:jc w:val="center"/>
            </w:pPr>
            <w:r>
              <w:rPr>
                <w:rFonts w:eastAsiaTheme="minorEastAsia"/>
                <w:kern w:val="0"/>
                <w:szCs w:val="21"/>
              </w:rPr>
              <w:t>腾讯控股</w:t>
            </w:r>
          </w:p>
        </w:tc>
        <w:tc>
          <w:tcPr>
            <w:tcW w:w="1276" w:type="dxa"/>
            <w:vAlign w:val="center"/>
          </w:tcPr>
          <w:p w:rsidR="000F062A" w:rsidRDefault="00215573">
            <w:pPr>
              <w:jc w:val="right"/>
            </w:pPr>
            <w:r>
              <w:rPr>
                <w:rFonts w:eastAsiaTheme="minorEastAsia"/>
                <w:kern w:val="0"/>
                <w:szCs w:val="21"/>
              </w:rPr>
              <w:t>22,800.00</w:t>
            </w:r>
          </w:p>
        </w:tc>
        <w:tc>
          <w:tcPr>
            <w:tcW w:w="1842" w:type="dxa"/>
            <w:vAlign w:val="center"/>
          </w:tcPr>
          <w:p w:rsidR="000F062A" w:rsidRDefault="00215573">
            <w:pPr>
              <w:jc w:val="right"/>
            </w:pPr>
            <w:r>
              <w:rPr>
                <w:rFonts w:eastAsiaTheme="minorEastAsia"/>
                <w:kern w:val="0"/>
                <w:szCs w:val="21"/>
              </w:rPr>
              <w:t>6,970,611.35</w:t>
            </w:r>
          </w:p>
        </w:tc>
        <w:tc>
          <w:tcPr>
            <w:tcW w:w="1616" w:type="dxa"/>
            <w:vAlign w:val="center"/>
          </w:tcPr>
          <w:p w:rsidR="000F062A" w:rsidRDefault="00215573">
            <w:pPr>
              <w:jc w:val="right"/>
            </w:pPr>
            <w:r>
              <w:rPr>
                <w:rFonts w:eastAsiaTheme="minorEastAsia"/>
                <w:kern w:val="0"/>
                <w:szCs w:val="21"/>
              </w:rPr>
              <w:t>3.04</w:t>
            </w:r>
          </w:p>
        </w:tc>
      </w:tr>
      <w:tr w:rsidR="000F062A">
        <w:tc>
          <w:tcPr>
            <w:tcW w:w="817" w:type="dxa"/>
            <w:vAlign w:val="center"/>
          </w:tcPr>
          <w:p w:rsidR="000F062A" w:rsidRDefault="00215573">
            <w:pPr>
              <w:jc w:val="center"/>
            </w:pPr>
            <w:r>
              <w:rPr>
                <w:rFonts w:eastAsiaTheme="minorEastAsia"/>
                <w:kern w:val="0"/>
                <w:szCs w:val="21"/>
              </w:rPr>
              <w:t>8</w:t>
            </w:r>
          </w:p>
        </w:tc>
        <w:tc>
          <w:tcPr>
            <w:tcW w:w="1276" w:type="dxa"/>
            <w:vAlign w:val="center"/>
          </w:tcPr>
          <w:p w:rsidR="000F062A" w:rsidRDefault="00215573">
            <w:pPr>
              <w:jc w:val="center"/>
            </w:pPr>
            <w:r>
              <w:rPr>
                <w:rFonts w:eastAsiaTheme="minorEastAsia"/>
                <w:kern w:val="0"/>
                <w:szCs w:val="21"/>
              </w:rPr>
              <w:t>000032</w:t>
            </w:r>
          </w:p>
        </w:tc>
        <w:tc>
          <w:tcPr>
            <w:tcW w:w="1701" w:type="dxa"/>
            <w:vAlign w:val="center"/>
          </w:tcPr>
          <w:p w:rsidR="000F062A" w:rsidRDefault="00215573">
            <w:pPr>
              <w:jc w:val="center"/>
            </w:pPr>
            <w:r>
              <w:rPr>
                <w:rFonts w:eastAsiaTheme="minorEastAsia"/>
                <w:kern w:val="0"/>
                <w:szCs w:val="21"/>
              </w:rPr>
              <w:t>深桑达Ａ</w:t>
            </w:r>
          </w:p>
        </w:tc>
        <w:tc>
          <w:tcPr>
            <w:tcW w:w="1276" w:type="dxa"/>
            <w:vAlign w:val="center"/>
          </w:tcPr>
          <w:p w:rsidR="000F062A" w:rsidRDefault="00215573">
            <w:pPr>
              <w:jc w:val="right"/>
            </w:pPr>
            <w:r>
              <w:rPr>
                <w:rFonts w:eastAsiaTheme="minorEastAsia"/>
                <w:kern w:val="0"/>
                <w:szCs w:val="21"/>
              </w:rPr>
              <w:t>210,947.00</w:t>
            </w:r>
          </w:p>
        </w:tc>
        <w:tc>
          <w:tcPr>
            <w:tcW w:w="1842" w:type="dxa"/>
            <w:vAlign w:val="center"/>
          </w:tcPr>
          <w:p w:rsidR="000F062A" w:rsidRDefault="00215573">
            <w:pPr>
              <w:jc w:val="right"/>
            </w:pPr>
            <w:r>
              <w:rPr>
                <w:rFonts w:eastAsiaTheme="minorEastAsia"/>
                <w:kern w:val="0"/>
                <w:szCs w:val="21"/>
              </w:rPr>
              <w:t>6,940,156.30</w:t>
            </w:r>
          </w:p>
        </w:tc>
        <w:tc>
          <w:tcPr>
            <w:tcW w:w="1616" w:type="dxa"/>
            <w:vAlign w:val="center"/>
          </w:tcPr>
          <w:p w:rsidR="000F062A" w:rsidRDefault="00215573">
            <w:pPr>
              <w:jc w:val="right"/>
            </w:pPr>
            <w:r>
              <w:rPr>
                <w:rFonts w:eastAsiaTheme="minorEastAsia"/>
                <w:kern w:val="0"/>
                <w:szCs w:val="21"/>
              </w:rPr>
              <w:t>3.03</w:t>
            </w:r>
          </w:p>
        </w:tc>
      </w:tr>
      <w:tr w:rsidR="000F062A">
        <w:tc>
          <w:tcPr>
            <w:tcW w:w="817" w:type="dxa"/>
            <w:vAlign w:val="center"/>
          </w:tcPr>
          <w:p w:rsidR="000F062A" w:rsidRDefault="00215573">
            <w:pPr>
              <w:jc w:val="center"/>
            </w:pPr>
            <w:r>
              <w:rPr>
                <w:rFonts w:eastAsiaTheme="minorEastAsia"/>
                <w:kern w:val="0"/>
                <w:szCs w:val="21"/>
              </w:rPr>
              <w:t>9</w:t>
            </w:r>
          </w:p>
        </w:tc>
        <w:tc>
          <w:tcPr>
            <w:tcW w:w="1276" w:type="dxa"/>
            <w:vAlign w:val="center"/>
          </w:tcPr>
          <w:p w:rsidR="000F062A" w:rsidRDefault="00215573">
            <w:pPr>
              <w:jc w:val="center"/>
            </w:pPr>
            <w:r>
              <w:rPr>
                <w:rFonts w:eastAsiaTheme="minorEastAsia"/>
                <w:kern w:val="0"/>
                <w:szCs w:val="21"/>
              </w:rPr>
              <w:t>002517</w:t>
            </w:r>
          </w:p>
        </w:tc>
        <w:tc>
          <w:tcPr>
            <w:tcW w:w="1701" w:type="dxa"/>
            <w:vAlign w:val="center"/>
          </w:tcPr>
          <w:p w:rsidR="000F062A" w:rsidRDefault="00215573">
            <w:pPr>
              <w:jc w:val="center"/>
            </w:pPr>
            <w:r>
              <w:rPr>
                <w:rFonts w:eastAsiaTheme="minorEastAsia"/>
                <w:kern w:val="0"/>
                <w:szCs w:val="21"/>
              </w:rPr>
              <w:t>恺英网络</w:t>
            </w:r>
          </w:p>
        </w:tc>
        <w:tc>
          <w:tcPr>
            <w:tcW w:w="1276" w:type="dxa"/>
            <w:vAlign w:val="center"/>
          </w:tcPr>
          <w:p w:rsidR="000F062A" w:rsidRDefault="00215573">
            <w:pPr>
              <w:jc w:val="right"/>
            </w:pPr>
            <w:r>
              <w:rPr>
                <w:rFonts w:eastAsiaTheme="minorEastAsia"/>
                <w:kern w:val="0"/>
                <w:szCs w:val="21"/>
              </w:rPr>
              <w:t>407,900.00</w:t>
            </w:r>
          </w:p>
        </w:tc>
        <w:tc>
          <w:tcPr>
            <w:tcW w:w="1842" w:type="dxa"/>
            <w:vAlign w:val="center"/>
          </w:tcPr>
          <w:p w:rsidR="000F062A" w:rsidRDefault="00215573">
            <w:pPr>
              <w:jc w:val="right"/>
            </w:pPr>
            <w:r>
              <w:rPr>
                <w:rFonts w:eastAsiaTheme="minorEastAsia"/>
                <w:kern w:val="0"/>
                <w:szCs w:val="21"/>
              </w:rPr>
              <w:t>6,420,346.00</w:t>
            </w:r>
          </w:p>
        </w:tc>
        <w:tc>
          <w:tcPr>
            <w:tcW w:w="1616" w:type="dxa"/>
            <w:vAlign w:val="center"/>
          </w:tcPr>
          <w:p w:rsidR="000F062A" w:rsidRDefault="00215573">
            <w:pPr>
              <w:jc w:val="right"/>
            </w:pPr>
            <w:r>
              <w:rPr>
                <w:rFonts w:eastAsiaTheme="minorEastAsia"/>
                <w:kern w:val="0"/>
                <w:szCs w:val="21"/>
              </w:rPr>
              <w:t>2.80</w:t>
            </w:r>
          </w:p>
        </w:tc>
      </w:tr>
      <w:tr w:rsidR="000F062A">
        <w:tc>
          <w:tcPr>
            <w:tcW w:w="817" w:type="dxa"/>
            <w:vAlign w:val="center"/>
          </w:tcPr>
          <w:p w:rsidR="000F062A" w:rsidRDefault="00215573">
            <w:pPr>
              <w:jc w:val="center"/>
            </w:pPr>
            <w:r>
              <w:rPr>
                <w:rFonts w:eastAsiaTheme="minorEastAsia"/>
                <w:kern w:val="0"/>
                <w:szCs w:val="21"/>
              </w:rPr>
              <w:t>10</w:t>
            </w:r>
          </w:p>
        </w:tc>
        <w:tc>
          <w:tcPr>
            <w:tcW w:w="1276" w:type="dxa"/>
            <w:vAlign w:val="center"/>
          </w:tcPr>
          <w:p w:rsidR="000F062A" w:rsidRDefault="00215573">
            <w:pPr>
              <w:jc w:val="center"/>
            </w:pPr>
            <w:r>
              <w:rPr>
                <w:rFonts w:eastAsiaTheme="minorEastAsia"/>
                <w:kern w:val="0"/>
                <w:szCs w:val="21"/>
              </w:rPr>
              <w:t>002558</w:t>
            </w:r>
          </w:p>
        </w:tc>
        <w:tc>
          <w:tcPr>
            <w:tcW w:w="1701" w:type="dxa"/>
            <w:vAlign w:val="center"/>
          </w:tcPr>
          <w:p w:rsidR="000F062A" w:rsidRDefault="00215573">
            <w:pPr>
              <w:jc w:val="center"/>
            </w:pPr>
            <w:r>
              <w:rPr>
                <w:rFonts w:eastAsiaTheme="minorEastAsia"/>
                <w:kern w:val="0"/>
                <w:szCs w:val="21"/>
              </w:rPr>
              <w:t>巨人网络</w:t>
            </w:r>
          </w:p>
        </w:tc>
        <w:tc>
          <w:tcPr>
            <w:tcW w:w="1276" w:type="dxa"/>
            <w:vAlign w:val="center"/>
          </w:tcPr>
          <w:p w:rsidR="000F062A" w:rsidRDefault="00215573">
            <w:pPr>
              <w:jc w:val="right"/>
            </w:pPr>
            <w:r>
              <w:rPr>
                <w:rFonts w:eastAsiaTheme="minorEastAsia"/>
                <w:kern w:val="0"/>
                <w:szCs w:val="21"/>
              </w:rPr>
              <w:t>357,200.00</w:t>
            </w:r>
          </w:p>
        </w:tc>
        <w:tc>
          <w:tcPr>
            <w:tcW w:w="1842" w:type="dxa"/>
            <w:vAlign w:val="center"/>
          </w:tcPr>
          <w:p w:rsidR="000F062A" w:rsidRDefault="00215573">
            <w:pPr>
              <w:jc w:val="right"/>
            </w:pPr>
            <w:r>
              <w:rPr>
                <w:rFonts w:eastAsiaTheme="minorEastAsia"/>
                <w:kern w:val="0"/>
                <w:szCs w:val="21"/>
              </w:rPr>
              <w:t>6,404,596.00</w:t>
            </w:r>
          </w:p>
        </w:tc>
        <w:tc>
          <w:tcPr>
            <w:tcW w:w="1616" w:type="dxa"/>
            <w:vAlign w:val="center"/>
          </w:tcPr>
          <w:p w:rsidR="000F062A" w:rsidRDefault="00215573">
            <w:pPr>
              <w:jc w:val="right"/>
            </w:pPr>
            <w:r>
              <w:rPr>
                <w:rFonts w:eastAsiaTheme="minorEastAsia"/>
                <w:kern w:val="0"/>
                <w:szCs w:val="21"/>
              </w:rPr>
              <w:t>2.79</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215573" w:rsidRDefault="005C671B" w:rsidP="00215573">
      <w:pPr>
        <w:spacing w:line="360" w:lineRule="auto"/>
        <w:rPr>
          <w:color w:val="000000"/>
          <w:kern w:val="0"/>
          <w:szCs w:val="21"/>
        </w:rPr>
      </w:pPr>
      <w:r w:rsidRPr="00B27A29">
        <w:rPr>
          <w:rFonts w:eastAsiaTheme="minorEastAsia"/>
          <w:color w:val="000000" w:themeColor="text1"/>
          <w:szCs w:val="21"/>
        </w:rPr>
        <w:t>5.11.1</w:t>
      </w:r>
      <w:r w:rsidR="00215573">
        <w:rPr>
          <w:rFonts w:hint="eastAsia"/>
          <w:color w:val="000000"/>
        </w:rPr>
        <w:t>本基金投资的前十名证券的发行主体中，三七互娱网络科技集团股份有限公司（股票代码</w:t>
      </w:r>
      <w:r w:rsidR="00215573">
        <w:rPr>
          <w:rFonts w:hint="eastAsia"/>
          <w:color w:val="000000"/>
        </w:rPr>
        <w:t>002555</w:t>
      </w:r>
      <w:r w:rsidR="00215573">
        <w:rPr>
          <w:rFonts w:hint="eastAsia"/>
          <w:color w:val="000000"/>
        </w:rPr>
        <w:t>）在报告编制日前一年内曾受到中国证监会的立案调查。</w:t>
      </w:r>
    </w:p>
    <w:p w:rsidR="00215573" w:rsidRDefault="00215573" w:rsidP="00215573">
      <w:pPr>
        <w:spacing w:line="360" w:lineRule="auto"/>
        <w:rPr>
          <w:color w:val="000000"/>
        </w:rPr>
      </w:pPr>
      <w:r>
        <w:rPr>
          <w:rFonts w:hint="eastAsia"/>
          <w:color w:val="000000"/>
        </w:rPr>
        <w:t>本基金对上述主体所发行证券的投资决策程序符合相关法律法规、基金合同及公司投资制度的要求。</w:t>
      </w:r>
    </w:p>
    <w:p w:rsidR="005E6DF3" w:rsidRPr="00B27A29" w:rsidRDefault="00215573" w:rsidP="00215573">
      <w:pPr>
        <w:widowControl/>
        <w:spacing w:line="360" w:lineRule="auto"/>
        <w:rPr>
          <w:rFonts w:eastAsiaTheme="minorEastAsia"/>
          <w:color w:val="000000" w:themeColor="text1"/>
          <w:szCs w:val="21"/>
        </w:rPr>
      </w:pPr>
      <w:r>
        <w:rPr>
          <w:rFonts w:hint="eastAsia"/>
          <w:color w:val="000000"/>
        </w:rPr>
        <w:t>除上述股票外，本基金投资的其余前十名证券的发行主体本期未出现被监管部门立案调查，或在报告编制日前一年内受到公开谴责、处罚的情形。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95,762.24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26,538.52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43,738.22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166,038.98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338,710,841.84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42,272,308.95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6,100,837.03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2,943,994.05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15,811,181.69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3,765,447.61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329,000,497.18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41,450,855.39</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0F062A" w:rsidRDefault="0021557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0F062A" w:rsidRDefault="0021557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摩根优势成长混合型证券投资基金基金合同</w:t>
      </w:r>
    </w:p>
    <w:p w:rsidR="000F062A" w:rsidRDefault="0021557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摩根优势成长混合型证券投资基金托管协议</w:t>
      </w:r>
    </w:p>
    <w:p w:rsidR="000F062A" w:rsidRDefault="0021557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0F062A" w:rsidRDefault="0021557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0F062A" w:rsidRDefault="0021557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0F062A" w:rsidRDefault="0021557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12C8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12C8D">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12C8D">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摩根优势成长混合型证券投资基金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62A"/>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5573"/>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2C8D"/>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 w:id="1735738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4A91B-8054-40BE-9E72-6FAF1790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14</Pages>
  <Words>1225</Words>
  <Characters>6988</Characters>
  <Application>Microsoft Office Word</Application>
  <DocSecurity>0</DocSecurity>
  <Lines>58</Lines>
  <Paragraphs>16</Paragraphs>
  <ScaleCrop>false</ScaleCrop>
  <Company>TRT. Ltd. Co.</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220</cp:revision>
  <cp:lastPrinted>2007-07-19T00:46:00Z</cp:lastPrinted>
  <dcterms:created xsi:type="dcterms:W3CDTF">2013-06-21T06:56:00Z</dcterms:created>
  <dcterms:modified xsi:type="dcterms:W3CDTF">2023-07-20T06:59:00Z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