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摩根优势成长混合型证券投资基金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摩根优势成长混合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011196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358,687,419.02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采用定量及定性研究方法，从产业周期出发，聚焦中观行业景气度，结合自下而上的研究方式，精选高景气度行业优质龙头，基于严格的风险控制，力争实现基金资产的长期增值。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本基金将从产业周期出发，聚焦中观行业景气度与自下而上精选个股相结合，精</w:t>
            </w:r>
            <w:r>
              <w:rPr>
                <w:rFonts w:eastAsiaTheme="minorEastAsia"/>
                <w:color w:val="000000" w:themeColor="text1"/>
                <w:kern w:val="0"/>
                <w:szCs w:val="21"/>
              </w:rPr>
              <w:t>选高景气度行业优质龙头，适度分散行业及个股持仓，力争实现基金资产的长期增值。</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w:t>
            </w:r>
            <w:r>
              <w:rPr>
                <w:rFonts w:eastAsiaTheme="minorEastAsia"/>
                <w:color w:val="000000" w:themeColor="text1"/>
                <w:kern w:val="0"/>
                <w:szCs w:val="21"/>
              </w:rPr>
              <w:t>流动性、市场规模等情况，灵活运用久期策略、期限结构配置策略、信用债策略、可转债策略等多种投资策略，实施积极主动的组合管理，并根据对债券收益率曲线形态、息差变化的预测，对债券组合进行动态调整。</w:t>
            </w:r>
          </w:p>
          <w:p w:rsidR="005814AD" w:rsidRDefault="004E35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w:t>
            </w:r>
            <w:r w:rsidRPr="00B27A29">
              <w:rPr>
                <w:rFonts w:eastAsiaTheme="minorEastAsia"/>
                <w:color w:val="000000" w:themeColor="text1"/>
                <w:kern w:val="0"/>
                <w:szCs w:val="21"/>
              </w:rPr>
              <w:lastRenderedPageBreak/>
              <w:t>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317,733,833.79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40,953,585.23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-33,452,994.88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-4,247,311.20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-10,177,770.49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-1,310,513.90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151,823,642.68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19,312,339.80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0.4778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0.4716</w:t>
            </w:r>
          </w:p>
        </w:tc>
      </w:tr>
    </w:tbl>
    <w:p w:rsidR="005814AD" w:rsidRDefault="004E35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814AD">
        <w:tc>
          <w:tcPr>
            <w:tcW w:w="1290" w:type="dxa"/>
            <w:vAlign w:val="center"/>
          </w:tcPr>
          <w:p w:rsidR="005814AD" w:rsidRDefault="004E35C6">
            <w:pPr>
              <w:jc w:val="left"/>
            </w:pPr>
            <w:r>
              <w:rPr>
                <w:rFonts w:eastAsiaTheme="minorEastAsia"/>
                <w:color w:val="000000" w:themeColor="text1"/>
                <w:szCs w:val="21"/>
              </w:rPr>
              <w:t>过去三个月</w:t>
            </w:r>
          </w:p>
        </w:tc>
        <w:tc>
          <w:tcPr>
            <w:tcW w:w="1291" w:type="dxa"/>
            <w:vAlign w:val="center"/>
          </w:tcPr>
          <w:p w:rsidR="005814AD" w:rsidRDefault="004E35C6">
            <w:pPr>
              <w:jc w:val="right"/>
            </w:pPr>
            <w:r>
              <w:rPr>
                <w:rFonts w:eastAsiaTheme="minorEastAsia"/>
                <w:color w:val="000000" w:themeColor="text1"/>
                <w:szCs w:val="21"/>
              </w:rPr>
              <w:t>-6.26%</w:t>
            </w:r>
          </w:p>
        </w:tc>
        <w:tc>
          <w:tcPr>
            <w:tcW w:w="1291" w:type="dxa"/>
            <w:vAlign w:val="center"/>
          </w:tcPr>
          <w:p w:rsidR="005814AD" w:rsidRDefault="004E35C6">
            <w:pPr>
              <w:jc w:val="right"/>
            </w:pPr>
            <w:r>
              <w:rPr>
                <w:rFonts w:eastAsiaTheme="minorEastAsia"/>
                <w:color w:val="000000" w:themeColor="text1"/>
                <w:szCs w:val="21"/>
              </w:rPr>
              <w:t>1.35%</w:t>
            </w:r>
          </w:p>
        </w:tc>
        <w:tc>
          <w:tcPr>
            <w:tcW w:w="1291" w:type="dxa"/>
            <w:vAlign w:val="center"/>
          </w:tcPr>
          <w:p w:rsidR="005814AD" w:rsidRDefault="004E35C6">
            <w:pPr>
              <w:jc w:val="right"/>
            </w:pPr>
            <w:r>
              <w:rPr>
                <w:rFonts w:eastAsiaTheme="minorEastAsia"/>
                <w:color w:val="000000" w:themeColor="text1"/>
                <w:szCs w:val="21"/>
              </w:rPr>
              <w:t>-5.37%</w:t>
            </w:r>
          </w:p>
        </w:tc>
        <w:tc>
          <w:tcPr>
            <w:tcW w:w="1291" w:type="dxa"/>
            <w:vAlign w:val="center"/>
          </w:tcPr>
          <w:p w:rsidR="005814AD" w:rsidRDefault="004E35C6">
            <w:pPr>
              <w:jc w:val="right"/>
            </w:pPr>
            <w:r>
              <w:rPr>
                <w:rFonts w:eastAsiaTheme="minorEastAsia"/>
                <w:color w:val="000000" w:themeColor="text1"/>
                <w:szCs w:val="21"/>
              </w:rPr>
              <w:t>0.68%</w:t>
            </w:r>
          </w:p>
        </w:tc>
        <w:tc>
          <w:tcPr>
            <w:tcW w:w="1291" w:type="dxa"/>
            <w:vAlign w:val="center"/>
          </w:tcPr>
          <w:p w:rsidR="005814AD" w:rsidRDefault="004E35C6">
            <w:pPr>
              <w:jc w:val="right"/>
            </w:pPr>
            <w:r>
              <w:rPr>
                <w:rFonts w:eastAsiaTheme="minorEastAsia"/>
                <w:color w:val="000000" w:themeColor="text1"/>
                <w:szCs w:val="21"/>
              </w:rPr>
              <w:t>-0.89%</w:t>
            </w:r>
          </w:p>
        </w:tc>
        <w:tc>
          <w:tcPr>
            <w:tcW w:w="1291" w:type="dxa"/>
            <w:vAlign w:val="center"/>
          </w:tcPr>
          <w:p w:rsidR="005814AD" w:rsidRDefault="004E35C6">
            <w:pPr>
              <w:jc w:val="right"/>
            </w:pPr>
            <w:r>
              <w:rPr>
                <w:rFonts w:eastAsiaTheme="minorEastAsia"/>
                <w:color w:val="000000" w:themeColor="text1"/>
                <w:szCs w:val="21"/>
              </w:rPr>
              <w:t>0.67%</w:t>
            </w:r>
          </w:p>
        </w:tc>
      </w:tr>
      <w:tr w:rsidR="005814AD">
        <w:tc>
          <w:tcPr>
            <w:tcW w:w="1290" w:type="dxa"/>
            <w:vAlign w:val="center"/>
          </w:tcPr>
          <w:p w:rsidR="005814AD" w:rsidRDefault="004E35C6">
            <w:pPr>
              <w:jc w:val="left"/>
            </w:pPr>
            <w:r>
              <w:rPr>
                <w:rFonts w:eastAsiaTheme="minorEastAsia"/>
                <w:color w:val="000000" w:themeColor="text1"/>
                <w:szCs w:val="21"/>
              </w:rPr>
              <w:t>过去六个月</w:t>
            </w:r>
          </w:p>
        </w:tc>
        <w:tc>
          <w:tcPr>
            <w:tcW w:w="1291" w:type="dxa"/>
            <w:vAlign w:val="center"/>
          </w:tcPr>
          <w:p w:rsidR="005814AD" w:rsidRDefault="004E35C6">
            <w:pPr>
              <w:jc w:val="right"/>
            </w:pPr>
            <w:r>
              <w:rPr>
                <w:rFonts w:eastAsiaTheme="minorEastAsia"/>
                <w:color w:val="000000" w:themeColor="text1"/>
                <w:szCs w:val="21"/>
              </w:rPr>
              <w:t>-22.90%</w:t>
            </w:r>
          </w:p>
        </w:tc>
        <w:tc>
          <w:tcPr>
            <w:tcW w:w="1291" w:type="dxa"/>
            <w:vAlign w:val="center"/>
          </w:tcPr>
          <w:p w:rsidR="005814AD" w:rsidRDefault="004E35C6">
            <w:pPr>
              <w:jc w:val="right"/>
            </w:pPr>
            <w:r>
              <w:rPr>
                <w:rFonts w:eastAsiaTheme="minorEastAsia"/>
                <w:color w:val="000000" w:themeColor="text1"/>
                <w:szCs w:val="21"/>
              </w:rPr>
              <w:t>1.66%</w:t>
            </w:r>
          </w:p>
        </w:tc>
        <w:tc>
          <w:tcPr>
            <w:tcW w:w="1291" w:type="dxa"/>
            <w:vAlign w:val="center"/>
          </w:tcPr>
          <w:p w:rsidR="005814AD" w:rsidRDefault="004E35C6">
            <w:pPr>
              <w:jc w:val="right"/>
            </w:pPr>
            <w:r>
              <w:rPr>
                <w:rFonts w:eastAsiaTheme="minorEastAsia"/>
                <w:color w:val="000000" w:themeColor="text1"/>
                <w:szCs w:val="21"/>
              </w:rPr>
              <w:t>-8.85%</w:t>
            </w:r>
          </w:p>
        </w:tc>
        <w:tc>
          <w:tcPr>
            <w:tcW w:w="1291" w:type="dxa"/>
            <w:vAlign w:val="center"/>
          </w:tcPr>
          <w:p w:rsidR="005814AD" w:rsidRDefault="004E35C6">
            <w:pPr>
              <w:jc w:val="right"/>
            </w:pPr>
            <w:r>
              <w:rPr>
                <w:rFonts w:eastAsiaTheme="minorEastAsia"/>
                <w:color w:val="000000" w:themeColor="text1"/>
                <w:szCs w:val="21"/>
              </w:rPr>
              <w:t>0.72%</w:t>
            </w:r>
          </w:p>
        </w:tc>
        <w:tc>
          <w:tcPr>
            <w:tcW w:w="1291" w:type="dxa"/>
            <w:vAlign w:val="center"/>
          </w:tcPr>
          <w:p w:rsidR="005814AD" w:rsidRDefault="004E35C6">
            <w:pPr>
              <w:jc w:val="right"/>
            </w:pPr>
            <w:r>
              <w:rPr>
                <w:rFonts w:eastAsiaTheme="minorEastAsia"/>
                <w:color w:val="000000" w:themeColor="text1"/>
                <w:szCs w:val="21"/>
              </w:rPr>
              <w:t>-14.05%</w:t>
            </w:r>
          </w:p>
        </w:tc>
        <w:tc>
          <w:tcPr>
            <w:tcW w:w="1291" w:type="dxa"/>
            <w:vAlign w:val="center"/>
          </w:tcPr>
          <w:p w:rsidR="005814AD" w:rsidRDefault="004E35C6">
            <w:pPr>
              <w:jc w:val="right"/>
            </w:pPr>
            <w:r>
              <w:rPr>
                <w:rFonts w:eastAsiaTheme="minorEastAsia"/>
                <w:color w:val="000000" w:themeColor="text1"/>
                <w:szCs w:val="21"/>
              </w:rPr>
              <w:t>0.94%</w:t>
            </w:r>
          </w:p>
        </w:tc>
      </w:tr>
      <w:tr w:rsidR="005814AD">
        <w:tc>
          <w:tcPr>
            <w:tcW w:w="1290" w:type="dxa"/>
            <w:vAlign w:val="center"/>
          </w:tcPr>
          <w:p w:rsidR="005814AD" w:rsidRDefault="004E35C6">
            <w:pPr>
              <w:jc w:val="left"/>
            </w:pPr>
            <w:r>
              <w:rPr>
                <w:rFonts w:eastAsiaTheme="minorEastAsia"/>
                <w:color w:val="000000" w:themeColor="text1"/>
                <w:szCs w:val="21"/>
              </w:rPr>
              <w:t>过去一年</w:t>
            </w:r>
          </w:p>
        </w:tc>
        <w:tc>
          <w:tcPr>
            <w:tcW w:w="1291" w:type="dxa"/>
            <w:vAlign w:val="center"/>
          </w:tcPr>
          <w:p w:rsidR="005814AD" w:rsidRDefault="004E35C6">
            <w:pPr>
              <w:jc w:val="right"/>
            </w:pPr>
            <w:r>
              <w:rPr>
                <w:rFonts w:eastAsiaTheme="minorEastAsia"/>
                <w:color w:val="000000" w:themeColor="text1"/>
                <w:szCs w:val="21"/>
              </w:rPr>
              <w:t>-20.99%</w:t>
            </w:r>
          </w:p>
        </w:tc>
        <w:tc>
          <w:tcPr>
            <w:tcW w:w="1291" w:type="dxa"/>
            <w:vAlign w:val="center"/>
          </w:tcPr>
          <w:p w:rsidR="005814AD" w:rsidRDefault="004E35C6">
            <w:pPr>
              <w:jc w:val="right"/>
            </w:pPr>
            <w:r>
              <w:rPr>
                <w:rFonts w:eastAsiaTheme="minorEastAsia"/>
                <w:color w:val="000000" w:themeColor="text1"/>
                <w:szCs w:val="21"/>
              </w:rPr>
              <w:t>1.68%</w:t>
            </w:r>
          </w:p>
        </w:tc>
        <w:tc>
          <w:tcPr>
            <w:tcW w:w="1291" w:type="dxa"/>
            <w:vAlign w:val="center"/>
          </w:tcPr>
          <w:p w:rsidR="005814AD" w:rsidRDefault="004E35C6">
            <w:pPr>
              <w:jc w:val="right"/>
            </w:pPr>
            <w:r>
              <w:rPr>
                <w:rFonts w:eastAsiaTheme="minorEastAsia"/>
                <w:color w:val="000000" w:themeColor="text1"/>
                <w:szCs w:val="21"/>
              </w:rPr>
              <w:t>-8.76%</w:t>
            </w:r>
          </w:p>
        </w:tc>
        <w:tc>
          <w:tcPr>
            <w:tcW w:w="1291" w:type="dxa"/>
            <w:vAlign w:val="center"/>
          </w:tcPr>
          <w:p w:rsidR="005814AD" w:rsidRDefault="004E35C6">
            <w:pPr>
              <w:jc w:val="right"/>
            </w:pPr>
            <w:r>
              <w:rPr>
                <w:rFonts w:eastAsiaTheme="minorEastAsia"/>
                <w:color w:val="000000" w:themeColor="text1"/>
                <w:szCs w:val="21"/>
              </w:rPr>
              <w:t>0.71%</w:t>
            </w:r>
          </w:p>
        </w:tc>
        <w:tc>
          <w:tcPr>
            <w:tcW w:w="1291" w:type="dxa"/>
            <w:vAlign w:val="center"/>
          </w:tcPr>
          <w:p w:rsidR="005814AD" w:rsidRDefault="004E35C6">
            <w:pPr>
              <w:jc w:val="right"/>
            </w:pPr>
            <w:r>
              <w:rPr>
                <w:rFonts w:eastAsiaTheme="minorEastAsia"/>
                <w:color w:val="000000" w:themeColor="text1"/>
                <w:szCs w:val="21"/>
              </w:rPr>
              <w:t>-12.23%</w:t>
            </w:r>
          </w:p>
        </w:tc>
        <w:tc>
          <w:tcPr>
            <w:tcW w:w="1291" w:type="dxa"/>
            <w:vAlign w:val="center"/>
          </w:tcPr>
          <w:p w:rsidR="005814AD" w:rsidRDefault="004E35C6">
            <w:pPr>
              <w:jc w:val="right"/>
            </w:pPr>
            <w:r>
              <w:rPr>
                <w:rFonts w:eastAsiaTheme="minorEastAsia"/>
                <w:color w:val="000000" w:themeColor="text1"/>
                <w:szCs w:val="21"/>
              </w:rPr>
              <w:t>0.97%</w:t>
            </w:r>
          </w:p>
        </w:tc>
      </w:tr>
      <w:tr w:rsidR="005814AD">
        <w:tc>
          <w:tcPr>
            <w:tcW w:w="1290" w:type="dxa"/>
            <w:vAlign w:val="center"/>
          </w:tcPr>
          <w:p w:rsidR="005814AD" w:rsidRDefault="004E35C6">
            <w:pPr>
              <w:jc w:val="left"/>
            </w:pPr>
            <w:r>
              <w:rPr>
                <w:rFonts w:eastAsiaTheme="minorEastAsia"/>
                <w:color w:val="000000" w:themeColor="text1"/>
                <w:szCs w:val="21"/>
              </w:rPr>
              <w:t>过去三年</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r>
      <w:tr w:rsidR="005814AD">
        <w:tc>
          <w:tcPr>
            <w:tcW w:w="1290" w:type="dxa"/>
            <w:vAlign w:val="center"/>
          </w:tcPr>
          <w:p w:rsidR="005814AD" w:rsidRDefault="004E35C6">
            <w:pPr>
              <w:jc w:val="left"/>
            </w:pPr>
            <w:r>
              <w:rPr>
                <w:rFonts w:eastAsiaTheme="minorEastAsia"/>
                <w:color w:val="000000" w:themeColor="text1"/>
                <w:szCs w:val="21"/>
              </w:rPr>
              <w:t>过去五年</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r>
      <w:tr w:rsidR="005814AD">
        <w:tc>
          <w:tcPr>
            <w:tcW w:w="1290" w:type="dxa"/>
            <w:vAlign w:val="center"/>
          </w:tcPr>
          <w:p w:rsidR="005814AD" w:rsidRDefault="004E35C6">
            <w:pPr>
              <w:jc w:val="left"/>
            </w:pPr>
            <w:r>
              <w:rPr>
                <w:rFonts w:eastAsiaTheme="minorEastAsia"/>
                <w:color w:val="000000" w:themeColor="text1"/>
                <w:szCs w:val="21"/>
              </w:rPr>
              <w:t>自基金合同生效起至今</w:t>
            </w:r>
          </w:p>
        </w:tc>
        <w:tc>
          <w:tcPr>
            <w:tcW w:w="1291" w:type="dxa"/>
            <w:vAlign w:val="center"/>
          </w:tcPr>
          <w:p w:rsidR="005814AD" w:rsidRDefault="004E35C6">
            <w:pPr>
              <w:jc w:val="right"/>
            </w:pPr>
            <w:r>
              <w:rPr>
                <w:rFonts w:eastAsiaTheme="minorEastAsia"/>
                <w:color w:val="000000" w:themeColor="text1"/>
                <w:szCs w:val="21"/>
              </w:rPr>
              <w:t>-52.22%</w:t>
            </w:r>
          </w:p>
        </w:tc>
        <w:tc>
          <w:tcPr>
            <w:tcW w:w="1291" w:type="dxa"/>
            <w:vAlign w:val="center"/>
          </w:tcPr>
          <w:p w:rsidR="005814AD" w:rsidRDefault="004E35C6">
            <w:pPr>
              <w:jc w:val="right"/>
            </w:pPr>
            <w:r>
              <w:rPr>
                <w:rFonts w:eastAsiaTheme="minorEastAsia"/>
                <w:color w:val="000000" w:themeColor="text1"/>
                <w:szCs w:val="21"/>
              </w:rPr>
              <w:t>1.62%</w:t>
            </w:r>
          </w:p>
        </w:tc>
        <w:tc>
          <w:tcPr>
            <w:tcW w:w="1291" w:type="dxa"/>
            <w:vAlign w:val="center"/>
          </w:tcPr>
          <w:p w:rsidR="005814AD" w:rsidRDefault="004E35C6">
            <w:pPr>
              <w:jc w:val="right"/>
            </w:pPr>
            <w:r>
              <w:rPr>
                <w:rFonts w:eastAsiaTheme="minorEastAsia"/>
                <w:color w:val="000000" w:themeColor="text1"/>
                <w:szCs w:val="21"/>
              </w:rPr>
              <w:t>-23.29%</w:t>
            </w:r>
          </w:p>
        </w:tc>
        <w:tc>
          <w:tcPr>
            <w:tcW w:w="1291" w:type="dxa"/>
            <w:vAlign w:val="center"/>
          </w:tcPr>
          <w:p w:rsidR="005814AD" w:rsidRDefault="004E35C6">
            <w:pPr>
              <w:jc w:val="right"/>
            </w:pPr>
            <w:r>
              <w:rPr>
                <w:rFonts w:eastAsiaTheme="minorEastAsia"/>
                <w:color w:val="000000" w:themeColor="text1"/>
                <w:szCs w:val="21"/>
              </w:rPr>
              <w:t>0.90%</w:t>
            </w:r>
          </w:p>
        </w:tc>
        <w:tc>
          <w:tcPr>
            <w:tcW w:w="1291" w:type="dxa"/>
            <w:vAlign w:val="center"/>
          </w:tcPr>
          <w:p w:rsidR="005814AD" w:rsidRDefault="004E35C6">
            <w:pPr>
              <w:jc w:val="right"/>
            </w:pPr>
            <w:r>
              <w:rPr>
                <w:rFonts w:eastAsiaTheme="minorEastAsia"/>
                <w:color w:val="000000" w:themeColor="text1"/>
                <w:szCs w:val="21"/>
              </w:rPr>
              <w:t>-28.93%</w:t>
            </w:r>
          </w:p>
        </w:tc>
        <w:tc>
          <w:tcPr>
            <w:tcW w:w="1291" w:type="dxa"/>
            <w:vAlign w:val="center"/>
          </w:tcPr>
          <w:p w:rsidR="005814AD" w:rsidRDefault="004E35C6">
            <w:pPr>
              <w:jc w:val="right"/>
            </w:pPr>
            <w:r>
              <w:rPr>
                <w:rFonts w:eastAsiaTheme="minorEastAsia"/>
                <w:color w:val="000000" w:themeColor="text1"/>
                <w:szCs w:val="21"/>
              </w:rPr>
              <w:t>0.72%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814AD">
        <w:tc>
          <w:tcPr>
            <w:tcW w:w="1290" w:type="dxa"/>
            <w:vAlign w:val="center"/>
          </w:tcPr>
          <w:p w:rsidR="005814AD" w:rsidRDefault="004E35C6">
            <w:pPr>
              <w:jc w:val="left"/>
            </w:pPr>
            <w:r>
              <w:rPr>
                <w:rFonts w:eastAsiaTheme="minorEastAsia"/>
                <w:color w:val="000000" w:themeColor="text1"/>
                <w:szCs w:val="21"/>
              </w:rPr>
              <w:t>过去三个月</w:t>
            </w:r>
          </w:p>
        </w:tc>
        <w:tc>
          <w:tcPr>
            <w:tcW w:w="1291" w:type="dxa"/>
            <w:vAlign w:val="center"/>
          </w:tcPr>
          <w:p w:rsidR="005814AD" w:rsidRDefault="004E35C6">
            <w:pPr>
              <w:jc w:val="right"/>
            </w:pPr>
            <w:r>
              <w:rPr>
                <w:rFonts w:eastAsiaTheme="minorEastAsia"/>
                <w:color w:val="000000" w:themeColor="text1"/>
                <w:szCs w:val="21"/>
              </w:rPr>
              <w:t>-6.35%</w:t>
            </w:r>
          </w:p>
        </w:tc>
        <w:tc>
          <w:tcPr>
            <w:tcW w:w="1291" w:type="dxa"/>
            <w:vAlign w:val="center"/>
          </w:tcPr>
          <w:p w:rsidR="005814AD" w:rsidRDefault="004E35C6">
            <w:pPr>
              <w:jc w:val="right"/>
            </w:pPr>
            <w:r>
              <w:rPr>
                <w:rFonts w:eastAsiaTheme="minorEastAsia"/>
                <w:color w:val="000000" w:themeColor="text1"/>
                <w:szCs w:val="21"/>
              </w:rPr>
              <w:t>1.35%</w:t>
            </w:r>
          </w:p>
        </w:tc>
        <w:tc>
          <w:tcPr>
            <w:tcW w:w="1291" w:type="dxa"/>
            <w:vAlign w:val="center"/>
          </w:tcPr>
          <w:p w:rsidR="005814AD" w:rsidRDefault="004E35C6">
            <w:pPr>
              <w:jc w:val="right"/>
            </w:pPr>
            <w:r>
              <w:rPr>
                <w:rFonts w:eastAsiaTheme="minorEastAsia"/>
                <w:color w:val="000000" w:themeColor="text1"/>
                <w:szCs w:val="21"/>
              </w:rPr>
              <w:t>-5.37%</w:t>
            </w:r>
          </w:p>
        </w:tc>
        <w:tc>
          <w:tcPr>
            <w:tcW w:w="1291" w:type="dxa"/>
            <w:vAlign w:val="center"/>
          </w:tcPr>
          <w:p w:rsidR="005814AD" w:rsidRDefault="004E35C6">
            <w:pPr>
              <w:jc w:val="right"/>
            </w:pPr>
            <w:r>
              <w:rPr>
                <w:rFonts w:eastAsiaTheme="minorEastAsia"/>
                <w:color w:val="000000" w:themeColor="text1"/>
                <w:szCs w:val="21"/>
              </w:rPr>
              <w:t>0.68%</w:t>
            </w:r>
          </w:p>
        </w:tc>
        <w:tc>
          <w:tcPr>
            <w:tcW w:w="1291" w:type="dxa"/>
            <w:vAlign w:val="center"/>
          </w:tcPr>
          <w:p w:rsidR="005814AD" w:rsidRDefault="004E35C6">
            <w:pPr>
              <w:jc w:val="right"/>
            </w:pPr>
            <w:r>
              <w:rPr>
                <w:rFonts w:eastAsiaTheme="minorEastAsia"/>
                <w:color w:val="000000" w:themeColor="text1"/>
                <w:szCs w:val="21"/>
              </w:rPr>
              <w:t>-0.98%</w:t>
            </w:r>
          </w:p>
        </w:tc>
        <w:tc>
          <w:tcPr>
            <w:tcW w:w="1291" w:type="dxa"/>
            <w:vAlign w:val="center"/>
          </w:tcPr>
          <w:p w:rsidR="005814AD" w:rsidRDefault="004E35C6">
            <w:pPr>
              <w:jc w:val="right"/>
            </w:pPr>
            <w:r>
              <w:rPr>
                <w:rFonts w:eastAsiaTheme="minorEastAsia"/>
                <w:color w:val="000000" w:themeColor="text1"/>
                <w:szCs w:val="21"/>
              </w:rPr>
              <w:t>0.67%</w:t>
            </w:r>
          </w:p>
        </w:tc>
      </w:tr>
      <w:tr w:rsidR="005814AD">
        <w:tc>
          <w:tcPr>
            <w:tcW w:w="1290" w:type="dxa"/>
            <w:vAlign w:val="center"/>
          </w:tcPr>
          <w:p w:rsidR="005814AD" w:rsidRDefault="004E35C6">
            <w:pPr>
              <w:jc w:val="left"/>
            </w:pPr>
            <w:r>
              <w:rPr>
                <w:rFonts w:eastAsiaTheme="minorEastAsia"/>
                <w:color w:val="000000" w:themeColor="text1"/>
                <w:szCs w:val="21"/>
              </w:rPr>
              <w:t>过去六个月</w:t>
            </w:r>
          </w:p>
        </w:tc>
        <w:tc>
          <w:tcPr>
            <w:tcW w:w="1291" w:type="dxa"/>
            <w:vAlign w:val="center"/>
          </w:tcPr>
          <w:p w:rsidR="005814AD" w:rsidRDefault="004E35C6">
            <w:pPr>
              <w:jc w:val="right"/>
            </w:pPr>
            <w:r>
              <w:rPr>
                <w:rFonts w:eastAsiaTheme="minorEastAsia"/>
                <w:color w:val="000000" w:themeColor="text1"/>
                <w:szCs w:val="21"/>
              </w:rPr>
              <w:t>-23.08%</w:t>
            </w:r>
          </w:p>
        </w:tc>
        <w:tc>
          <w:tcPr>
            <w:tcW w:w="1291" w:type="dxa"/>
            <w:vAlign w:val="center"/>
          </w:tcPr>
          <w:p w:rsidR="005814AD" w:rsidRDefault="004E35C6">
            <w:pPr>
              <w:jc w:val="right"/>
            </w:pPr>
            <w:r>
              <w:rPr>
                <w:rFonts w:eastAsiaTheme="minorEastAsia"/>
                <w:color w:val="000000" w:themeColor="text1"/>
                <w:szCs w:val="21"/>
              </w:rPr>
              <w:t>1.66%</w:t>
            </w:r>
          </w:p>
        </w:tc>
        <w:tc>
          <w:tcPr>
            <w:tcW w:w="1291" w:type="dxa"/>
            <w:vAlign w:val="center"/>
          </w:tcPr>
          <w:p w:rsidR="005814AD" w:rsidRDefault="004E35C6">
            <w:pPr>
              <w:jc w:val="right"/>
            </w:pPr>
            <w:r>
              <w:rPr>
                <w:rFonts w:eastAsiaTheme="minorEastAsia"/>
                <w:color w:val="000000" w:themeColor="text1"/>
                <w:szCs w:val="21"/>
              </w:rPr>
              <w:t>-8.85%</w:t>
            </w:r>
          </w:p>
        </w:tc>
        <w:tc>
          <w:tcPr>
            <w:tcW w:w="1291" w:type="dxa"/>
            <w:vAlign w:val="center"/>
          </w:tcPr>
          <w:p w:rsidR="005814AD" w:rsidRDefault="004E35C6">
            <w:pPr>
              <w:jc w:val="right"/>
            </w:pPr>
            <w:r>
              <w:rPr>
                <w:rFonts w:eastAsiaTheme="minorEastAsia"/>
                <w:color w:val="000000" w:themeColor="text1"/>
                <w:szCs w:val="21"/>
              </w:rPr>
              <w:t>0.72%</w:t>
            </w:r>
          </w:p>
        </w:tc>
        <w:tc>
          <w:tcPr>
            <w:tcW w:w="1291" w:type="dxa"/>
            <w:vAlign w:val="center"/>
          </w:tcPr>
          <w:p w:rsidR="005814AD" w:rsidRDefault="004E35C6">
            <w:pPr>
              <w:jc w:val="right"/>
            </w:pPr>
            <w:r>
              <w:rPr>
                <w:rFonts w:eastAsiaTheme="minorEastAsia"/>
                <w:color w:val="000000" w:themeColor="text1"/>
                <w:szCs w:val="21"/>
              </w:rPr>
              <w:t>-14.23%</w:t>
            </w:r>
          </w:p>
        </w:tc>
        <w:tc>
          <w:tcPr>
            <w:tcW w:w="1291" w:type="dxa"/>
            <w:vAlign w:val="center"/>
          </w:tcPr>
          <w:p w:rsidR="005814AD" w:rsidRDefault="004E35C6">
            <w:pPr>
              <w:jc w:val="right"/>
            </w:pPr>
            <w:r>
              <w:rPr>
                <w:rFonts w:eastAsiaTheme="minorEastAsia"/>
                <w:color w:val="000000" w:themeColor="text1"/>
                <w:szCs w:val="21"/>
              </w:rPr>
              <w:t>0.94%</w:t>
            </w:r>
          </w:p>
        </w:tc>
      </w:tr>
      <w:tr w:rsidR="005814AD">
        <w:tc>
          <w:tcPr>
            <w:tcW w:w="1290" w:type="dxa"/>
            <w:vAlign w:val="center"/>
          </w:tcPr>
          <w:p w:rsidR="005814AD" w:rsidRDefault="004E35C6">
            <w:pPr>
              <w:jc w:val="left"/>
            </w:pPr>
            <w:r>
              <w:rPr>
                <w:rFonts w:eastAsiaTheme="minorEastAsia"/>
                <w:color w:val="000000" w:themeColor="text1"/>
                <w:szCs w:val="21"/>
              </w:rPr>
              <w:t>过去一年</w:t>
            </w:r>
          </w:p>
        </w:tc>
        <w:tc>
          <w:tcPr>
            <w:tcW w:w="1291" w:type="dxa"/>
            <w:vAlign w:val="center"/>
          </w:tcPr>
          <w:p w:rsidR="005814AD" w:rsidRDefault="004E35C6">
            <w:pPr>
              <w:jc w:val="right"/>
            </w:pPr>
            <w:r>
              <w:rPr>
                <w:rFonts w:eastAsiaTheme="minorEastAsia"/>
                <w:color w:val="000000" w:themeColor="text1"/>
                <w:szCs w:val="21"/>
              </w:rPr>
              <w:t>-21.37%</w:t>
            </w:r>
          </w:p>
        </w:tc>
        <w:tc>
          <w:tcPr>
            <w:tcW w:w="1291" w:type="dxa"/>
            <w:vAlign w:val="center"/>
          </w:tcPr>
          <w:p w:rsidR="005814AD" w:rsidRDefault="004E35C6">
            <w:pPr>
              <w:jc w:val="right"/>
            </w:pPr>
            <w:r>
              <w:rPr>
                <w:rFonts w:eastAsiaTheme="minorEastAsia"/>
                <w:color w:val="000000" w:themeColor="text1"/>
                <w:szCs w:val="21"/>
              </w:rPr>
              <w:t>1.68%</w:t>
            </w:r>
          </w:p>
        </w:tc>
        <w:tc>
          <w:tcPr>
            <w:tcW w:w="1291" w:type="dxa"/>
            <w:vAlign w:val="center"/>
          </w:tcPr>
          <w:p w:rsidR="005814AD" w:rsidRDefault="004E35C6">
            <w:pPr>
              <w:jc w:val="right"/>
            </w:pPr>
            <w:r>
              <w:rPr>
                <w:rFonts w:eastAsiaTheme="minorEastAsia"/>
                <w:color w:val="000000" w:themeColor="text1"/>
                <w:szCs w:val="21"/>
              </w:rPr>
              <w:t>-8.76%</w:t>
            </w:r>
          </w:p>
        </w:tc>
        <w:tc>
          <w:tcPr>
            <w:tcW w:w="1291" w:type="dxa"/>
            <w:vAlign w:val="center"/>
          </w:tcPr>
          <w:p w:rsidR="005814AD" w:rsidRDefault="004E35C6">
            <w:pPr>
              <w:jc w:val="right"/>
            </w:pPr>
            <w:r>
              <w:rPr>
                <w:rFonts w:eastAsiaTheme="minorEastAsia"/>
                <w:color w:val="000000" w:themeColor="text1"/>
                <w:szCs w:val="21"/>
              </w:rPr>
              <w:t>0.71%</w:t>
            </w:r>
          </w:p>
        </w:tc>
        <w:tc>
          <w:tcPr>
            <w:tcW w:w="1291" w:type="dxa"/>
            <w:vAlign w:val="center"/>
          </w:tcPr>
          <w:p w:rsidR="005814AD" w:rsidRDefault="004E35C6">
            <w:pPr>
              <w:jc w:val="right"/>
            </w:pPr>
            <w:r>
              <w:rPr>
                <w:rFonts w:eastAsiaTheme="minorEastAsia"/>
                <w:color w:val="000000" w:themeColor="text1"/>
                <w:szCs w:val="21"/>
              </w:rPr>
              <w:t>-12.61%</w:t>
            </w:r>
          </w:p>
        </w:tc>
        <w:tc>
          <w:tcPr>
            <w:tcW w:w="1291" w:type="dxa"/>
            <w:vAlign w:val="center"/>
          </w:tcPr>
          <w:p w:rsidR="005814AD" w:rsidRDefault="004E35C6">
            <w:pPr>
              <w:jc w:val="right"/>
            </w:pPr>
            <w:r>
              <w:rPr>
                <w:rFonts w:eastAsiaTheme="minorEastAsia"/>
                <w:color w:val="000000" w:themeColor="text1"/>
                <w:szCs w:val="21"/>
              </w:rPr>
              <w:t>0.97%</w:t>
            </w:r>
          </w:p>
        </w:tc>
      </w:tr>
      <w:tr w:rsidR="005814AD">
        <w:tc>
          <w:tcPr>
            <w:tcW w:w="1290" w:type="dxa"/>
            <w:vAlign w:val="center"/>
          </w:tcPr>
          <w:p w:rsidR="005814AD" w:rsidRDefault="004E35C6">
            <w:pPr>
              <w:jc w:val="left"/>
            </w:pPr>
            <w:r>
              <w:rPr>
                <w:rFonts w:eastAsiaTheme="minorEastAsia"/>
                <w:color w:val="000000" w:themeColor="text1"/>
                <w:szCs w:val="21"/>
              </w:rPr>
              <w:t>过去三年</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r>
      <w:tr w:rsidR="005814AD">
        <w:tc>
          <w:tcPr>
            <w:tcW w:w="1290" w:type="dxa"/>
            <w:vAlign w:val="center"/>
          </w:tcPr>
          <w:p w:rsidR="005814AD" w:rsidRDefault="004E35C6">
            <w:pPr>
              <w:jc w:val="left"/>
            </w:pPr>
            <w:r>
              <w:rPr>
                <w:rFonts w:eastAsiaTheme="minorEastAsia"/>
                <w:color w:val="000000" w:themeColor="text1"/>
                <w:szCs w:val="21"/>
              </w:rPr>
              <w:t>过去五年</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c>
          <w:tcPr>
            <w:tcW w:w="1291" w:type="dxa"/>
            <w:vAlign w:val="center"/>
          </w:tcPr>
          <w:p w:rsidR="005814AD" w:rsidRDefault="004E35C6">
            <w:pPr>
              <w:jc w:val="right"/>
            </w:pPr>
            <w:r>
              <w:rPr>
                <w:rFonts w:eastAsiaTheme="minorEastAsia"/>
                <w:color w:val="000000" w:themeColor="text1"/>
                <w:szCs w:val="21"/>
              </w:rPr>
              <w:t>-</w:t>
            </w:r>
          </w:p>
        </w:tc>
      </w:tr>
      <w:tr w:rsidR="005814AD">
        <w:tc>
          <w:tcPr>
            <w:tcW w:w="1290" w:type="dxa"/>
            <w:vAlign w:val="center"/>
          </w:tcPr>
          <w:p w:rsidR="005814AD" w:rsidRDefault="004E35C6">
            <w:pPr>
              <w:jc w:val="left"/>
            </w:pPr>
            <w:r>
              <w:rPr>
                <w:rFonts w:eastAsiaTheme="minorEastAsia"/>
                <w:color w:val="000000" w:themeColor="text1"/>
                <w:szCs w:val="21"/>
              </w:rPr>
              <w:t>自基金合同生效起至今</w:t>
            </w:r>
          </w:p>
        </w:tc>
        <w:tc>
          <w:tcPr>
            <w:tcW w:w="1291" w:type="dxa"/>
            <w:vAlign w:val="center"/>
          </w:tcPr>
          <w:p w:rsidR="005814AD" w:rsidRDefault="004E35C6">
            <w:pPr>
              <w:jc w:val="right"/>
            </w:pPr>
            <w:r>
              <w:rPr>
                <w:rFonts w:eastAsiaTheme="minorEastAsia"/>
                <w:color w:val="000000" w:themeColor="text1"/>
                <w:szCs w:val="21"/>
              </w:rPr>
              <w:t>-52.84%</w:t>
            </w:r>
          </w:p>
        </w:tc>
        <w:tc>
          <w:tcPr>
            <w:tcW w:w="1291" w:type="dxa"/>
            <w:vAlign w:val="center"/>
          </w:tcPr>
          <w:p w:rsidR="005814AD" w:rsidRDefault="004E35C6">
            <w:pPr>
              <w:jc w:val="right"/>
            </w:pPr>
            <w:r>
              <w:rPr>
                <w:rFonts w:eastAsiaTheme="minorEastAsia"/>
                <w:color w:val="000000" w:themeColor="text1"/>
                <w:szCs w:val="21"/>
              </w:rPr>
              <w:t>1.62%</w:t>
            </w:r>
          </w:p>
        </w:tc>
        <w:tc>
          <w:tcPr>
            <w:tcW w:w="1291" w:type="dxa"/>
            <w:vAlign w:val="center"/>
          </w:tcPr>
          <w:p w:rsidR="005814AD" w:rsidRDefault="004E35C6">
            <w:pPr>
              <w:jc w:val="right"/>
            </w:pPr>
            <w:r>
              <w:rPr>
                <w:rFonts w:eastAsiaTheme="minorEastAsia"/>
                <w:color w:val="000000" w:themeColor="text1"/>
                <w:szCs w:val="21"/>
              </w:rPr>
              <w:t>-23.29%</w:t>
            </w:r>
          </w:p>
        </w:tc>
        <w:tc>
          <w:tcPr>
            <w:tcW w:w="1291" w:type="dxa"/>
            <w:vAlign w:val="center"/>
          </w:tcPr>
          <w:p w:rsidR="005814AD" w:rsidRDefault="004E35C6">
            <w:pPr>
              <w:jc w:val="right"/>
            </w:pPr>
            <w:r>
              <w:rPr>
                <w:rFonts w:eastAsiaTheme="minorEastAsia"/>
                <w:color w:val="000000" w:themeColor="text1"/>
                <w:szCs w:val="21"/>
              </w:rPr>
              <w:t>0.90%</w:t>
            </w:r>
          </w:p>
        </w:tc>
        <w:tc>
          <w:tcPr>
            <w:tcW w:w="1291" w:type="dxa"/>
            <w:vAlign w:val="center"/>
          </w:tcPr>
          <w:p w:rsidR="005814AD" w:rsidRDefault="004E35C6">
            <w:pPr>
              <w:jc w:val="right"/>
            </w:pPr>
            <w:r>
              <w:rPr>
                <w:rFonts w:eastAsiaTheme="minorEastAsia"/>
                <w:color w:val="000000" w:themeColor="text1"/>
                <w:szCs w:val="21"/>
              </w:rPr>
              <w:t>-29.55%</w:t>
            </w:r>
          </w:p>
        </w:tc>
        <w:tc>
          <w:tcPr>
            <w:tcW w:w="1291" w:type="dxa"/>
            <w:vAlign w:val="center"/>
          </w:tcPr>
          <w:p w:rsidR="005814AD" w:rsidRDefault="004E35C6">
            <w:pPr>
              <w:jc w:val="right"/>
            </w:pPr>
            <w:r>
              <w:rPr>
                <w:rFonts w:eastAsiaTheme="minorEastAsia"/>
                <w:color w:val="000000" w:themeColor="text1"/>
                <w:szCs w:val="21"/>
              </w:rPr>
              <w:t>0.72%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摩根优势成长混合型证券投资基金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．摩根优势成长混合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．摩根优势成长混合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814AD">
        <w:tc>
          <w:tcPr>
            <w:tcW w:w="952" w:type="dxa"/>
            <w:vAlign w:val="center"/>
          </w:tcPr>
          <w:p w:rsidR="005814AD" w:rsidRDefault="004E35C6">
            <w:pPr>
              <w:jc w:val="center"/>
            </w:pPr>
            <w:r>
              <w:rPr>
                <w:rFonts w:eastAsiaTheme="minorEastAsia"/>
                <w:color w:val="000000" w:themeColor="text1"/>
                <w:szCs w:val="21"/>
              </w:rPr>
              <w:t>郭晨</w:t>
            </w:r>
          </w:p>
        </w:tc>
        <w:tc>
          <w:tcPr>
            <w:tcW w:w="930" w:type="dxa"/>
            <w:vAlign w:val="center"/>
          </w:tcPr>
          <w:p w:rsidR="005814AD" w:rsidRDefault="004E35C6">
            <w:pPr>
              <w:jc w:val="center"/>
            </w:pPr>
            <w:r>
              <w:rPr>
                <w:rFonts w:eastAsiaTheme="minorEastAsia"/>
                <w:color w:val="000000" w:themeColor="text1"/>
                <w:szCs w:val="21"/>
              </w:rPr>
              <w:t>本基金基金经理</w:t>
            </w:r>
          </w:p>
        </w:tc>
        <w:tc>
          <w:tcPr>
            <w:tcW w:w="1210" w:type="dxa"/>
            <w:vAlign w:val="center"/>
          </w:tcPr>
          <w:p w:rsidR="005814AD" w:rsidRDefault="004E35C6">
            <w:pPr>
              <w:jc w:val="center"/>
            </w:pPr>
            <w:r>
              <w:rPr>
                <w:rFonts w:eastAsiaTheme="minorEastAsia"/>
                <w:color w:val="000000" w:themeColor="text1"/>
                <w:szCs w:val="21"/>
              </w:rPr>
              <w:t>2021-05-14</w:t>
            </w:r>
          </w:p>
        </w:tc>
        <w:tc>
          <w:tcPr>
            <w:tcW w:w="1309" w:type="dxa"/>
            <w:vAlign w:val="center"/>
          </w:tcPr>
          <w:p w:rsidR="005814AD" w:rsidRDefault="004E35C6">
            <w:pPr>
              <w:jc w:val="center"/>
            </w:pPr>
            <w:r>
              <w:rPr>
                <w:rFonts w:eastAsiaTheme="minorEastAsia"/>
                <w:color w:val="000000" w:themeColor="text1"/>
                <w:szCs w:val="21"/>
              </w:rPr>
              <w:t>-</w:t>
            </w:r>
          </w:p>
        </w:tc>
        <w:tc>
          <w:tcPr>
            <w:tcW w:w="1254" w:type="dxa"/>
            <w:vAlign w:val="center"/>
          </w:tcPr>
          <w:p w:rsidR="005814AD" w:rsidRDefault="004E35C6">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5814AD" w:rsidRDefault="004E35C6">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5814AD" w:rsidRDefault="004E35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814AD" w:rsidRDefault="004E35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w:t>
      </w:r>
      <w:r>
        <w:rPr>
          <w:rFonts w:eastAsiaTheme="minorEastAsia"/>
          <w:color w:val="000000" w:themeColor="text1"/>
          <w:szCs w:val="21"/>
        </w:rPr>
        <w:t>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szCs w:val="21"/>
        </w:rPr>
        <w:t>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w:t>
      </w:r>
      <w:r>
        <w:rPr>
          <w:rFonts w:eastAsiaTheme="minorEastAsia"/>
          <w:color w:val="000000" w:themeColor="text1"/>
          <w:szCs w:val="21"/>
        </w:rPr>
        <w:t>，创业板指数下跌</w:t>
      </w:r>
      <w:r>
        <w:rPr>
          <w:rFonts w:eastAsiaTheme="minorEastAsia"/>
          <w:color w:val="000000" w:themeColor="text1"/>
          <w:szCs w:val="21"/>
        </w:rPr>
        <w:t>5.6%</w:t>
      </w:r>
      <w:r>
        <w:rPr>
          <w:rFonts w:eastAsiaTheme="minorEastAsia"/>
          <w:color w:val="000000" w:themeColor="text1"/>
          <w:szCs w:val="21"/>
        </w:rPr>
        <w:t>。本季度市场表现不佳，市场亮点不多，三季度表现较差的科技行业相对强势一些。四季度国内经济比较平稳，前期出台的房地产限购政策效果并不明显，其他没有太多新的刺激政策。美国四季度通胀控制良好，</w:t>
      </w:r>
      <w:r>
        <w:rPr>
          <w:rFonts w:eastAsiaTheme="minorEastAsia"/>
          <w:color w:val="000000" w:themeColor="text1"/>
          <w:szCs w:val="21"/>
        </w:rPr>
        <w:t>2024</w:t>
      </w:r>
      <w:r>
        <w:rPr>
          <w:rFonts w:eastAsiaTheme="minorEastAsia"/>
          <w:color w:val="000000" w:themeColor="text1"/>
          <w:szCs w:val="21"/>
        </w:rPr>
        <w:t>年降息预期增强，人民币表现强势，美债收益率大幅下降，理论上有利于外资的回流。市场目前比较看好的板块集中在两个方向上，一是高股息板块，二是新兴高景气的科技板块。这两个方向对宏观经济较不敏感，有各自的阿尔法逻辑。</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w:t>
      </w:r>
      <w:r>
        <w:rPr>
          <w:rFonts w:eastAsiaTheme="minorEastAsia"/>
          <w:color w:val="000000" w:themeColor="text1"/>
          <w:szCs w:val="21"/>
        </w:rPr>
        <w:t>长期慢牛的走势之中，以结构性行情为主。四季度本基金依然看好成长行业的投资机会，尤其是人工智能产业链的相关公司，比如人工智能（</w:t>
      </w:r>
      <w:r>
        <w:rPr>
          <w:rFonts w:eastAsiaTheme="minorEastAsia"/>
          <w:color w:val="000000" w:themeColor="text1"/>
          <w:szCs w:val="21"/>
        </w:rPr>
        <w:t>AI</w:t>
      </w:r>
      <w:r>
        <w:rPr>
          <w:rFonts w:eastAsiaTheme="minorEastAsia"/>
          <w:color w:val="000000" w:themeColor="text1"/>
          <w:szCs w:val="21"/>
        </w:rPr>
        <w:t>）的算力和应用、人型机器人、智能驾驶、新能源汽车，家电，医药等，在房地产、金融、上游资源品等传统周期行业配置比例较低。本基金将始终坚持价值投资思路，坚持配置高景气度成长行业，选择高景气行业中相对优秀的龙头公司长期投资。</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展望一季度，我们并不悲观。目前市场对国内经济信心不足，对政策预期也不高，估值已经跌到了非常低的位置。监管层已经出台了一系列活跃资本市场的政策，目前政策底大概率已经看</w:t>
      </w:r>
      <w:r>
        <w:rPr>
          <w:rFonts w:eastAsiaTheme="minorEastAsia"/>
          <w:color w:val="000000" w:themeColor="text1"/>
          <w:szCs w:val="21"/>
        </w:rPr>
        <w:lastRenderedPageBreak/>
        <w:t>到，我们继续期待市场底的到来。宏观经济有其自身的规律，经济</w:t>
      </w:r>
      <w:r>
        <w:rPr>
          <w:rFonts w:eastAsiaTheme="minorEastAsia"/>
          <w:color w:val="000000" w:themeColor="text1"/>
          <w:szCs w:val="21"/>
        </w:rPr>
        <w:t>V</w:t>
      </w:r>
      <w:r>
        <w:rPr>
          <w:rFonts w:eastAsiaTheme="minorEastAsia"/>
          <w:color w:val="000000" w:themeColor="text1"/>
          <w:szCs w:val="21"/>
        </w:rPr>
        <w:t>型反转的概率不大，温和复苏的可能性更大，维持经济的中速增长是可期的。</w:t>
      </w:r>
      <w:r>
        <w:rPr>
          <w:rFonts w:eastAsiaTheme="minorEastAsia"/>
          <w:color w:val="000000" w:themeColor="text1"/>
          <w:szCs w:val="21"/>
        </w:rPr>
        <w:t>2024</w:t>
      </w:r>
      <w:r>
        <w:rPr>
          <w:rFonts w:eastAsiaTheme="minorEastAsia"/>
          <w:color w:val="000000" w:themeColor="text1"/>
          <w:szCs w:val="21"/>
        </w:rPr>
        <w:t>年美国通胀回落明确，降息周期有望开启，外资流出压力减小。港股在经历调整之后，估值吸引力提升，依然是国内经济变化高弹性的标的。宏观经济对新兴行业成长个股影响较小，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本报告期摩根优势成长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:-6.26%</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摩根优势成长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:-6.35%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158,197,252.59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158,197,252.59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15,011,897.94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105,821.01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173,314,971.54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8,596,617.69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5.02%</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124,676,012.27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2,185,000.00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502,152.00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19,089,213.76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896,817.24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2,194,970.00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56,469.63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149,600,634.90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87.42</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5814AD" w:rsidRDefault="004E35C6">
            <w:pPr>
              <w:jc w:val="center"/>
            </w:pPr>
            <w:r>
              <w:rPr>
                <w:rFonts w:eastAsiaTheme="minorEastAsia"/>
                <w:color w:val="000000" w:themeColor="text1"/>
                <w:szCs w:val="21"/>
              </w:rPr>
              <w:t>1,709,857.71</w:t>
            </w:r>
          </w:p>
        </w:tc>
        <w:tc>
          <w:tcPr>
            <w:tcW w:w="3118" w:type="dxa"/>
            <w:vAlign w:val="center"/>
          </w:tcPr>
          <w:p w:rsidR="005814AD" w:rsidRDefault="004E35C6">
            <w:pPr>
              <w:jc w:val="center"/>
            </w:pPr>
            <w:r>
              <w:rPr>
                <w:rFonts w:eastAsiaTheme="minorEastAsia"/>
                <w:color w:val="000000" w:themeColor="text1"/>
                <w:szCs w:val="21"/>
              </w:rPr>
              <w:t>1.00</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5814AD" w:rsidRDefault="004E35C6">
            <w:pPr>
              <w:jc w:val="center"/>
            </w:pPr>
            <w:r>
              <w:rPr>
                <w:rFonts w:eastAsiaTheme="minorEastAsia"/>
                <w:color w:val="000000" w:themeColor="text1"/>
                <w:szCs w:val="21"/>
              </w:rPr>
              <w:t>1,557,678.90</w:t>
            </w:r>
          </w:p>
        </w:tc>
        <w:tc>
          <w:tcPr>
            <w:tcW w:w="3118" w:type="dxa"/>
            <w:vAlign w:val="center"/>
          </w:tcPr>
          <w:p w:rsidR="005814AD" w:rsidRDefault="004E35C6">
            <w:pPr>
              <w:jc w:val="center"/>
            </w:pPr>
            <w:r>
              <w:rPr>
                <w:rFonts w:eastAsiaTheme="minorEastAsia"/>
                <w:color w:val="000000" w:themeColor="text1"/>
                <w:szCs w:val="21"/>
              </w:rPr>
              <w:t>0.91</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5814AD" w:rsidRDefault="004E35C6">
            <w:pPr>
              <w:jc w:val="center"/>
            </w:pPr>
            <w:r>
              <w:rPr>
                <w:rFonts w:eastAsiaTheme="minorEastAsia"/>
                <w:color w:val="000000" w:themeColor="text1"/>
                <w:szCs w:val="21"/>
              </w:rPr>
              <w:t>5,329,081.08</w:t>
            </w:r>
          </w:p>
        </w:tc>
        <w:tc>
          <w:tcPr>
            <w:tcW w:w="3118" w:type="dxa"/>
            <w:vAlign w:val="center"/>
          </w:tcPr>
          <w:p w:rsidR="005814AD" w:rsidRDefault="004E35C6">
            <w:pPr>
              <w:jc w:val="center"/>
            </w:pPr>
            <w:r>
              <w:rPr>
                <w:rFonts w:eastAsiaTheme="minorEastAsia"/>
                <w:color w:val="000000" w:themeColor="text1"/>
                <w:szCs w:val="21"/>
              </w:rPr>
              <w:t>3.11</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814AD">
        <w:trPr>
          <w:jc w:val="center"/>
        </w:trPr>
        <w:tc>
          <w:tcPr>
            <w:tcW w:w="2397" w:type="dxa"/>
            <w:vAlign w:val="center"/>
          </w:tcPr>
          <w:p w:rsidR="005814AD" w:rsidRDefault="004E35C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5814AD" w:rsidRDefault="004E35C6">
            <w:pPr>
              <w:jc w:val="center"/>
            </w:pPr>
            <w:r>
              <w:rPr>
                <w:rFonts w:eastAsiaTheme="minorEastAsia"/>
                <w:color w:val="000000" w:themeColor="text1"/>
                <w:szCs w:val="21"/>
              </w:rPr>
              <w:t>-</w:t>
            </w:r>
          </w:p>
        </w:tc>
        <w:tc>
          <w:tcPr>
            <w:tcW w:w="3118" w:type="dxa"/>
            <w:vAlign w:val="center"/>
          </w:tcPr>
          <w:p w:rsidR="005814AD" w:rsidRDefault="004E35C6">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8,596,617.69</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5.02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814AD">
        <w:tc>
          <w:tcPr>
            <w:tcW w:w="817" w:type="dxa"/>
            <w:vAlign w:val="center"/>
          </w:tcPr>
          <w:p w:rsidR="005814AD" w:rsidRDefault="004E35C6">
            <w:pPr>
              <w:jc w:val="center"/>
            </w:pPr>
            <w:r>
              <w:rPr>
                <w:rFonts w:eastAsiaTheme="minorEastAsia"/>
                <w:kern w:val="0"/>
                <w:szCs w:val="21"/>
              </w:rPr>
              <w:t>1</w:t>
            </w:r>
          </w:p>
        </w:tc>
        <w:tc>
          <w:tcPr>
            <w:tcW w:w="1276" w:type="dxa"/>
            <w:vAlign w:val="center"/>
          </w:tcPr>
          <w:p w:rsidR="005814AD" w:rsidRDefault="004E35C6">
            <w:pPr>
              <w:jc w:val="center"/>
            </w:pPr>
            <w:r>
              <w:rPr>
                <w:rFonts w:eastAsiaTheme="minorEastAsia"/>
                <w:kern w:val="0"/>
                <w:szCs w:val="21"/>
              </w:rPr>
              <w:t>688169</w:t>
            </w:r>
          </w:p>
        </w:tc>
        <w:tc>
          <w:tcPr>
            <w:tcW w:w="1701" w:type="dxa"/>
            <w:vAlign w:val="center"/>
          </w:tcPr>
          <w:p w:rsidR="005814AD" w:rsidRDefault="004E35C6">
            <w:pPr>
              <w:jc w:val="center"/>
            </w:pPr>
            <w:r>
              <w:rPr>
                <w:rFonts w:eastAsiaTheme="minorEastAsia"/>
                <w:kern w:val="0"/>
                <w:szCs w:val="21"/>
              </w:rPr>
              <w:t>石头科技</w:t>
            </w:r>
          </w:p>
        </w:tc>
        <w:tc>
          <w:tcPr>
            <w:tcW w:w="1276" w:type="dxa"/>
            <w:vAlign w:val="center"/>
          </w:tcPr>
          <w:p w:rsidR="005814AD" w:rsidRDefault="004E35C6">
            <w:pPr>
              <w:jc w:val="right"/>
            </w:pPr>
            <w:r>
              <w:rPr>
                <w:rFonts w:eastAsiaTheme="minorEastAsia"/>
                <w:kern w:val="0"/>
                <w:szCs w:val="21"/>
              </w:rPr>
              <w:t>54,958.00</w:t>
            </w:r>
          </w:p>
        </w:tc>
        <w:tc>
          <w:tcPr>
            <w:tcW w:w="1842" w:type="dxa"/>
            <w:vAlign w:val="center"/>
          </w:tcPr>
          <w:p w:rsidR="005814AD" w:rsidRDefault="004E35C6">
            <w:pPr>
              <w:jc w:val="right"/>
            </w:pPr>
            <w:r>
              <w:rPr>
                <w:rFonts w:eastAsiaTheme="minorEastAsia"/>
                <w:kern w:val="0"/>
                <w:szCs w:val="21"/>
              </w:rPr>
              <w:t>15,550,366.10</w:t>
            </w:r>
          </w:p>
        </w:tc>
        <w:tc>
          <w:tcPr>
            <w:tcW w:w="1616" w:type="dxa"/>
            <w:vAlign w:val="center"/>
          </w:tcPr>
          <w:p w:rsidR="005814AD" w:rsidRDefault="004E35C6">
            <w:pPr>
              <w:jc w:val="right"/>
            </w:pPr>
            <w:r>
              <w:rPr>
                <w:rFonts w:eastAsiaTheme="minorEastAsia"/>
                <w:kern w:val="0"/>
                <w:szCs w:val="21"/>
              </w:rPr>
              <w:t>9.09</w:t>
            </w:r>
          </w:p>
        </w:tc>
      </w:tr>
      <w:tr w:rsidR="005814AD">
        <w:tc>
          <w:tcPr>
            <w:tcW w:w="817" w:type="dxa"/>
            <w:vAlign w:val="center"/>
          </w:tcPr>
          <w:p w:rsidR="005814AD" w:rsidRDefault="004E35C6">
            <w:pPr>
              <w:jc w:val="center"/>
            </w:pPr>
            <w:r>
              <w:rPr>
                <w:rFonts w:eastAsiaTheme="minorEastAsia"/>
                <w:kern w:val="0"/>
                <w:szCs w:val="21"/>
              </w:rPr>
              <w:t>2</w:t>
            </w:r>
          </w:p>
        </w:tc>
        <w:tc>
          <w:tcPr>
            <w:tcW w:w="1276" w:type="dxa"/>
            <w:vAlign w:val="center"/>
          </w:tcPr>
          <w:p w:rsidR="005814AD" w:rsidRDefault="004E35C6">
            <w:pPr>
              <w:jc w:val="center"/>
            </w:pPr>
            <w:r>
              <w:rPr>
                <w:rFonts w:eastAsiaTheme="minorEastAsia"/>
                <w:kern w:val="0"/>
                <w:szCs w:val="21"/>
              </w:rPr>
              <w:t>002050</w:t>
            </w:r>
          </w:p>
        </w:tc>
        <w:tc>
          <w:tcPr>
            <w:tcW w:w="1701" w:type="dxa"/>
            <w:vAlign w:val="center"/>
          </w:tcPr>
          <w:p w:rsidR="005814AD" w:rsidRDefault="004E35C6">
            <w:pPr>
              <w:jc w:val="center"/>
            </w:pPr>
            <w:r>
              <w:rPr>
                <w:rFonts w:eastAsiaTheme="minorEastAsia"/>
                <w:kern w:val="0"/>
                <w:szCs w:val="21"/>
              </w:rPr>
              <w:t>三花智控</w:t>
            </w:r>
          </w:p>
        </w:tc>
        <w:tc>
          <w:tcPr>
            <w:tcW w:w="1276" w:type="dxa"/>
            <w:vAlign w:val="center"/>
          </w:tcPr>
          <w:p w:rsidR="005814AD" w:rsidRDefault="004E35C6">
            <w:pPr>
              <w:jc w:val="right"/>
            </w:pPr>
            <w:r>
              <w:rPr>
                <w:rFonts w:eastAsiaTheme="minorEastAsia"/>
                <w:kern w:val="0"/>
                <w:szCs w:val="21"/>
              </w:rPr>
              <w:t>464,758.00</w:t>
            </w:r>
          </w:p>
        </w:tc>
        <w:tc>
          <w:tcPr>
            <w:tcW w:w="1842" w:type="dxa"/>
            <w:vAlign w:val="center"/>
          </w:tcPr>
          <w:p w:rsidR="005814AD" w:rsidRDefault="004E35C6">
            <w:pPr>
              <w:jc w:val="right"/>
            </w:pPr>
            <w:r>
              <w:rPr>
                <w:rFonts w:eastAsiaTheme="minorEastAsia"/>
                <w:kern w:val="0"/>
                <w:szCs w:val="21"/>
              </w:rPr>
              <w:t>13,663,885.20</w:t>
            </w:r>
          </w:p>
        </w:tc>
        <w:tc>
          <w:tcPr>
            <w:tcW w:w="1616" w:type="dxa"/>
            <w:vAlign w:val="center"/>
          </w:tcPr>
          <w:p w:rsidR="005814AD" w:rsidRDefault="004E35C6">
            <w:pPr>
              <w:jc w:val="right"/>
            </w:pPr>
            <w:r>
              <w:rPr>
                <w:rFonts w:eastAsiaTheme="minorEastAsia"/>
                <w:kern w:val="0"/>
                <w:szCs w:val="21"/>
              </w:rPr>
              <w:t>7.98</w:t>
            </w:r>
          </w:p>
        </w:tc>
      </w:tr>
      <w:tr w:rsidR="005814AD">
        <w:tc>
          <w:tcPr>
            <w:tcW w:w="817" w:type="dxa"/>
            <w:vAlign w:val="center"/>
          </w:tcPr>
          <w:p w:rsidR="005814AD" w:rsidRDefault="004E35C6">
            <w:pPr>
              <w:jc w:val="center"/>
            </w:pPr>
            <w:r>
              <w:rPr>
                <w:rFonts w:eastAsiaTheme="minorEastAsia"/>
                <w:kern w:val="0"/>
                <w:szCs w:val="21"/>
              </w:rPr>
              <w:t>3</w:t>
            </w:r>
          </w:p>
        </w:tc>
        <w:tc>
          <w:tcPr>
            <w:tcW w:w="1276" w:type="dxa"/>
            <w:vAlign w:val="center"/>
          </w:tcPr>
          <w:p w:rsidR="005814AD" w:rsidRDefault="004E35C6">
            <w:pPr>
              <w:jc w:val="center"/>
            </w:pPr>
            <w:r>
              <w:rPr>
                <w:rFonts w:eastAsiaTheme="minorEastAsia"/>
                <w:kern w:val="0"/>
                <w:szCs w:val="21"/>
              </w:rPr>
              <w:t>300308</w:t>
            </w:r>
          </w:p>
        </w:tc>
        <w:tc>
          <w:tcPr>
            <w:tcW w:w="1701" w:type="dxa"/>
            <w:vAlign w:val="center"/>
          </w:tcPr>
          <w:p w:rsidR="005814AD" w:rsidRDefault="004E35C6">
            <w:pPr>
              <w:jc w:val="center"/>
            </w:pPr>
            <w:r>
              <w:rPr>
                <w:rFonts w:eastAsiaTheme="minorEastAsia"/>
                <w:kern w:val="0"/>
                <w:szCs w:val="21"/>
              </w:rPr>
              <w:t>中际旭创</w:t>
            </w:r>
          </w:p>
        </w:tc>
        <w:tc>
          <w:tcPr>
            <w:tcW w:w="1276" w:type="dxa"/>
            <w:vAlign w:val="center"/>
          </w:tcPr>
          <w:p w:rsidR="005814AD" w:rsidRDefault="004E35C6">
            <w:pPr>
              <w:jc w:val="right"/>
            </w:pPr>
            <w:r>
              <w:rPr>
                <w:rFonts w:eastAsiaTheme="minorEastAsia"/>
                <w:kern w:val="0"/>
                <w:szCs w:val="21"/>
              </w:rPr>
              <w:t>114,711.00</w:t>
            </w:r>
          </w:p>
        </w:tc>
        <w:tc>
          <w:tcPr>
            <w:tcW w:w="1842" w:type="dxa"/>
            <w:vAlign w:val="center"/>
          </w:tcPr>
          <w:p w:rsidR="005814AD" w:rsidRDefault="004E35C6">
            <w:pPr>
              <w:jc w:val="right"/>
            </w:pPr>
            <w:r>
              <w:rPr>
                <w:rFonts w:eastAsiaTheme="minorEastAsia"/>
                <w:kern w:val="0"/>
                <w:szCs w:val="21"/>
              </w:rPr>
              <w:t>12,952,019.01</w:t>
            </w:r>
          </w:p>
        </w:tc>
        <w:tc>
          <w:tcPr>
            <w:tcW w:w="1616" w:type="dxa"/>
            <w:vAlign w:val="center"/>
          </w:tcPr>
          <w:p w:rsidR="005814AD" w:rsidRDefault="004E35C6">
            <w:pPr>
              <w:jc w:val="right"/>
            </w:pPr>
            <w:r>
              <w:rPr>
                <w:rFonts w:eastAsiaTheme="minorEastAsia"/>
                <w:kern w:val="0"/>
                <w:szCs w:val="21"/>
              </w:rPr>
              <w:t>7.57</w:t>
            </w:r>
          </w:p>
        </w:tc>
      </w:tr>
      <w:tr w:rsidR="005814AD">
        <w:tc>
          <w:tcPr>
            <w:tcW w:w="817" w:type="dxa"/>
            <w:vAlign w:val="center"/>
          </w:tcPr>
          <w:p w:rsidR="005814AD" w:rsidRDefault="004E35C6">
            <w:pPr>
              <w:jc w:val="center"/>
            </w:pPr>
            <w:r>
              <w:rPr>
                <w:rFonts w:eastAsiaTheme="minorEastAsia"/>
                <w:kern w:val="0"/>
                <w:szCs w:val="21"/>
              </w:rPr>
              <w:t>4</w:t>
            </w:r>
          </w:p>
        </w:tc>
        <w:tc>
          <w:tcPr>
            <w:tcW w:w="1276" w:type="dxa"/>
            <w:vAlign w:val="center"/>
          </w:tcPr>
          <w:p w:rsidR="005814AD" w:rsidRDefault="004E35C6">
            <w:pPr>
              <w:jc w:val="center"/>
            </w:pPr>
            <w:r>
              <w:rPr>
                <w:rFonts w:eastAsiaTheme="minorEastAsia"/>
                <w:kern w:val="0"/>
                <w:szCs w:val="21"/>
              </w:rPr>
              <w:t>300394</w:t>
            </w:r>
          </w:p>
        </w:tc>
        <w:tc>
          <w:tcPr>
            <w:tcW w:w="1701" w:type="dxa"/>
            <w:vAlign w:val="center"/>
          </w:tcPr>
          <w:p w:rsidR="005814AD" w:rsidRDefault="004E35C6">
            <w:pPr>
              <w:jc w:val="center"/>
            </w:pPr>
            <w:r>
              <w:rPr>
                <w:rFonts w:eastAsiaTheme="minorEastAsia"/>
                <w:kern w:val="0"/>
                <w:szCs w:val="21"/>
              </w:rPr>
              <w:t>天孚通信</w:t>
            </w:r>
          </w:p>
        </w:tc>
        <w:tc>
          <w:tcPr>
            <w:tcW w:w="1276" w:type="dxa"/>
            <w:vAlign w:val="center"/>
          </w:tcPr>
          <w:p w:rsidR="005814AD" w:rsidRDefault="004E35C6">
            <w:pPr>
              <w:jc w:val="right"/>
            </w:pPr>
            <w:r>
              <w:rPr>
                <w:rFonts w:eastAsiaTheme="minorEastAsia"/>
                <w:kern w:val="0"/>
                <w:szCs w:val="21"/>
              </w:rPr>
              <w:t>108,500.00</w:t>
            </w:r>
          </w:p>
        </w:tc>
        <w:tc>
          <w:tcPr>
            <w:tcW w:w="1842" w:type="dxa"/>
            <w:vAlign w:val="center"/>
          </w:tcPr>
          <w:p w:rsidR="005814AD" w:rsidRDefault="004E35C6">
            <w:pPr>
              <w:jc w:val="right"/>
            </w:pPr>
            <w:r>
              <w:rPr>
                <w:rFonts w:eastAsiaTheme="minorEastAsia"/>
                <w:kern w:val="0"/>
                <w:szCs w:val="21"/>
              </w:rPr>
              <w:t>9,929,920.00</w:t>
            </w:r>
          </w:p>
        </w:tc>
        <w:tc>
          <w:tcPr>
            <w:tcW w:w="1616" w:type="dxa"/>
            <w:vAlign w:val="center"/>
          </w:tcPr>
          <w:p w:rsidR="005814AD" w:rsidRDefault="004E35C6">
            <w:pPr>
              <w:jc w:val="right"/>
            </w:pPr>
            <w:r>
              <w:rPr>
                <w:rFonts w:eastAsiaTheme="minorEastAsia"/>
                <w:kern w:val="0"/>
                <w:szCs w:val="21"/>
              </w:rPr>
              <w:t>5.80</w:t>
            </w:r>
          </w:p>
        </w:tc>
      </w:tr>
      <w:tr w:rsidR="005814AD">
        <w:tc>
          <w:tcPr>
            <w:tcW w:w="817" w:type="dxa"/>
            <w:vAlign w:val="center"/>
          </w:tcPr>
          <w:p w:rsidR="005814AD" w:rsidRDefault="004E35C6">
            <w:pPr>
              <w:jc w:val="center"/>
            </w:pPr>
            <w:r>
              <w:rPr>
                <w:rFonts w:eastAsiaTheme="minorEastAsia"/>
                <w:kern w:val="0"/>
                <w:szCs w:val="21"/>
              </w:rPr>
              <w:t>5</w:t>
            </w:r>
          </w:p>
        </w:tc>
        <w:tc>
          <w:tcPr>
            <w:tcW w:w="1276" w:type="dxa"/>
            <w:vAlign w:val="center"/>
          </w:tcPr>
          <w:p w:rsidR="005814AD" w:rsidRDefault="004E35C6">
            <w:pPr>
              <w:jc w:val="center"/>
            </w:pPr>
            <w:r>
              <w:rPr>
                <w:rFonts w:eastAsiaTheme="minorEastAsia"/>
                <w:kern w:val="0"/>
                <w:szCs w:val="21"/>
              </w:rPr>
              <w:t>000625</w:t>
            </w:r>
          </w:p>
        </w:tc>
        <w:tc>
          <w:tcPr>
            <w:tcW w:w="1701" w:type="dxa"/>
            <w:vAlign w:val="center"/>
          </w:tcPr>
          <w:p w:rsidR="005814AD" w:rsidRDefault="004E35C6">
            <w:pPr>
              <w:jc w:val="center"/>
            </w:pPr>
            <w:r>
              <w:rPr>
                <w:rFonts w:eastAsiaTheme="minorEastAsia"/>
                <w:kern w:val="0"/>
                <w:szCs w:val="21"/>
              </w:rPr>
              <w:t>长安汽车</w:t>
            </w:r>
          </w:p>
        </w:tc>
        <w:tc>
          <w:tcPr>
            <w:tcW w:w="1276" w:type="dxa"/>
            <w:vAlign w:val="center"/>
          </w:tcPr>
          <w:p w:rsidR="005814AD" w:rsidRDefault="004E35C6">
            <w:pPr>
              <w:jc w:val="right"/>
            </w:pPr>
            <w:r>
              <w:rPr>
                <w:rFonts w:eastAsiaTheme="minorEastAsia"/>
                <w:kern w:val="0"/>
                <w:szCs w:val="21"/>
              </w:rPr>
              <w:t>280,900.00</w:t>
            </w:r>
          </w:p>
        </w:tc>
        <w:tc>
          <w:tcPr>
            <w:tcW w:w="1842" w:type="dxa"/>
            <w:vAlign w:val="center"/>
          </w:tcPr>
          <w:p w:rsidR="005814AD" w:rsidRDefault="004E35C6">
            <w:pPr>
              <w:jc w:val="right"/>
            </w:pPr>
            <w:r>
              <w:rPr>
                <w:rFonts w:eastAsiaTheme="minorEastAsia"/>
                <w:kern w:val="0"/>
                <w:szCs w:val="21"/>
              </w:rPr>
              <w:t>4,727,547.00</w:t>
            </w:r>
          </w:p>
        </w:tc>
        <w:tc>
          <w:tcPr>
            <w:tcW w:w="1616" w:type="dxa"/>
            <w:vAlign w:val="center"/>
          </w:tcPr>
          <w:p w:rsidR="005814AD" w:rsidRDefault="004E35C6">
            <w:pPr>
              <w:jc w:val="right"/>
            </w:pPr>
            <w:r>
              <w:rPr>
                <w:rFonts w:eastAsiaTheme="minorEastAsia"/>
                <w:kern w:val="0"/>
                <w:szCs w:val="21"/>
              </w:rPr>
              <w:t>2.76</w:t>
            </w:r>
          </w:p>
        </w:tc>
      </w:tr>
      <w:tr w:rsidR="005814AD">
        <w:tc>
          <w:tcPr>
            <w:tcW w:w="817" w:type="dxa"/>
            <w:vAlign w:val="center"/>
          </w:tcPr>
          <w:p w:rsidR="005814AD" w:rsidRDefault="004E35C6">
            <w:pPr>
              <w:jc w:val="center"/>
            </w:pPr>
            <w:r>
              <w:rPr>
                <w:rFonts w:eastAsiaTheme="minorEastAsia"/>
                <w:kern w:val="0"/>
                <w:szCs w:val="21"/>
              </w:rPr>
              <w:t>6</w:t>
            </w:r>
          </w:p>
        </w:tc>
        <w:tc>
          <w:tcPr>
            <w:tcW w:w="1276" w:type="dxa"/>
            <w:vAlign w:val="center"/>
          </w:tcPr>
          <w:p w:rsidR="005814AD" w:rsidRDefault="004E35C6">
            <w:pPr>
              <w:jc w:val="center"/>
            </w:pPr>
            <w:r>
              <w:rPr>
                <w:rFonts w:eastAsiaTheme="minorEastAsia"/>
                <w:kern w:val="0"/>
                <w:szCs w:val="21"/>
              </w:rPr>
              <w:t>300418</w:t>
            </w:r>
          </w:p>
        </w:tc>
        <w:tc>
          <w:tcPr>
            <w:tcW w:w="1701" w:type="dxa"/>
            <w:vAlign w:val="center"/>
          </w:tcPr>
          <w:p w:rsidR="005814AD" w:rsidRDefault="004E35C6">
            <w:pPr>
              <w:jc w:val="center"/>
            </w:pPr>
            <w:r>
              <w:rPr>
                <w:rFonts w:eastAsiaTheme="minorEastAsia"/>
                <w:kern w:val="0"/>
                <w:szCs w:val="21"/>
              </w:rPr>
              <w:t>昆仑万维</w:t>
            </w:r>
          </w:p>
        </w:tc>
        <w:tc>
          <w:tcPr>
            <w:tcW w:w="1276" w:type="dxa"/>
            <w:vAlign w:val="center"/>
          </w:tcPr>
          <w:p w:rsidR="005814AD" w:rsidRDefault="004E35C6">
            <w:pPr>
              <w:jc w:val="right"/>
            </w:pPr>
            <w:r>
              <w:rPr>
                <w:rFonts w:eastAsiaTheme="minorEastAsia"/>
                <w:kern w:val="0"/>
                <w:szCs w:val="21"/>
              </w:rPr>
              <w:t>125,200.00</w:t>
            </w:r>
          </w:p>
        </w:tc>
        <w:tc>
          <w:tcPr>
            <w:tcW w:w="1842" w:type="dxa"/>
            <w:vAlign w:val="center"/>
          </w:tcPr>
          <w:p w:rsidR="005814AD" w:rsidRDefault="004E35C6">
            <w:pPr>
              <w:jc w:val="right"/>
            </w:pPr>
            <w:r>
              <w:rPr>
                <w:rFonts w:eastAsiaTheme="minorEastAsia"/>
                <w:kern w:val="0"/>
                <w:szCs w:val="21"/>
              </w:rPr>
              <w:t>4,682,480.00</w:t>
            </w:r>
          </w:p>
        </w:tc>
        <w:tc>
          <w:tcPr>
            <w:tcW w:w="1616" w:type="dxa"/>
            <w:vAlign w:val="center"/>
          </w:tcPr>
          <w:p w:rsidR="005814AD" w:rsidRDefault="004E35C6">
            <w:pPr>
              <w:jc w:val="right"/>
            </w:pPr>
            <w:r>
              <w:rPr>
                <w:rFonts w:eastAsiaTheme="minorEastAsia"/>
                <w:kern w:val="0"/>
                <w:szCs w:val="21"/>
              </w:rPr>
              <w:t>2.74</w:t>
            </w:r>
          </w:p>
        </w:tc>
      </w:tr>
      <w:tr w:rsidR="005814AD">
        <w:tc>
          <w:tcPr>
            <w:tcW w:w="817" w:type="dxa"/>
            <w:vAlign w:val="center"/>
          </w:tcPr>
          <w:p w:rsidR="005814AD" w:rsidRDefault="004E35C6">
            <w:pPr>
              <w:jc w:val="center"/>
            </w:pPr>
            <w:r>
              <w:rPr>
                <w:rFonts w:eastAsiaTheme="minorEastAsia"/>
                <w:kern w:val="0"/>
                <w:szCs w:val="21"/>
              </w:rPr>
              <w:t>7</w:t>
            </w:r>
          </w:p>
        </w:tc>
        <w:tc>
          <w:tcPr>
            <w:tcW w:w="1276" w:type="dxa"/>
            <w:vAlign w:val="center"/>
          </w:tcPr>
          <w:p w:rsidR="005814AD" w:rsidRDefault="004E35C6">
            <w:pPr>
              <w:jc w:val="center"/>
            </w:pPr>
            <w:r>
              <w:rPr>
                <w:rFonts w:eastAsiaTheme="minorEastAsia"/>
                <w:kern w:val="0"/>
                <w:szCs w:val="21"/>
              </w:rPr>
              <w:t>603728</w:t>
            </w:r>
          </w:p>
        </w:tc>
        <w:tc>
          <w:tcPr>
            <w:tcW w:w="1701" w:type="dxa"/>
            <w:vAlign w:val="center"/>
          </w:tcPr>
          <w:p w:rsidR="005814AD" w:rsidRDefault="004E35C6">
            <w:pPr>
              <w:jc w:val="center"/>
            </w:pPr>
            <w:r>
              <w:rPr>
                <w:rFonts w:eastAsiaTheme="minorEastAsia"/>
                <w:kern w:val="0"/>
                <w:szCs w:val="21"/>
              </w:rPr>
              <w:t>鸣志电器</w:t>
            </w:r>
          </w:p>
        </w:tc>
        <w:tc>
          <w:tcPr>
            <w:tcW w:w="1276" w:type="dxa"/>
            <w:vAlign w:val="center"/>
          </w:tcPr>
          <w:p w:rsidR="005814AD" w:rsidRDefault="004E35C6">
            <w:pPr>
              <w:jc w:val="right"/>
            </w:pPr>
            <w:r>
              <w:rPr>
                <w:rFonts w:eastAsiaTheme="minorEastAsia"/>
                <w:kern w:val="0"/>
                <w:szCs w:val="21"/>
              </w:rPr>
              <w:t>68,700.00</w:t>
            </w:r>
          </w:p>
        </w:tc>
        <w:tc>
          <w:tcPr>
            <w:tcW w:w="1842" w:type="dxa"/>
            <w:vAlign w:val="center"/>
          </w:tcPr>
          <w:p w:rsidR="005814AD" w:rsidRDefault="004E35C6">
            <w:pPr>
              <w:jc w:val="right"/>
            </w:pPr>
            <w:r>
              <w:rPr>
                <w:rFonts w:eastAsiaTheme="minorEastAsia"/>
                <w:kern w:val="0"/>
                <w:szCs w:val="21"/>
              </w:rPr>
              <w:t>4,523,895.00</w:t>
            </w:r>
          </w:p>
        </w:tc>
        <w:tc>
          <w:tcPr>
            <w:tcW w:w="1616" w:type="dxa"/>
            <w:vAlign w:val="center"/>
          </w:tcPr>
          <w:p w:rsidR="005814AD" w:rsidRDefault="004E35C6">
            <w:pPr>
              <w:jc w:val="right"/>
            </w:pPr>
            <w:r>
              <w:rPr>
                <w:rFonts w:eastAsiaTheme="minorEastAsia"/>
                <w:kern w:val="0"/>
                <w:szCs w:val="21"/>
              </w:rPr>
              <w:t>2.64</w:t>
            </w:r>
          </w:p>
        </w:tc>
      </w:tr>
      <w:tr w:rsidR="005814AD">
        <w:tc>
          <w:tcPr>
            <w:tcW w:w="817" w:type="dxa"/>
            <w:vAlign w:val="center"/>
          </w:tcPr>
          <w:p w:rsidR="005814AD" w:rsidRDefault="004E35C6">
            <w:pPr>
              <w:jc w:val="center"/>
            </w:pPr>
            <w:r>
              <w:rPr>
                <w:rFonts w:eastAsiaTheme="minorEastAsia"/>
                <w:kern w:val="0"/>
                <w:szCs w:val="21"/>
              </w:rPr>
              <w:t>8</w:t>
            </w:r>
          </w:p>
        </w:tc>
        <w:tc>
          <w:tcPr>
            <w:tcW w:w="1276" w:type="dxa"/>
            <w:vAlign w:val="center"/>
          </w:tcPr>
          <w:p w:rsidR="005814AD" w:rsidRDefault="004E35C6">
            <w:pPr>
              <w:jc w:val="center"/>
            </w:pPr>
            <w:r>
              <w:rPr>
                <w:rFonts w:eastAsiaTheme="minorEastAsia"/>
                <w:kern w:val="0"/>
                <w:szCs w:val="21"/>
              </w:rPr>
              <w:t>688212</w:t>
            </w:r>
          </w:p>
        </w:tc>
        <w:tc>
          <w:tcPr>
            <w:tcW w:w="1701" w:type="dxa"/>
            <w:vAlign w:val="center"/>
          </w:tcPr>
          <w:p w:rsidR="005814AD" w:rsidRDefault="004E35C6">
            <w:pPr>
              <w:jc w:val="center"/>
            </w:pPr>
            <w:r>
              <w:rPr>
                <w:rFonts w:eastAsiaTheme="minorEastAsia"/>
                <w:kern w:val="0"/>
                <w:szCs w:val="21"/>
              </w:rPr>
              <w:t>澳华内镜</w:t>
            </w:r>
          </w:p>
        </w:tc>
        <w:tc>
          <w:tcPr>
            <w:tcW w:w="1276" w:type="dxa"/>
            <w:vAlign w:val="center"/>
          </w:tcPr>
          <w:p w:rsidR="005814AD" w:rsidRDefault="004E35C6">
            <w:pPr>
              <w:jc w:val="right"/>
            </w:pPr>
            <w:r>
              <w:rPr>
                <w:rFonts w:eastAsiaTheme="minorEastAsia"/>
                <w:kern w:val="0"/>
                <w:szCs w:val="21"/>
              </w:rPr>
              <w:t>61,287.00</w:t>
            </w:r>
          </w:p>
        </w:tc>
        <w:tc>
          <w:tcPr>
            <w:tcW w:w="1842" w:type="dxa"/>
            <w:vAlign w:val="center"/>
          </w:tcPr>
          <w:p w:rsidR="005814AD" w:rsidRDefault="004E35C6">
            <w:pPr>
              <w:jc w:val="right"/>
            </w:pPr>
            <w:r>
              <w:rPr>
                <w:rFonts w:eastAsiaTheme="minorEastAsia"/>
                <w:kern w:val="0"/>
                <w:szCs w:val="21"/>
              </w:rPr>
              <w:t>3,801,632.61</w:t>
            </w:r>
          </w:p>
        </w:tc>
        <w:tc>
          <w:tcPr>
            <w:tcW w:w="1616" w:type="dxa"/>
            <w:vAlign w:val="center"/>
          </w:tcPr>
          <w:p w:rsidR="005814AD" w:rsidRDefault="004E35C6">
            <w:pPr>
              <w:jc w:val="right"/>
            </w:pPr>
            <w:r>
              <w:rPr>
                <w:rFonts w:eastAsiaTheme="minorEastAsia"/>
                <w:kern w:val="0"/>
                <w:szCs w:val="21"/>
              </w:rPr>
              <w:t>2.22</w:t>
            </w:r>
          </w:p>
        </w:tc>
      </w:tr>
      <w:tr w:rsidR="005814AD">
        <w:tc>
          <w:tcPr>
            <w:tcW w:w="817" w:type="dxa"/>
            <w:vAlign w:val="center"/>
          </w:tcPr>
          <w:p w:rsidR="005814AD" w:rsidRDefault="004E35C6">
            <w:pPr>
              <w:jc w:val="center"/>
            </w:pPr>
            <w:r>
              <w:rPr>
                <w:rFonts w:eastAsiaTheme="minorEastAsia"/>
                <w:kern w:val="0"/>
                <w:szCs w:val="21"/>
              </w:rPr>
              <w:t>9</w:t>
            </w:r>
          </w:p>
        </w:tc>
        <w:tc>
          <w:tcPr>
            <w:tcW w:w="1276" w:type="dxa"/>
            <w:vAlign w:val="center"/>
          </w:tcPr>
          <w:p w:rsidR="005814AD" w:rsidRDefault="004E35C6">
            <w:pPr>
              <w:jc w:val="center"/>
            </w:pPr>
            <w:r>
              <w:rPr>
                <w:rFonts w:eastAsiaTheme="minorEastAsia"/>
                <w:kern w:val="0"/>
                <w:szCs w:val="21"/>
              </w:rPr>
              <w:t>300007</w:t>
            </w:r>
          </w:p>
        </w:tc>
        <w:tc>
          <w:tcPr>
            <w:tcW w:w="1701" w:type="dxa"/>
            <w:vAlign w:val="center"/>
          </w:tcPr>
          <w:p w:rsidR="005814AD" w:rsidRDefault="004E35C6">
            <w:pPr>
              <w:jc w:val="center"/>
            </w:pPr>
            <w:r>
              <w:rPr>
                <w:rFonts w:eastAsiaTheme="minorEastAsia"/>
                <w:kern w:val="0"/>
                <w:szCs w:val="21"/>
              </w:rPr>
              <w:t>汉威科技</w:t>
            </w:r>
          </w:p>
        </w:tc>
        <w:tc>
          <w:tcPr>
            <w:tcW w:w="1276" w:type="dxa"/>
            <w:vAlign w:val="center"/>
          </w:tcPr>
          <w:p w:rsidR="005814AD" w:rsidRDefault="004E35C6">
            <w:pPr>
              <w:jc w:val="right"/>
            </w:pPr>
            <w:r>
              <w:rPr>
                <w:rFonts w:eastAsiaTheme="minorEastAsia"/>
                <w:kern w:val="0"/>
                <w:szCs w:val="21"/>
              </w:rPr>
              <w:t>179,100.00</w:t>
            </w:r>
          </w:p>
        </w:tc>
        <w:tc>
          <w:tcPr>
            <w:tcW w:w="1842" w:type="dxa"/>
            <w:vAlign w:val="center"/>
          </w:tcPr>
          <w:p w:rsidR="005814AD" w:rsidRDefault="004E35C6">
            <w:pPr>
              <w:jc w:val="right"/>
            </w:pPr>
            <w:r>
              <w:rPr>
                <w:rFonts w:eastAsiaTheme="minorEastAsia"/>
                <w:kern w:val="0"/>
                <w:szCs w:val="21"/>
              </w:rPr>
              <w:t>3,721,698.00</w:t>
            </w:r>
          </w:p>
        </w:tc>
        <w:tc>
          <w:tcPr>
            <w:tcW w:w="1616" w:type="dxa"/>
            <w:vAlign w:val="center"/>
          </w:tcPr>
          <w:p w:rsidR="005814AD" w:rsidRDefault="004E35C6">
            <w:pPr>
              <w:jc w:val="right"/>
            </w:pPr>
            <w:r>
              <w:rPr>
                <w:rFonts w:eastAsiaTheme="minorEastAsia"/>
                <w:kern w:val="0"/>
                <w:szCs w:val="21"/>
              </w:rPr>
              <w:t>2.17</w:t>
            </w:r>
          </w:p>
        </w:tc>
      </w:tr>
      <w:tr w:rsidR="005814AD">
        <w:tc>
          <w:tcPr>
            <w:tcW w:w="817" w:type="dxa"/>
            <w:vAlign w:val="center"/>
          </w:tcPr>
          <w:p w:rsidR="005814AD" w:rsidRDefault="004E35C6">
            <w:pPr>
              <w:jc w:val="center"/>
            </w:pPr>
            <w:r>
              <w:rPr>
                <w:rFonts w:eastAsiaTheme="minorEastAsia"/>
                <w:kern w:val="0"/>
                <w:szCs w:val="21"/>
              </w:rPr>
              <w:t>10</w:t>
            </w:r>
          </w:p>
        </w:tc>
        <w:tc>
          <w:tcPr>
            <w:tcW w:w="1276" w:type="dxa"/>
            <w:vAlign w:val="center"/>
          </w:tcPr>
          <w:p w:rsidR="005814AD" w:rsidRDefault="004E35C6">
            <w:pPr>
              <w:jc w:val="center"/>
            </w:pPr>
            <w:r>
              <w:rPr>
                <w:rFonts w:eastAsiaTheme="minorEastAsia"/>
                <w:kern w:val="0"/>
                <w:szCs w:val="21"/>
              </w:rPr>
              <w:t>688017</w:t>
            </w:r>
          </w:p>
        </w:tc>
        <w:tc>
          <w:tcPr>
            <w:tcW w:w="1701" w:type="dxa"/>
            <w:vAlign w:val="center"/>
          </w:tcPr>
          <w:p w:rsidR="005814AD" w:rsidRDefault="004E35C6">
            <w:pPr>
              <w:jc w:val="center"/>
            </w:pPr>
            <w:r>
              <w:rPr>
                <w:rFonts w:eastAsiaTheme="minorEastAsia"/>
                <w:kern w:val="0"/>
                <w:szCs w:val="21"/>
              </w:rPr>
              <w:t>绿的谐波</w:t>
            </w:r>
          </w:p>
        </w:tc>
        <w:tc>
          <w:tcPr>
            <w:tcW w:w="1276" w:type="dxa"/>
            <w:vAlign w:val="center"/>
          </w:tcPr>
          <w:p w:rsidR="005814AD" w:rsidRDefault="004E35C6">
            <w:pPr>
              <w:jc w:val="right"/>
            </w:pPr>
            <w:r>
              <w:rPr>
                <w:rFonts w:eastAsiaTheme="minorEastAsia"/>
                <w:kern w:val="0"/>
                <w:szCs w:val="21"/>
              </w:rPr>
              <w:t>24,232.00</w:t>
            </w:r>
          </w:p>
        </w:tc>
        <w:tc>
          <w:tcPr>
            <w:tcW w:w="1842" w:type="dxa"/>
            <w:vAlign w:val="center"/>
          </w:tcPr>
          <w:p w:rsidR="005814AD" w:rsidRDefault="004E35C6">
            <w:pPr>
              <w:jc w:val="right"/>
            </w:pPr>
            <w:r>
              <w:rPr>
                <w:rFonts w:eastAsiaTheme="minorEastAsia"/>
                <w:kern w:val="0"/>
                <w:szCs w:val="21"/>
              </w:rPr>
              <w:t>3,719,612.00</w:t>
            </w:r>
          </w:p>
        </w:tc>
        <w:tc>
          <w:tcPr>
            <w:tcW w:w="1616" w:type="dxa"/>
            <w:vAlign w:val="center"/>
          </w:tcPr>
          <w:p w:rsidR="005814AD" w:rsidRDefault="004E35C6">
            <w:pPr>
              <w:jc w:val="right"/>
            </w:pPr>
            <w:r>
              <w:rPr>
                <w:rFonts w:eastAsiaTheme="minorEastAsia"/>
                <w:kern w:val="0"/>
                <w:szCs w:val="21"/>
              </w:rPr>
              <w:t>2.17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64,211.50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41,609.51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105,821.01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322,435,877.31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40,789,438.73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3,237,354.65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1,551,696.79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7,939,398.17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1,387,550.29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317,733,833.79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40,953,585.23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2,553,686.14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2,553,686.14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0.71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摩根优势成长混合型证券投资基金基金合同</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摩根优势成长混合型证券投资基金托管协议</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814AD" w:rsidRDefault="004E35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E35C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E35C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E35C6">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摩根优势成长混合型证券投资基金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35C6"/>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4AD"/>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39383-4FE8-41A4-B662-6ED7C025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1252</Words>
  <Characters>7139</Characters>
  <Application>Microsoft Office Word</Application>
  <DocSecurity>0</DocSecurity>
  <Lines>59</Lines>
  <Paragraphs>16</Paragraphs>
  <ScaleCrop>false</ScaleCrop>
  <Company>TRT. Ltd. Co.</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2024-01-19T07:06:00Z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