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上投摩根鑫睿优选一年持有期混合型证券投资基金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基金托管人：兴业银行股份有限公司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报告送出日期：二〇二二年十月二十六日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基金托管人兴业银行股份有限公司根据本基金合同规定，于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25</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上投摩根鑫睿优选一年持有期混合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012904</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012904</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2022</w:t>
            </w:r>
            <w:r w:rsidRPr="00FF6B9A">
              <w:rPr>
                <w:rFonts w:eastAsiaTheme="minorEastAsia"/>
                <w:color w:val="000000" w:themeColor="text1"/>
                <w:kern w:val="0"/>
              </w:rPr>
              <w:t>年</w:t>
            </w:r>
            <w:r w:rsidRPr="00FF6B9A">
              <w:rPr>
                <w:rFonts w:eastAsiaTheme="minorEastAsia"/>
                <w:color w:val="000000" w:themeColor="text1"/>
                <w:kern w:val="0"/>
              </w:rPr>
              <w:t>3</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217,079,752.25</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在严格的风险控制的前提下，采用定性与定量的分析，自上而下进行宏观分析和行业配置，自下而上精选个股，力争实现基金资产的长期增值。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在控制风险的前提下，本基金将优先配置股票资产，本基金股票资产占基金资产的投资比例为</w:t>
            </w:r>
            <w:r>
              <w:rPr>
                <w:rFonts w:eastAsiaTheme="minorEastAsia"/>
                <w:color w:val="000000" w:themeColor="text1"/>
                <w:kern w:val="0"/>
              </w:rPr>
              <w:t>60%-95%</w:t>
            </w:r>
            <w:r>
              <w:rPr>
                <w:rFonts w:eastAsiaTheme="minorEastAsia"/>
                <w:color w:val="000000" w:themeColor="text1"/>
                <w:kern w:val="0"/>
              </w:rPr>
              <w:t>，其中港股通标的股票的投资比例不超过股票资产的</w:t>
            </w:r>
            <w:r>
              <w:rPr>
                <w:rFonts w:eastAsiaTheme="minorEastAsia"/>
                <w:color w:val="000000" w:themeColor="text1"/>
                <w:kern w:val="0"/>
              </w:rPr>
              <w:t>50%</w:t>
            </w:r>
            <w:r>
              <w:rPr>
                <w:rFonts w:eastAsiaTheme="minorEastAsia"/>
                <w:color w:val="000000" w:themeColor="text1"/>
                <w:kern w:val="0"/>
              </w:rPr>
              <w:t>。</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rPr>
              <w:t>A</w:t>
            </w:r>
            <w:r>
              <w:rPr>
                <w:rFonts w:eastAsiaTheme="minorEastAsia"/>
                <w:color w:val="000000" w:themeColor="text1"/>
                <w:kern w:val="0"/>
              </w:rPr>
              <w:t>股形成互补。</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本基金将通过自下而上方法挖掘优质个股，结合各项定量和定性指标挑选出最具上涨潜力的标的。</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D155FC" w:rsidRDefault="00A077FD">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w:t>
            </w:r>
            <w:r w:rsidRPr="00FF6B9A">
              <w:rPr>
                <w:rFonts w:eastAsiaTheme="minorEastAsia"/>
                <w:color w:val="000000" w:themeColor="text1"/>
                <w:kern w:val="0"/>
              </w:rPr>
              <w:t>、其他投资策略：包括股指期货投资策略、资产支持证券投资策略、股票期权投资策略、证券公司短期公司债券投资策略、存托凭证投资策略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*65%+</w:t>
            </w:r>
            <w:r w:rsidRPr="00FF6B9A">
              <w:rPr>
                <w:rFonts w:eastAsiaTheme="minorEastAsia"/>
                <w:color w:val="000000" w:themeColor="text1"/>
                <w:kern w:val="0"/>
              </w:rPr>
              <w:t>中证港股通指数收益率</w:t>
            </w:r>
            <w:r w:rsidRPr="00FF6B9A">
              <w:rPr>
                <w:rFonts w:eastAsiaTheme="minorEastAsia"/>
                <w:color w:val="000000" w:themeColor="text1"/>
                <w:kern w:val="0"/>
              </w:rPr>
              <w:t>*20%+</w:t>
            </w:r>
            <w:r w:rsidRPr="00FF6B9A">
              <w:rPr>
                <w:rFonts w:eastAsiaTheme="minorEastAsia"/>
                <w:color w:val="000000" w:themeColor="text1"/>
                <w:kern w:val="0"/>
              </w:rPr>
              <w:t>上证国债指数收益率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兴业银行股份有限公司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077FD" w:rsidRPr="00FF6B9A" w:rsidTr="00A077FD">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A077FD" w:rsidRPr="00FF6B9A" w:rsidTr="00A077F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-6,714,620.12</w:t>
            </w:r>
          </w:p>
        </w:tc>
      </w:tr>
      <w:tr w:rsidR="00A077FD" w:rsidRPr="00FF6B9A" w:rsidTr="00A077F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-33,864,015.84</w:t>
            </w:r>
          </w:p>
        </w:tc>
      </w:tr>
      <w:tr w:rsidR="00A077FD" w:rsidRPr="00FF6B9A" w:rsidTr="00A077F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-0.1561</w:t>
            </w:r>
          </w:p>
        </w:tc>
      </w:tr>
      <w:tr w:rsidR="00A077FD" w:rsidRPr="00FF6B9A" w:rsidTr="00A077F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194,908,354.01</w:t>
            </w:r>
          </w:p>
        </w:tc>
      </w:tr>
      <w:tr w:rsidR="00A077FD" w:rsidRPr="00FF6B9A" w:rsidTr="00A077FD">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0.8979</w:t>
            </w:r>
          </w:p>
        </w:tc>
      </w:tr>
    </w:tbl>
    <w:p w:rsidR="00D155FC" w:rsidRDefault="00A077F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D155FC">
        <w:tc>
          <w:tcPr>
            <w:tcW w:w="1395" w:type="dxa"/>
            <w:vAlign w:val="center"/>
          </w:tcPr>
          <w:p w:rsidR="00D155FC" w:rsidRDefault="00A077FD">
            <w:pPr>
              <w:jc w:val="left"/>
            </w:pPr>
            <w:r>
              <w:rPr>
                <w:rFonts w:eastAsiaTheme="minorEastAsia"/>
                <w:color w:val="000000" w:themeColor="text1"/>
                <w:kern w:val="0"/>
              </w:rPr>
              <w:t>过去三个月</w:t>
            </w:r>
          </w:p>
        </w:tc>
        <w:tc>
          <w:tcPr>
            <w:tcW w:w="1092" w:type="dxa"/>
            <w:vAlign w:val="center"/>
          </w:tcPr>
          <w:p w:rsidR="00D155FC" w:rsidRDefault="00A077FD">
            <w:pPr>
              <w:jc w:val="center"/>
            </w:pPr>
            <w:r>
              <w:rPr>
                <w:rFonts w:eastAsiaTheme="minorEastAsia"/>
                <w:color w:val="000000" w:themeColor="text1"/>
                <w:kern w:val="0"/>
              </w:rPr>
              <w:t>-14.80%</w:t>
            </w:r>
          </w:p>
        </w:tc>
        <w:tc>
          <w:tcPr>
            <w:tcW w:w="1161" w:type="dxa"/>
            <w:vAlign w:val="center"/>
          </w:tcPr>
          <w:p w:rsidR="00D155FC" w:rsidRDefault="00A077FD">
            <w:pPr>
              <w:jc w:val="center"/>
            </w:pPr>
            <w:r>
              <w:rPr>
                <w:rFonts w:eastAsiaTheme="minorEastAsia"/>
                <w:color w:val="000000" w:themeColor="text1"/>
                <w:kern w:val="0"/>
              </w:rPr>
              <w:t>1.22%</w:t>
            </w:r>
          </w:p>
        </w:tc>
        <w:tc>
          <w:tcPr>
            <w:tcW w:w="1181" w:type="dxa"/>
            <w:vAlign w:val="center"/>
          </w:tcPr>
          <w:p w:rsidR="00D155FC" w:rsidRDefault="00A077FD">
            <w:pPr>
              <w:jc w:val="center"/>
            </w:pPr>
            <w:r>
              <w:rPr>
                <w:rFonts w:eastAsiaTheme="minorEastAsia"/>
                <w:color w:val="000000" w:themeColor="text1"/>
                <w:kern w:val="0"/>
              </w:rPr>
              <w:t>-12.66%</w:t>
            </w:r>
          </w:p>
        </w:tc>
        <w:tc>
          <w:tcPr>
            <w:tcW w:w="1188" w:type="dxa"/>
            <w:vAlign w:val="center"/>
          </w:tcPr>
          <w:p w:rsidR="00D155FC" w:rsidRDefault="00A077FD">
            <w:pPr>
              <w:jc w:val="center"/>
            </w:pPr>
            <w:r>
              <w:rPr>
                <w:rFonts w:eastAsiaTheme="minorEastAsia"/>
                <w:color w:val="000000" w:themeColor="text1"/>
                <w:kern w:val="0"/>
              </w:rPr>
              <w:t>0.77%</w:t>
            </w:r>
          </w:p>
        </w:tc>
        <w:tc>
          <w:tcPr>
            <w:tcW w:w="1199" w:type="dxa"/>
            <w:vAlign w:val="center"/>
          </w:tcPr>
          <w:p w:rsidR="00D155FC" w:rsidRDefault="00A077FD">
            <w:pPr>
              <w:jc w:val="center"/>
            </w:pPr>
            <w:r>
              <w:rPr>
                <w:rFonts w:eastAsiaTheme="minorEastAsia"/>
                <w:color w:val="000000" w:themeColor="text1"/>
                <w:kern w:val="0"/>
              </w:rPr>
              <w:t>-2.14%</w:t>
            </w:r>
          </w:p>
        </w:tc>
        <w:tc>
          <w:tcPr>
            <w:tcW w:w="1204" w:type="dxa"/>
            <w:vAlign w:val="center"/>
          </w:tcPr>
          <w:p w:rsidR="00D155FC" w:rsidRDefault="00A077FD">
            <w:pPr>
              <w:jc w:val="center"/>
            </w:pPr>
            <w:r>
              <w:rPr>
                <w:rFonts w:eastAsiaTheme="minorEastAsia"/>
                <w:color w:val="000000" w:themeColor="text1"/>
                <w:kern w:val="0"/>
              </w:rPr>
              <w:t>0.45%</w:t>
            </w:r>
          </w:p>
        </w:tc>
      </w:tr>
      <w:tr w:rsidR="00D155FC">
        <w:tc>
          <w:tcPr>
            <w:tcW w:w="1395" w:type="dxa"/>
            <w:vAlign w:val="center"/>
          </w:tcPr>
          <w:p w:rsidR="00D155FC" w:rsidRDefault="00A077FD">
            <w:pPr>
              <w:jc w:val="left"/>
            </w:pPr>
            <w:r>
              <w:rPr>
                <w:rFonts w:eastAsiaTheme="minorEastAsia"/>
                <w:color w:val="000000" w:themeColor="text1"/>
                <w:kern w:val="0"/>
              </w:rPr>
              <w:t>过去六个月</w:t>
            </w:r>
          </w:p>
        </w:tc>
        <w:tc>
          <w:tcPr>
            <w:tcW w:w="1092" w:type="dxa"/>
            <w:vAlign w:val="center"/>
          </w:tcPr>
          <w:p w:rsidR="00D155FC" w:rsidRDefault="00A077FD">
            <w:pPr>
              <w:jc w:val="center"/>
            </w:pPr>
            <w:r>
              <w:rPr>
                <w:rFonts w:eastAsiaTheme="minorEastAsia"/>
                <w:color w:val="000000" w:themeColor="text1"/>
                <w:kern w:val="0"/>
              </w:rPr>
              <w:t>-10.02%</w:t>
            </w:r>
          </w:p>
        </w:tc>
        <w:tc>
          <w:tcPr>
            <w:tcW w:w="1161" w:type="dxa"/>
            <w:vAlign w:val="center"/>
          </w:tcPr>
          <w:p w:rsidR="00D155FC" w:rsidRDefault="00A077FD">
            <w:pPr>
              <w:jc w:val="center"/>
            </w:pPr>
            <w:r>
              <w:rPr>
                <w:rFonts w:eastAsiaTheme="minorEastAsia"/>
                <w:color w:val="000000" w:themeColor="text1"/>
                <w:kern w:val="0"/>
              </w:rPr>
              <w:t>1.07%</w:t>
            </w:r>
          </w:p>
        </w:tc>
        <w:tc>
          <w:tcPr>
            <w:tcW w:w="1181" w:type="dxa"/>
            <w:vAlign w:val="center"/>
          </w:tcPr>
          <w:p w:rsidR="00D155FC" w:rsidRDefault="00A077FD">
            <w:pPr>
              <w:jc w:val="center"/>
            </w:pPr>
            <w:r>
              <w:rPr>
                <w:rFonts w:eastAsiaTheme="minorEastAsia"/>
                <w:color w:val="000000" w:themeColor="text1"/>
                <w:kern w:val="0"/>
              </w:rPr>
              <w:t>-8.71%</w:t>
            </w:r>
          </w:p>
        </w:tc>
        <w:tc>
          <w:tcPr>
            <w:tcW w:w="1188" w:type="dxa"/>
            <w:vAlign w:val="center"/>
          </w:tcPr>
          <w:p w:rsidR="00D155FC" w:rsidRDefault="00A077FD">
            <w:pPr>
              <w:jc w:val="center"/>
            </w:pPr>
            <w:r>
              <w:rPr>
                <w:rFonts w:eastAsiaTheme="minorEastAsia"/>
                <w:color w:val="000000" w:themeColor="text1"/>
                <w:kern w:val="0"/>
              </w:rPr>
              <w:t>1.00%</w:t>
            </w:r>
          </w:p>
        </w:tc>
        <w:tc>
          <w:tcPr>
            <w:tcW w:w="1199" w:type="dxa"/>
            <w:vAlign w:val="center"/>
          </w:tcPr>
          <w:p w:rsidR="00D155FC" w:rsidRDefault="00A077FD">
            <w:pPr>
              <w:jc w:val="center"/>
            </w:pPr>
            <w:r>
              <w:rPr>
                <w:rFonts w:eastAsiaTheme="minorEastAsia"/>
                <w:color w:val="000000" w:themeColor="text1"/>
                <w:kern w:val="0"/>
              </w:rPr>
              <w:t>-1.31%</w:t>
            </w:r>
          </w:p>
        </w:tc>
        <w:tc>
          <w:tcPr>
            <w:tcW w:w="1204" w:type="dxa"/>
            <w:vAlign w:val="center"/>
          </w:tcPr>
          <w:p w:rsidR="00D155FC" w:rsidRDefault="00A077FD">
            <w:pPr>
              <w:jc w:val="center"/>
            </w:pPr>
            <w:r>
              <w:rPr>
                <w:rFonts w:eastAsiaTheme="minorEastAsia"/>
                <w:color w:val="000000" w:themeColor="text1"/>
                <w:kern w:val="0"/>
              </w:rPr>
              <w:t>0.07%</w:t>
            </w:r>
          </w:p>
        </w:tc>
      </w:tr>
      <w:tr w:rsidR="00D155FC">
        <w:tc>
          <w:tcPr>
            <w:tcW w:w="1395" w:type="dxa"/>
            <w:vAlign w:val="center"/>
          </w:tcPr>
          <w:p w:rsidR="00D155FC" w:rsidRDefault="00A077FD">
            <w:pPr>
              <w:jc w:val="left"/>
            </w:pPr>
            <w:r>
              <w:rPr>
                <w:rFonts w:eastAsiaTheme="minorEastAsia"/>
                <w:color w:val="000000" w:themeColor="text1"/>
                <w:kern w:val="0"/>
              </w:rPr>
              <w:t>过去一年</w:t>
            </w:r>
          </w:p>
        </w:tc>
        <w:tc>
          <w:tcPr>
            <w:tcW w:w="1092" w:type="dxa"/>
            <w:vAlign w:val="center"/>
          </w:tcPr>
          <w:p w:rsidR="00D155FC" w:rsidRDefault="00A077FD">
            <w:pPr>
              <w:jc w:val="center"/>
            </w:pPr>
            <w:r>
              <w:rPr>
                <w:rFonts w:eastAsiaTheme="minorEastAsia"/>
                <w:color w:val="000000" w:themeColor="text1"/>
                <w:kern w:val="0"/>
              </w:rPr>
              <w:t>-</w:t>
            </w:r>
          </w:p>
        </w:tc>
        <w:tc>
          <w:tcPr>
            <w:tcW w:w="1161" w:type="dxa"/>
            <w:vAlign w:val="center"/>
          </w:tcPr>
          <w:p w:rsidR="00D155FC" w:rsidRDefault="00A077FD">
            <w:pPr>
              <w:jc w:val="center"/>
            </w:pPr>
            <w:r>
              <w:rPr>
                <w:rFonts w:eastAsiaTheme="minorEastAsia"/>
                <w:color w:val="000000" w:themeColor="text1"/>
                <w:kern w:val="0"/>
              </w:rPr>
              <w:t>-</w:t>
            </w:r>
          </w:p>
        </w:tc>
        <w:tc>
          <w:tcPr>
            <w:tcW w:w="1181" w:type="dxa"/>
            <w:vAlign w:val="center"/>
          </w:tcPr>
          <w:p w:rsidR="00D155FC" w:rsidRDefault="00A077FD">
            <w:pPr>
              <w:jc w:val="center"/>
            </w:pPr>
            <w:r>
              <w:rPr>
                <w:rFonts w:eastAsiaTheme="minorEastAsia"/>
                <w:color w:val="000000" w:themeColor="text1"/>
                <w:kern w:val="0"/>
              </w:rPr>
              <w:t>-</w:t>
            </w:r>
          </w:p>
        </w:tc>
        <w:tc>
          <w:tcPr>
            <w:tcW w:w="1188" w:type="dxa"/>
            <w:vAlign w:val="center"/>
          </w:tcPr>
          <w:p w:rsidR="00D155FC" w:rsidRDefault="00A077FD">
            <w:pPr>
              <w:jc w:val="center"/>
            </w:pPr>
            <w:r>
              <w:rPr>
                <w:rFonts w:eastAsiaTheme="minorEastAsia"/>
                <w:color w:val="000000" w:themeColor="text1"/>
                <w:kern w:val="0"/>
              </w:rPr>
              <w:t>-</w:t>
            </w:r>
          </w:p>
        </w:tc>
        <w:tc>
          <w:tcPr>
            <w:tcW w:w="1199" w:type="dxa"/>
            <w:vAlign w:val="center"/>
          </w:tcPr>
          <w:p w:rsidR="00D155FC" w:rsidRDefault="00A077FD">
            <w:pPr>
              <w:jc w:val="center"/>
            </w:pPr>
            <w:r>
              <w:rPr>
                <w:rFonts w:eastAsiaTheme="minorEastAsia"/>
                <w:color w:val="000000" w:themeColor="text1"/>
                <w:kern w:val="0"/>
              </w:rPr>
              <w:t>-</w:t>
            </w:r>
          </w:p>
        </w:tc>
        <w:tc>
          <w:tcPr>
            <w:tcW w:w="1204" w:type="dxa"/>
            <w:vAlign w:val="center"/>
          </w:tcPr>
          <w:p w:rsidR="00D155FC" w:rsidRDefault="00A077FD">
            <w:pPr>
              <w:jc w:val="center"/>
            </w:pPr>
            <w:r>
              <w:rPr>
                <w:rFonts w:eastAsiaTheme="minorEastAsia"/>
                <w:color w:val="000000" w:themeColor="text1"/>
                <w:kern w:val="0"/>
              </w:rPr>
              <w:t>-</w:t>
            </w:r>
          </w:p>
        </w:tc>
      </w:tr>
      <w:tr w:rsidR="00D155FC">
        <w:tc>
          <w:tcPr>
            <w:tcW w:w="1395" w:type="dxa"/>
            <w:vAlign w:val="center"/>
          </w:tcPr>
          <w:p w:rsidR="00D155FC" w:rsidRDefault="00A077FD">
            <w:pPr>
              <w:jc w:val="left"/>
            </w:pPr>
            <w:r>
              <w:rPr>
                <w:rFonts w:eastAsiaTheme="minorEastAsia"/>
                <w:color w:val="000000" w:themeColor="text1"/>
                <w:kern w:val="0"/>
              </w:rPr>
              <w:t>过去三年</w:t>
            </w:r>
          </w:p>
        </w:tc>
        <w:tc>
          <w:tcPr>
            <w:tcW w:w="1092" w:type="dxa"/>
            <w:vAlign w:val="center"/>
          </w:tcPr>
          <w:p w:rsidR="00D155FC" w:rsidRDefault="00A077FD">
            <w:pPr>
              <w:jc w:val="center"/>
            </w:pPr>
            <w:r>
              <w:rPr>
                <w:rFonts w:eastAsiaTheme="minorEastAsia"/>
                <w:color w:val="000000" w:themeColor="text1"/>
                <w:kern w:val="0"/>
              </w:rPr>
              <w:t>-</w:t>
            </w:r>
          </w:p>
        </w:tc>
        <w:tc>
          <w:tcPr>
            <w:tcW w:w="1161" w:type="dxa"/>
            <w:vAlign w:val="center"/>
          </w:tcPr>
          <w:p w:rsidR="00D155FC" w:rsidRDefault="00A077FD">
            <w:pPr>
              <w:jc w:val="center"/>
            </w:pPr>
            <w:r>
              <w:rPr>
                <w:rFonts w:eastAsiaTheme="minorEastAsia"/>
                <w:color w:val="000000" w:themeColor="text1"/>
                <w:kern w:val="0"/>
              </w:rPr>
              <w:t>-</w:t>
            </w:r>
          </w:p>
        </w:tc>
        <w:tc>
          <w:tcPr>
            <w:tcW w:w="1181" w:type="dxa"/>
            <w:vAlign w:val="center"/>
          </w:tcPr>
          <w:p w:rsidR="00D155FC" w:rsidRDefault="00A077FD">
            <w:pPr>
              <w:jc w:val="center"/>
            </w:pPr>
            <w:r>
              <w:rPr>
                <w:rFonts w:eastAsiaTheme="minorEastAsia"/>
                <w:color w:val="000000" w:themeColor="text1"/>
                <w:kern w:val="0"/>
              </w:rPr>
              <w:t>-</w:t>
            </w:r>
          </w:p>
        </w:tc>
        <w:tc>
          <w:tcPr>
            <w:tcW w:w="1188" w:type="dxa"/>
            <w:vAlign w:val="center"/>
          </w:tcPr>
          <w:p w:rsidR="00D155FC" w:rsidRDefault="00A077FD">
            <w:pPr>
              <w:jc w:val="center"/>
            </w:pPr>
            <w:r>
              <w:rPr>
                <w:rFonts w:eastAsiaTheme="minorEastAsia"/>
                <w:color w:val="000000" w:themeColor="text1"/>
                <w:kern w:val="0"/>
              </w:rPr>
              <w:t>-</w:t>
            </w:r>
          </w:p>
        </w:tc>
        <w:tc>
          <w:tcPr>
            <w:tcW w:w="1199" w:type="dxa"/>
            <w:vAlign w:val="center"/>
          </w:tcPr>
          <w:p w:rsidR="00D155FC" w:rsidRDefault="00A077FD">
            <w:pPr>
              <w:jc w:val="center"/>
            </w:pPr>
            <w:r>
              <w:rPr>
                <w:rFonts w:eastAsiaTheme="minorEastAsia"/>
                <w:color w:val="000000" w:themeColor="text1"/>
                <w:kern w:val="0"/>
              </w:rPr>
              <w:t>-</w:t>
            </w:r>
          </w:p>
        </w:tc>
        <w:tc>
          <w:tcPr>
            <w:tcW w:w="1204" w:type="dxa"/>
            <w:vAlign w:val="center"/>
          </w:tcPr>
          <w:p w:rsidR="00D155FC" w:rsidRDefault="00A077FD">
            <w:pPr>
              <w:jc w:val="center"/>
            </w:pPr>
            <w:r>
              <w:rPr>
                <w:rFonts w:eastAsiaTheme="minorEastAsia"/>
                <w:color w:val="000000" w:themeColor="text1"/>
                <w:kern w:val="0"/>
              </w:rPr>
              <w:t>-</w:t>
            </w:r>
          </w:p>
        </w:tc>
      </w:tr>
      <w:tr w:rsidR="00D155FC">
        <w:tc>
          <w:tcPr>
            <w:tcW w:w="1395" w:type="dxa"/>
            <w:vAlign w:val="center"/>
          </w:tcPr>
          <w:p w:rsidR="00D155FC" w:rsidRDefault="00A077FD">
            <w:pPr>
              <w:jc w:val="left"/>
            </w:pPr>
            <w:r>
              <w:rPr>
                <w:rFonts w:eastAsiaTheme="minorEastAsia"/>
                <w:color w:val="000000" w:themeColor="text1"/>
                <w:kern w:val="0"/>
              </w:rPr>
              <w:t>过去五年</w:t>
            </w:r>
          </w:p>
        </w:tc>
        <w:tc>
          <w:tcPr>
            <w:tcW w:w="1092" w:type="dxa"/>
            <w:vAlign w:val="center"/>
          </w:tcPr>
          <w:p w:rsidR="00D155FC" w:rsidRDefault="00A077FD">
            <w:pPr>
              <w:jc w:val="center"/>
            </w:pPr>
            <w:r>
              <w:rPr>
                <w:rFonts w:eastAsiaTheme="minorEastAsia"/>
                <w:color w:val="000000" w:themeColor="text1"/>
                <w:kern w:val="0"/>
              </w:rPr>
              <w:t>-</w:t>
            </w:r>
          </w:p>
        </w:tc>
        <w:tc>
          <w:tcPr>
            <w:tcW w:w="1161" w:type="dxa"/>
            <w:vAlign w:val="center"/>
          </w:tcPr>
          <w:p w:rsidR="00D155FC" w:rsidRDefault="00A077FD">
            <w:pPr>
              <w:jc w:val="center"/>
            </w:pPr>
            <w:r>
              <w:rPr>
                <w:rFonts w:eastAsiaTheme="minorEastAsia"/>
                <w:color w:val="000000" w:themeColor="text1"/>
                <w:kern w:val="0"/>
              </w:rPr>
              <w:t>-</w:t>
            </w:r>
          </w:p>
        </w:tc>
        <w:tc>
          <w:tcPr>
            <w:tcW w:w="1181" w:type="dxa"/>
            <w:vAlign w:val="center"/>
          </w:tcPr>
          <w:p w:rsidR="00D155FC" w:rsidRDefault="00A077FD">
            <w:pPr>
              <w:jc w:val="center"/>
            </w:pPr>
            <w:r>
              <w:rPr>
                <w:rFonts w:eastAsiaTheme="minorEastAsia"/>
                <w:color w:val="000000" w:themeColor="text1"/>
                <w:kern w:val="0"/>
              </w:rPr>
              <w:t>-</w:t>
            </w:r>
          </w:p>
        </w:tc>
        <w:tc>
          <w:tcPr>
            <w:tcW w:w="1188" w:type="dxa"/>
            <w:vAlign w:val="center"/>
          </w:tcPr>
          <w:p w:rsidR="00D155FC" w:rsidRDefault="00A077FD">
            <w:pPr>
              <w:jc w:val="center"/>
            </w:pPr>
            <w:r>
              <w:rPr>
                <w:rFonts w:eastAsiaTheme="minorEastAsia"/>
                <w:color w:val="000000" w:themeColor="text1"/>
                <w:kern w:val="0"/>
              </w:rPr>
              <w:t>-</w:t>
            </w:r>
          </w:p>
        </w:tc>
        <w:tc>
          <w:tcPr>
            <w:tcW w:w="1199" w:type="dxa"/>
            <w:vAlign w:val="center"/>
          </w:tcPr>
          <w:p w:rsidR="00D155FC" w:rsidRDefault="00A077FD">
            <w:pPr>
              <w:jc w:val="center"/>
            </w:pPr>
            <w:r>
              <w:rPr>
                <w:rFonts w:eastAsiaTheme="minorEastAsia"/>
                <w:color w:val="000000" w:themeColor="text1"/>
                <w:kern w:val="0"/>
              </w:rPr>
              <w:t>-</w:t>
            </w:r>
          </w:p>
        </w:tc>
        <w:tc>
          <w:tcPr>
            <w:tcW w:w="1204" w:type="dxa"/>
            <w:vAlign w:val="center"/>
          </w:tcPr>
          <w:p w:rsidR="00D155FC" w:rsidRDefault="00A077FD">
            <w:pPr>
              <w:jc w:val="center"/>
            </w:pPr>
            <w:r>
              <w:rPr>
                <w:rFonts w:eastAsiaTheme="minorEastAsia"/>
                <w:color w:val="000000" w:themeColor="text1"/>
                <w:kern w:val="0"/>
              </w:rPr>
              <w:t>-</w:t>
            </w:r>
          </w:p>
        </w:tc>
      </w:tr>
      <w:tr w:rsidR="00D155FC">
        <w:tc>
          <w:tcPr>
            <w:tcW w:w="1395" w:type="dxa"/>
            <w:vAlign w:val="center"/>
          </w:tcPr>
          <w:p w:rsidR="00D155FC" w:rsidRDefault="00A077FD">
            <w:pPr>
              <w:jc w:val="left"/>
            </w:pPr>
            <w:r>
              <w:rPr>
                <w:rFonts w:eastAsiaTheme="minorEastAsia"/>
                <w:color w:val="000000" w:themeColor="text1"/>
                <w:kern w:val="0"/>
              </w:rPr>
              <w:t>自基金合同生效起至今</w:t>
            </w:r>
          </w:p>
        </w:tc>
        <w:tc>
          <w:tcPr>
            <w:tcW w:w="1092" w:type="dxa"/>
            <w:vAlign w:val="center"/>
          </w:tcPr>
          <w:p w:rsidR="00D155FC" w:rsidRDefault="00A077FD">
            <w:pPr>
              <w:jc w:val="center"/>
            </w:pPr>
            <w:r>
              <w:rPr>
                <w:rFonts w:eastAsiaTheme="minorEastAsia"/>
                <w:color w:val="000000" w:themeColor="text1"/>
                <w:kern w:val="0"/>
              </w:rPr>
              <w:t>-10.21%</w:t>
            </w:r>
          </w:p>
        </w:tc>
        <w:tc>
          <w:tcPr>
            <w:tcW w:w="1161" w:type="dxa"/>
            <w:vAlign w:val="center"/>
          </w:tcPr>
          <w:p w:rsidR="00D155FC" w:rsidRDefault="00A077FD">
            <w:pPr>
              <w:jc w:val="center"/>
            </w:pPr>
            <w:r>
              <w:rPr>
                <w:rFonts w:eastAsiaTheme="minorEastAsia"/>
                <w:color w:val="000000" w:themeColor="text1"/>
                <w:kern w:val="0"/>
              </w:rPr>
              <w:t>0.99%</w:t>
            </w:r>
          </w:p>
        </w:tc>
        <w:tc>
          <w:tcPr>
            <w:tcW w:w="1181" w:type="dxa"/>
            <w:vAlign w:val="center"/>
          </w:tcPr>
          <w:p w:rsidR="00D155FC" w:rsidRDefault="00A077FD">
            <w:pPr>
              <w:jc w:val="center"/>
            </w:pPr>
            <w:r>
              <w:rPr>
                <w:rFonts w:eastAsiaTheme="minorEastAsia"/>
                <w:color w:val="000000" w:themeColor="text1"/>
                <w:kern w:val="0"/>
              </w:rPr>
              <w:t>-14.22%</w:t>
            </w:r>
          </w:p>
        </w:tc>
        <w:tc>
          <w:tcPr>
            <w:tcW w:w="1188" w:type="dxa"/>
            <w:vAlign w:val="center"/>
          </w:tcPr>
          <w:p w:rsidR="00D155FC" w:rsidRDefault="00A077FD">
            <w:pPr>
              <w:jc w:val="center"/>
            </w:pPr>
            <w:r>
              <w:rPr>
                <w:rFonts w:eastAsiaTheme="minorEastAsia"/>
                <w:color w:val="000000" w:themeColor="text1"/>
                <w:kern w:val="0"/>
              </w:rPr>
              <w:t>1.17%</w:t>
            </w:r>
          </w:p>
        </w:tc>
        <w:tc>
          <w:tcPr>
            <w:tcW w:w="1199" w:type="dxa"/>
            <w:vAlign w:val="center"/>
          </w:tcPr>
          <w:p w:rsidR="00D155FC" w:rsidRDefault="00A077FD">
            <w:pPr>
              <w:jc w:val="center"/>
            </w:pPr>
            <w:r>
              <w:rPr>
                <w:rFonts w:eastAsiaTheme="minorEastAsia"/>
                <w:color w:val="000000" w:themeColor="text1"/>
                <w:kern w:val="0"/>
              </w:rPr>
              <w:t>4.01%</w:t>
            </w:r>
          </w:p>
        </w:tc>
        <w:tc>
          <w:tcPr>
            <w:tcW w:w="1204" w:type="dxa"/>
            <w:vAlign w:val="center"/>
          </w:tcPr>
          <w:p w:rsidR="00D155FC" w:rsidRDefault="00A077FD">
            <w:pPr>
              <w:jc w:val="center"/>
            </w:pPr>
            <w:r>
              <w:rPr>
                <w:rFonts w:eastAsiaTheme="minorEastAsia"/>
                <w:color w:val="000000" w:themeColor="text1"/>
                <w:kern w:val="0"/>
              </w:rPr>
              <w:t>-0.18%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上投摩根鑫睿优选一年持有期混合型证券投资基金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077FD" w:rsidRPr="00A077FD" w:rsidRDefault="00A077FD" w:rsidP="00A077F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p>
    <w:p w:rsidR="00A077FD" w:rsidRPr="00A077FD" w:rsidRDefault="00A077FD" w:rsidP="00A077FD">
      <w:pPr>
        <w:autoSpaceDE w:val="0"/>
        <w:autoSpaceDN w:val="0"/>
        <w:adjustRightInd w:val="0"/>
        <w:spacing w:line="360" w:lineRule="auto"/>
        <w:jc w:val="left"/>
        <w:rPr>
          <w:rFonts w:eastAsiaTheme="minorEastAsia"/>
          <w:color w:val="000000" w:themeColor="text1"/>
        </w:rPr>
      </w:pPr>
      <w:r w:rsidRPr="00A077FD">
        <w:rPr>
          <w:rFonts w:eastAsiaTheme="minorEastAsia" w:hint="eastAsia"/>
          <w:color w:val="000000" w:themeColor="text1"/>
        </w:rPr>
        <w:t>本基金合同生效日为</w:t>
      </w:r>
      <w:r w:rsidRPr="00A077FD">
        <w:rPr>
          <w:rFonts w:eastAsiaTheme="minorEastAsia" w:hint="eastAsia"/>
          <w:color w:val="000000" w:themeColor="text1"/>
        </w:rPr>
        <w:t>2022</w:t>
      </w:r>
      <w:r w:rsidRPr="00A077FD">
        <w:rPr>
          <w:rFonts w:eastAsiaTheme="minorEastAsia" w:hint="eastAsia"/>
          <w:color w:val="000000" w:themeColor="text1"/>
        </w:rPr>
        <w:t>年</w:t>
      </w:r>
      <w:r w:rsidRPr="00A077FD">
        <w:rPr>
          <w:rFonts w:eastAsiaTheme="minorEastAsia" w:hint="eastAsia"/>
          <w:color w:val="000000" w:themeColor="text1"/>
        </w:rPr>
        <w:t>3</w:t>
      </w:r>
      <w:r w:rsidRPr="00A077FD">
        <w:rPr>
          <w:rFonts w:eastAsiaTheme="minorEastAsia" w:hint="eastAsia"/>
          <w:color w:val="000000" w:themeColor="text1"/>
        </w:rPr>
        <w:t>月</w:t>
      </w:r>
      <w:r w:rsidRPr="00A077FD">
        <w:rPr>
          <w:rFonts w:eastAsiaTheme="minorEastAsia" w:hint="eastAsia"/>
          <w:color w:val="000000" w:themeColor="text1"/>
        </w:rPr>
        <w:t>1</w:t>
      </w:r>
      <w:r w:rsidRPr="00A077FD">
        <w:rPr>
          <w:rFonts w:eastAsiaTheme="minorEastAsia" w:hint="eastAsia"/>
          <w:color w:val="000000" w:themeColor="text1"/>
        </w:rPr>
        <w:t>日，</w:t>
      </w:r>
      <w:r w:rsidR="00B430E3" w:rsidRPr="00B430E3">
        <w:rPr>
          <w:rFonts w:eastAsiaTheme="minorEastAsia" w:hint="eastAsia"/>
          <w:color w:val="000000" w:themeColor="text1"/>
        </w:rPr>
        <w:t>截至本报告期末本基金合同生效未满一年。</w:t>
      </w:r>
    </w:p>
    <w:p w:rsidR="00D06738" w:rsidRPr="00FF6B9A" w:rsidRDefault="00A077FD">
      <w:pPr>
        <w:tabs>
          <w:tab w:val="left" w:pos="1800"/>
        </w:tabs>
        <w:spacing w:line="360" w:lineRule="auto"/>
        <w:rPr>
          <w:rFonts w:eastAsiaTheme="minorEastAsia"/>
          <w:color w:val="000000" w:themeColor="text1"/>
          <w:sz w:val="24"/>
          <w:szCs w:val="24"/>
        </w:rPr>
      </w:pPr>
      <w:r w:rsidRPr="00A077FD">
        <w:rPr>
          <w:rFonts w:eastAsiaTheme="minorEastAsia" w:hint="eastAsia"/>
          <w:color w:val="000000" w:themeColor="text1"/>
        </w:rPr>
        <w:t>本基金建仓期为本基金合同生效日起</w:t>
      </w:r>
      <w:r w:rsidRPr="00A077FD">
        <w:rPr>
          <w:rFonts w:eastAsiaTheme="minorEastAsia" w:hint="eastAsia"/>
          <w:color w:val="000000" w:themeColor="text1"/>
        </w:rPr>
        <w:t xml:space="preserve"> 6 </w:t>
      </w:r>
      <w:r w:rsidRPr="00A077FD">
        <w:rPr>
          <w:rFonts w:eastAsiaTheme="minorEastAsia" w:hint="eastAsia"/>
          <w:color w:val="000000" w:themeColor="text1"/>
        </w:rPr>
        <w:t>个月，建仓期结束时资产配置比例符合本基金基金合同规定。</w:t>
      </w: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D155FC">
        <w:tc>
          <w:tcPr>
            <w:tcW w:w="851" w:type="dxa"/>
            <w:vAlign w:val="center"/>
          </w:tcPr>
          <w:p w:rsidR="00D155FC" w:rsidRDefault="00A077FD">
            <w:pPr>
              <w:jc w:val="center"/>
            </w:pPr>
            <w:r>
              <w:rPr>
                <w:rFonts w:eastAsiaTheme="minorEastAsia"/>
                <w:color w:val="000000" w:themeColor="text1"/>
              </w:rPr>
              <w:t>倪权生</w:t>
            </w:r>
          </w:p>
        </w:tc>
        <w:tc>
          <w:tcPr>
            <w:tcW w:w="850" w:type="dxa"/>
            <w:vAlign w:val="center"/>
          </w:tcPr>
          <w:p w:rsidR="00D155FC" w:rsidRDefault="00A077FD">
            <w:pPr>
              <w:jc w:val="center"/>
            </w:pPr>
            <w:r>
              <w:rPr>
                <w:rFonts w:eastAsiaTheme="minorEastAsia"/>
                <w:color w:val="000000" w:themeColor="text1"/>
              </w:rPr>
              <w:t>本基金基金经理</w:t>
            </w:r>
          </w:p>
        </w:tc>
        <w:tc>
          <w:tcPr>
            <w:tcW w:w="1560" w:type="dxa"/>
            <w:vAlign w:val="center"/>
          </w:tcPr>
          <w:p w:rsidR="00D155FC" w:rsidRDefault="00A077FD">
            <w:pPr>
              <w:jc w:val="center"/>
            </w:pPr>
            <w:r>
              <w:rPr>
                <w:rFonts w:eastAsiaTheme="minorEastAsia"/>
                <w:color w:val="000000" w:themeColor="text1"/>
              </w:rPr>
              <w:t>2022-03-01</w:t>
            </w:r>
          </w:p>
        </w:tc>
        <w:tc>
          <w:tcPr>
            <w:tcW w:w="1559" w:type="dxa"/>
            <w:vAlign w:val="center"/>
          </w:tcPr>
          <w:p w:rsidR="00D155FC" w:rsidRDefault="00A077FD">
            <w:pPr>
              <w:jc w:val="center"/>
            </w:pPr>
            <w:r>
              <w:rPr>
                <w:rFonts w:eastAsiaTheme="minorEastAsia"/>
                <w:color w:val="000000" w:themeColor="text1"/>
              </w:rPr>
              <w:t>-</w:t>
            </w:r>
          </w:p>
        </w:tc>
        <w:tc>
          <w:tcPr>
            <w:tcW w:w="1417" w:type="dxa"/>
            <w:vAlign w:val="center"/>
          </w:tcPr>
          <w:p w:rsidR="00D155FC" w:rsidRDefault="00A077FD">
            <w:pPr>
              <w:jc w:val="center"/>
            </w:pPr>
            <w:r>
              <w:rPr>
                <w:rFonts w:eastAsiaTheme="minorEastAsia"/>
                <w:color w:val="000000" w:themeColor="text1"/>
              </w:rPr>
              <w:t>11</w:t>
            </w:r>
            <w:r>
              <w:rPr>
                <w:rFonts w:eastAsiaTheme="minorEastAsia"/>
                <w:color w:val="000000" w:themeColor="text1"/>
              </w:rPr>
              <w:t>年</w:t>
            </w:r>
          </w:p>
        </w:tc>
        <w:tc>
          <w:tcPr>
            <w:tcW w:w="2694" w:type="dxa"/>
            <w:vAlign w:val="center"/>
          </w:tcPr>
          <w:p w:rsidR="00D155FC" w:rsidRDefault="00A077FD">
            <w:r>
              <w:rPr>
                <w:rFonts w:eastAsiaTheme="minorEastAsia"/>
                <w:color w:val="000000" w:themeColor="text1"/>
              </w:rPr>
              <w:t>倪权生先生，上海交通大学金融学博士。自</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月，在博时基金管理有限公司任高级研究员；</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月，在浙商基金管理有限公司历任投资经理助理、基金经理</w:t>
            </w:r>
            <w:r>
              <w:rPr>
                <w:rFonts w:eastAsiaTheme="minorEastAsia"/>
                <w:color w:val="000000" w:themeColor="text1"/>
              </w:rPr>
              <w:t>/</w:t>
            </w:r>
            <w:r>
              <w:rPr>
                <w:rFonts w:eastAsiaTheme="minorEastAsia"/>
                <w:color w:val="000000" w:themeColor="text1"/>
              </w:rPr>
              <w:t>股票投资部副总经理；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月起加入上投摩根基金管理有限公司，现任国内权益投资部均衡组组长兼资深基金经理。自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月起任上投摩根成长先锋混合型证券投资基金基金经理。自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月起同时担任上投摩根均衡优选混合型证券投资基金基金经理，自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月起同时担任上投摩根全景优势股票型证券投资基金基金经理，自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月起同时担任上投摩根鑫睿优选一年持有期混合型证券投资基金基金经理，自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月起同时担任上投摩根核心优选混合型证券投资基金基金经理。</w:t>
            </w:r>
          </w:p>
        </w:tc>
      </w:tr>
    </w:tbl>
    <w:p w:rsidR="00D155FC" w:rsidRDefault="00A077F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155FC" w:rsidRDefault="00A077F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倪权生先生为本基金首任基金经理，其任职日期指本基金基金合同生效之日。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3. </w:t>
      </w:r>
      <w:r w:rsidRPr="00FF6B9A">
        <w:rPr>
          <w:rFonts w:eastAsiaTheme="minorEastAsia"/>
          <w:color w:val="000000" w:themeColor="text1"/>
        </w:rPr>
        <w:t>证券从业的含义遵从行业协会《证券业从业人员资格管理办法》的相关规定。</w:t>
      </w:r>
    </w:p>
    <w:p w:rsidR="00454D20" w:rsidRPr="00FF6B9A" w:rsidRDefault="00454D20" w:rsidP="00454D20">
      <w:pPr>
        <w:autoSpaceDE w:val="0"/>
        <w:autoSpaceDN w:val="0"/>
        <w:adjustRightInd w:val="0"/>
        <w:spacing w:line="360" w:lineRule="auto"/>
        <w:jc w:val="left"/>
        <w:rPr>
          <w:rFonts w:eastAsia="Times New Roman"/>
          <w:b/>
          <w:color w:val="000000"/>
          <w:kern w:val="0"/>
          <w:sz w:val="24"/>
        </w:rPr>
      </w:pPr>
      <w:bookmarkStart w:id="1" w:name="_Hlk44921484"/>
      <w:r w:rsidRPr="00FF6B9A">
        <w:rPr>
          <w:b/>
          <w:color w:val="000000"/>
          <w:kern w:val="0"/>
          <w:sz w:val="24"/>
        </w:rPr>
        <w:t>4</w:t>
      </w:r>
      <w:r w:rsidRPr="00FF6B9A">
        <w:rPr>
          <w:rFonts w:eastAsia="Times New Roman"/>
          <w:b/>
          <w:color w:val="000000"/>
          <w:kern w:val="0"/>
          <w:sz w:val="24"/>
        </w:rPr>
        <w:t>.</w:t>
      </w:r>
      <w:r w:rsidRPr="00FF6B9A">
        <w:rPr>
          <w:b/>
          <w:color w:val="000000"/>
          <w:kern w:val="0"/>
          <w:sz w:val="24"/>
        </w:rPr>
        <w:t xml:space="preserve">1.1 </w:t>
      </w:r>
      <w:r w:rsidRPr="00FF6B9A">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454D20" w:rsidRPr="00FF6B9A" w:rsidTr="00454D20">
        <w:tc>
          <w:tcPr>
            <w:tcW w:w="959"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资产净值</w:t>
            </w:r>
            <w:r w:rsidRPr="00FF6B9A">
              <w:rPr>
                <w:rFonts w:eastAsiaTheme="minorEastAsia"/>
                <w:color w:val="000000"/>
              </w:rPr>
              <w:t>(</w:t>
            </w:r>
            <w:r w:rsidRPr="00FF6B9A">
              <w:rPr>
                <w:rFonts w:eastAsiaTheme="minorEastAsia"/>
                <w:color w:val="000000"/>
              </w:rPr>
              <w:t>元</w:t>
            </w: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任职时间</w:t>
            </w:r>
          </w:p>
        </w:tc>
      </w:tr>
      <w:tr w:rsidR="00454D20" w:rsidRPr="00FF6B9A" w:rsidTr="00454D20">
        <w:tc>
          <w:tcPr>
            <w:tcW w:w="959" w:type="dxa"/>
            <w:vMerge w:val="restart"/>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倪权生</w:t>
            </w: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公募基金</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5</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3,322,397,451.31</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2015-03-30</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684,896,017.71</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2021-04-12</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其他组合</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合计</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6</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4,007,293,469.02</w:t>
            </w:r>
          </w:p>
        </w:tc>
        <w:tc>
          <w:tcPr>
            <w:tcW w:w="1381" w:type="dxa"/>
            <w:tcBorders>
              <w:top w:val="single" w:sz="4" w:space="0" w:color="auto"/>
              <w:left w:val="single" w:sz="4" w:space="0" w:color="auto"/>
              <w:bottom w:val="single" w:sz="4" w:space="0" w:color="auto"/>
              <w:right w:val="single" w:sz="4" w:space="0" w:color="auto"/>
            </w:tcBorders>
          </w:tcPr>
          <w:p w:rsidR="00454D20" w:rsidRPr="00FF6B9A" w:rsidRDefault="00454D20">
            <w:pPr>
              <w:spacing w:line="288" w:lineRule="auto"/>
              <w:jc w:val="left"/>
              <w:rPr>
                <w:rFonts w:eastAsiaTheme="minorEastAsia"/>
                <w:color w:val="000000"/>
              </w:rPr>
            </w:pPr>
          </w:p>
        </w:tc>
      </w:tr>
    </w:tbl>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鑫睿优选一年持有期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三季度市场波动较大，投资情绪整体偏弱，海外加息进一步加剧市场对流动性的担心。从国内经济环境来看，二季度疫情影响边际减弱后，经济活动有所恢复，但疫情因素仍然不时影响经济活动，消费活动尚未完全恢复到正常状态。地产销售整体仍在筑底，投资拐点仍需等待。出口金额尽管边际增速有所放缓，但增速绝对值仍维持较好，出口表现出一定韧性，由于海外通胀、加息等因素的影响，市场仍然对未来海外需求有所担心。整体而言，市场目前处于情绪相对底部。从中报披露的上市公司盈利变化来看，</w:t>
      </w:r>
      <w:r>
        <w:rPr>
          <w:rFonts w:eastAsiaTheme="minorEastAsia"/>
          <w:color w:val="000000" w:themeColor="text1"/>
        </w:rPr>
        <w:t>A</w:t>
      </w:r>
      <w:r>
        <w:rPr>
          <w:rFonts w:eastAsiaTheme="minorEastAsia"/>
          <w:color w:val="000000" w:themeColor="text1"/>
        </w:rPr>
        <w:t>股中报收入和盈利增速均较一季度有所回落，其中中小市值公司的相对业绩增速继续下降。从行业角度看，景气度相对较高的行业集中在资源（煤炭、有色等）、化工和电力设备等高景气制造业。</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在细分领域，我们寻找盈利增长相对确定性更高的机会，在一些细分行业，由于其自身的需求周期较好或处于国产化渗透率提升阶段，相关企业增长受外部宏观经济影响相对较小，保持着较快增速，如军工、新材料、半导体设备材料、新能源产业链等。而随着生产、生活的智能化和场景虚拟化，各种新兴的应用场景不断出现，这也推动对相关软硬件的需求。</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组合配置方面，一方面继续配置前期已经布局的，基本面较强且业绩增长确定性较高的新能源、军工、半导体设备材料、新材料等行业。其中新能源重点关注竞争格局较好的中上游环节。军工重点关注业绩处于高增长，利润率持续提升的军工电子和航空航天产业链，半导体重点关注在晶圆产能扩产背景下受益的国产设备和材料。新材料方面，重点布局国产替代空间大的化工、金属新材料。另一方面，组合也在布局一些估值处于低位，交易热度较低，但基本面仍有稳定增长的企业，如医药、农业等行业。</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后市，尽管短期受到内外部不确定性因素的影响，宏观经济和资本市场有所波动，但目前从估值看全市场已经处于估值低位，隐含着投资者较低的预期。若在基本面、政策面或流动性方面看到边际改善，市场情绪有望修复。</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本报告期上投摩根鑫睿优选一年持有期混合份额净值增长率为</w:t>
      </w:r>
      <w:r w:rsidRPr="00FF6B9A">
        <w:rPr>
          <w:rFonts w:eastAsiaTheme="minorEastAsia"/>
          <w:color w:val="000000" w:themeColor="text1"/>
        </w:rPr>
        <w:t>:-14.80%</w:t>
      </w:r>
      <w:r w:rsidRPr="00FF6B9A">
        <w:rPr>
          <w:rFonts w:eastAsiaTheme="minorEastAsia"/>
          <w:color w:val="000000" w:themeColor="text1"/>
        </w:rPr>
        <w:t>，同期业绩比较基准收益率为</w:t>
      </w:r>
      <w:r w:rsidRPr="00FF6B9A">
        <w:rPr>
          <w:rFonts w:eastAsiaTheme="minorEastAsia"/>
          <w:color w:val="000000" w:themeColor="text1"/>
        </w:rPr>
        <w:t>:-12.66%</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146,028,449.19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74.37</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146,028,449.19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74.37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48,567,852.28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24.73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1,768,672.55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196,364,974.02</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130,865,039.74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67.14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3,727,807.85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9,453,101.60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4.85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1,982,500.00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146,028,449.19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74.92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2"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D155FC">
        <w:tc>
          <w:tcPr>
            <w:tcW w:w="817" w:type="dxa"/>
            <w:vAlign w:val="center"/>
          </w:tcPr>
          <w:p w:rsidR="00D155FC" w:rsidRDefault="00A077FD">
            <w:pPr>
              <w:jc w:val="center"/>
            </w:pPr>
            <w:r>
              <w:rPr>
                <w:rFonts w:eastAsiaTheme="minorEastAsia"/>
                <w:kern w:val="0"/>
                <w:sz w:val="24"/>
                <w:szCs w:val="24"/>
              </w:rPr>
              <w:t>1</w:t>
            </w:r>
          </w:p>
        </w:tc>
        <w:tc>
          <w:tcPr>
            <w:tcW w:w="1276" w:type="dxa"/>
            <w:vAlign w:val="center"/>
          </w:tcPr>
          <w:p w:rsidR="00D155FC" w:rsidRDefault="00A077FD">
            <w:pPr>
              <w:jc w:val="center"/>
            </w:pPr>
            <w:r>
              <w:rPr>
                <w:rFonts w:eastAsiaTheme="minorEastAsia"/>
                <w:kern w:val="0"/>
                <w:sz w:val="24"/>
                <w:szCs w:val="24"/>
              </w:rPr>
              <w:t>000733</w:t>
            </w:r>
          </w:p>
        </w:tc>
        <w:tc>
          <w:tcPr>
            <w:tcW w:w="1701" w:type="dxa"/>
            <w:vAlign w:val="center"/>
          </w:tcPr>
          <w:p w:rsidR="00D155FC" w:rsidRDefault="00A077FD">
            <w:pPr>
              <w:jc w:val="center"/>
            </w:pPr>
            <w:r>
              <w:rPr>
                <w:rFonts w:eastAsiaTheme="minorEastAsia"/>
                <w:kern w:val="0"/>
                <w:sz w:val="24"/>
                <w:szCs w:val="24"/>
              </w:rPr>
              <w:t>振华科技</w:t>
            </w:r>
          </w:p>
        </w:tc>
        <w:tc>
          <w:tcPr>
            <w:tcW w:w="1276" w:type="dxa"/>
            <w:vAlign w:val="center"/>
          </w:tcPr>
          <w:p w:rsidR="00D155FC" w:rsidRDefault="00A077FD">
            <w:pPr>
              <w:jc w:val="right"/>
            </w:pPr>
            <w:r>
              <w:rPr>
                <w:rFonts w:eastAsiaTheme="minorEastAsia"/>
                <w:kern w:val="0"/>
                <w:sz w:val="24"/>
                <w:szCs w:val="24"/>
              </w:rPr>
              <w:t>58,847.00</w:t>
            </w:r>
          </w:p>
        </w:tc>
        <w:tc>
          <w:tcPr>
            <w:tcW w:w="1842" w:type="dxa"/>
            <w:vAlign w:val="center"/>
          </w:tcPr>
          <w:p w:rsidR="00D155FC" w:rsidRDefault="00A077FD">
            <w:pPr>
              <w:jc w:val="right"/>
            </w:pPr>
            <w:r>
              <w:rPr>
                <w:rFonts w:eastAsiaTheme="minorEastAsia"/>
                <w:kern w:val="0"/>
                <w:sz w:val="24"/>
                <w:szCs w:val="24"/>
              </w:rPr>
              <w:t>6,825,075.06</w:t>
            </w:r>
          </w:p>
        </w:tc>
        <w:tc>
          <w:tcPr>
            <w:tcW w:w="1616" w:type="dxa"/>
            <w:vAlign w:val="center"/>
          </w:tcPr>
          <w:p w:rsidR="00D155FC" w:rsidRDefault="00A077FD">
            <w:pPr>
              <w:jc w:val="right"/>
            </w:pPr>
            <w:r>
              <w:rPr>
                <w:rFonts w:eastAsiaTheme="minorEastAsia"/>
                <w:kern w:val="0"/>
                <w:sz w:val="24"/>
                <w:szCs w:val="24"/>
              </w:rPr>
              <w:t>3.50</w:t>
            </w:r>
          </w:p>
        </w:tc>
      </w:tr>
      <w:tr w:rsidR="00D155FC">
        <w:tc>
          <w:tcPr>
            <w:tcW w:w="817" w:type="dxa"/>
            <w:vAlign w:val="center"/>
          </w:tcPr>
          <w:p w:rsidR="00D155FC" w:rsidRDefault="00A077FD">
            <w:pPr>
              <w:jc w:val="center"/>
            </w:pPr>
            <w:r>
              <w:rPr>
                <w:rFonts w:eastAsiaTheme="minorEastAsia"/>
                <w:kern w:val="0"/>
                <w:sz w:val="24"/>
                <w:szCs w:val="24"/>
              </w:rPr>
              <w:t>2</w:t>
            </w:r>
          </w:p>
        </w:tc>
        <w:tc>
          <w:tcPr>
            <w:tcW w:w="1276" w:type="dxa"/>
            <w:vAlign w:val="center"/>
          </w:tcPr>
          <w:p w:rsidR="00D155FC" w:rsidRDefault="00A077FD">
            <w:pPr>
              <w:jc w:val="center"/>
            </w:pPr>
            <w:r>
              <w:rPr>
                <w:rFonts w:eastAsiaTheme="minorEastAsia"/>
                <w:kern w:val="0"/>
                <w:sz w:val="24"/>
                <w:szCs w:val="24"/>
              </w:rPr>
              <w:t>300014</w:t>
            </w:r>
          </w:p>
        </w:tc>
        <w:tc>
          <w:tcPr>
            <w:tcW w:w="1701" w:type="dxa"/>
            <w:vAlign w:val="center"/>
          </w:tcPr>
          <w:p w:rsidR="00D155FC" w:rsidRDefault="00A077FD">
            <w:pPr>
              <w:jc w:val="center"/>
            </w:pPr>
            <w:r>
              <w:rPr>
                <w:rFonts w:eastAsiaTheme="minorEastAsia"/>
                <w:kern w:val="0"/>
                <w:sz w:val="24"/>
                <w:szCs w:val="24"/>
              </w:rPr>
              <w:t>亿纬锂能</w:t>
            </w:r>
          </w:p>
        </w:tc>
        <w:tc>
          <w:tcPr>
            <w:tcW w:w="1276" w:type="dxa"/>
            <w:vAlign w:val="center"/>
          </w:tcPr>
          <w:p w:rsidR="00D155FC" w:rsidRDefault="00A077FD">
            <w:pPr>
              <w:jc w:val="right"/>
            </w:pPr>
            <w:r>
              <w:rPr>
                <w:rFonts w:eastAsiaTheme="minorEastAsia"/>
                <w:kern w:val="0"/>
                <w:sz w:val="24"/>
                <w:szCs w:val="24"/>
              </w:rPr>
              <w:t>70,800.00</w:t>
            </w:r>
          </w:p>
        </w:tc>
        <w:tc>
          <w:tcPr>
            <w:tcW w:w="1842" w:type="dxa"/>
            <w:vAlign w:val="center"/>
          </w:tcPr>
          <w:p w:rsidR="00D155FC" w:rsidRDefault="00A077FD">
            <w:pPr>
              <w:jc w:val="right"/>
            </w:pPr>
            <w:r>
              <w:rPr>
                <w:rFonts w:eastAsiaTheme="minorEastAsia"/>
                <w:kern w:val="0"/>
                <w:sz w:val="24"/>
                <w:szCs w:val="24"/>
              </w:rPr>
              <w:t>5,989,680.00</w:t>
            </w:r>
          </w:p>
        </w:tc>
        <w:tc>
          <w:tcPr>
            <w:tcW w:w="1616" w:type="dxa"/>
            <w:vAlign w:val="center"/>
          </w:tcPr>
          <w:p w:rsidR="00D155FC" w:rsidRDefault="00A077FD">
            <w:pPr>
              <w:jc w:val="right"/>
            </w:pPr>
            <w:r>
              <w:rPr>
                <w:rFonts w:eastAsiaTheme="minorEastAsia"/>
                <w:kern w:val="0"/>
                <w:sz w:val="24"/>
                <w:szCs w:val="24"/>
              </w:rPr>
              <w:t>3.07</w:t>
            </w:r>
          </w:p>
        </w:tc>
      </w:tr>
      <w:tr w:rsidR="00D155FC">
        <w:tc>
          <w:tcPr>
            <w:tcW w:w="817" w:type="dxa"/>
            <w:vAlign w:val="center"/>
          </w:tcPr>
          <w:p w:rsidR="00D155FC" w:rsidRDefault="00A077FD">
            <w:pPr>
              <w:jc w:val="center"/>
            </w:pPr>
            <w:r>
              <w:rPr>
                <w:rFonts w:eastAsiaTheme="minorEastAsia"/>
                <w:kern w:val="0"/>
                <w:sz w:val="24"/>
                <w:szCs w:val="24"/>
              </w:rPr>
              <w:t>3</w:t>
            </w:r>
          </w:p>
        </w:tc>
        <w:tc>
          <w:tcPr>
            <w:tcW w:w="1276" w:type="dxa"/>
            <w:vAlign w:val="center"/>
          </w:tcPr>
          <w:p w:rsidR="00D155FC" w:rsidRDefault="00A077FD">
            <w:pPr>
              <w:jc w:val="center"/>
            </w:pPr>
            <w:r>
              <w:rPr>
                <w:rFonts w:eastAsiaTheme="minorEastAsia"/>
                <w:kern w:val="0"/>
                <w:sz w:val="24"/>
                <w:szCs w:val="24"/>
              </w:rPr>
              <w:t>300274</w:t>
            </w:r>
          </w:p>
        </w:tc>
        <w:tc>
          <w:tcPr>
            <w:tcW w:w="1701" w:type="dxa"/>
            <w:vAlign w:val="center"/>
          </w:tcPr>
          <w:p w:rsidR="00D155FC" w:rsidRDefault="00A077FD">
            <w:pPr>
              <w:jc w:val="center"/>
            </w:pPr>
            <w:r>
              <w:rPr>
                <w:rFonts w:eastAsiaTheme="minorEastAsia"/>
                <w:kern w:val="0"/>
                <w:sz w:val="24"/>
                <w:szCs w:val="24"/>
              </w:rPr>
              <w:t>阳光电源</w:t>
            </w:r>
          </w:p>
        </w:tc>
        <w:tc>
          <w:tcPr>
            <w:tcW w:w="1276" w:type="dxa"/>
            <w:vAlign w:val="center"/>
          </w:tcPr>
          <w:p w:rsidR="00D155FC" w:rsidRDefault="00A077FD">
            <w:pPr>
              <w:jc w:val="right"/>
            </w:pPr>
            <w:r>
              <w:rPr>
                <w:rFonts w:eastAsiaTheme="minorEastAsia"/>
                <w:kern w:val="0"/>
                <w:sz w:val="24"/>
                <w:szCs w:val="24"/>
              </w:rPr>
              <w:t>51,200.00</w:t>
            </w:r>
          </w:p>
        </w:tc>
        <w:tc>
          <w:tcPr>
            <w:tcW w:w="1842" w:type="dxa"/>
            <w:vAlign w:val="center"/>
          </w:tcPr>
          <w:p w:rsidR="00D155FC" w:rsidRDefault="00A077FD">
            <w:pPr>
              <w:jc w:val="right"/>
            </w:pPr>
            <w:r>
              <w:rPr>
                <w:rFonts w:eastAsiaTheme="minorEastAsia"/>
                <w:kern w:val="0"/>
                <w:sz w:val="24"/>
                <w:szCs w:val="24"/>
              </w:rPr>
              <w:t>5,663,744.00</w:t>
            </w:r>
          </w:p>
        </w:tc>
        <w:tc>
          <w:tcPr>
            <w:tcW w:w="1616" w:type="dxa"/>
            <w:vAlign w:val="center"/>
          </w:tcPr>
          <w:p w:rsidR="00D155FC" w:rsidRDefault="00A077FD">
            <w:pPr>
              <w:jc w:val="right"/>
            </w:pPr>
            <w:r>
              <w:rPr>
                <w:rFonts w:eastAsiaTheme="minorEastAsia"/>
                <w:kern w:val="0"/>
                <w:sz w:val="24"/>
                <w:szCs w:val="24"/>
              </w:rPr>
              <w:t>2.91</w:t>
            </w:r>
          </w:p>
        </w:tc>
      </w:tr>
      <w:tr w:rsidR="00D155FC">
        <w:tc>
          <w:tcPr>
            <w:tcW w:w="817" w:type="dxa"/>
            <w:vAlign w:val="center"/>
          </w:tcPr>
          <w:p w:rsidR="00D155FC" w:rsidRDefault="00A077FD">
            <w:pPr>
              <w:jc w:val="center"/>
            </w:pPr>
            <w:r>
              <w:rPr>
                <w:rFonts w:eastAsiaTheme="minorEastAsia"/>
                <w:kern w:val="0"/>
                <w:sz w:val="24"/>
                <w:szCs w:val="24"/>
              </w:rPr>
              <w:t>4</w:t>
            </w:r>
          </w:p>
        </w:tc>
        <w:tc>
          <w:tcPr>
            <w:tcW w:w="1276" w:type="dxa"/>
            <w:vAlign w:val="center"/>
          </w:tcPr>
          <w:p w:rsidR="00D155FC" w:rsidRDefault="00A077FD">
            <w:pPr>
              <w:jc w:val="center"/>
            </w:pPr>
            <w:r>
              <w:rPr>
                <w:rFonts w:eastAsiaTheme="minorEastAsia"/>
                <w:kern w:val="0"/>
                <w:sz w:val="24"/>
                <w:szCs w:val="24"/>
              </w:rPr>
              <w:t>000810</w:t>
            </w:r>
          </w:p>
        </w:tc>
        <w:tc>
          <w:tcPr>
            <w:tcW w:w="1701" w:type="dxa"/>
            <w:vAlign w:val="center"/>
          </w:tcPr>
          <w:p w:rsidR="00D155FC" w:rsidRDefault="00A077FD">
            <w:pPr>
              <w:jc w:val="center"/>
            </w:pPr>
            <w:r>
              <w:rPr>
                <w:rFonts w:eastAsiaTheme="minorEastAsia"/>
                <w:kern w:val="0"/>
                <w:sz w:val="24"/>
                <w:szCs w:val="24"/>
              </w:rPr>
              <w:t>创维数字</w:t>
            </w:r>
          </w:p>
        </w:tc>
        <w:tc>
          <w:tcPr>
            <w:tcW w:w="1276" w:type="dxa"/>
            <w:vAlign w:val="center"/>
          </w:tcPr>
          <w:p w:rsidR="00D155FC" w:rsidRDefault="00A077FD">
            <w:pPr>
              <w:jc w:val="right"/>
            </w:pPr>
            <w:r>
              <w:rPr>
                <w:rFonts w:eastAsiaTheme="minorEastAsia"/>
                <w:kern w:val="0"/>
                <w:sz w:val="24"/>
                <w:szCs w:val="24"/>
              </w:rPr>
              <w:t>348,167.00</w:t>
            </w:r>
          </w:p>
        </w:tc>
        <w:tc>
          <w:tcPr>
            <w:tcW w:w="1842" w:type="dxa"/>
            <w:vAlign w:val="center"/>
          </w:tcPr>
          <w:p w:rsidR="00D155FC" w:rsidRDefault="00A077FD">
            <w:pPr>
              <w:jc w:val="right"/>
            </w:pPr>
            <w:r>
              <w:rPr>
                <w:rFonts w:eastAsiaTheme="minorEastAsia"/>
                <w:kern w:val="0"/>
                <w:sz w:val="24"/>
                <w:szCs w:val="24"/>
              </w:rPr>
              <w:t>5,563,708.66</w:t>
            </w:r>
          </w:p>
        </w:tc>
        <w:tc>
          <w:tcPr>
            <w:tcW w:w="1616" w:type="dxa"/>
            <w:vAlign w:val="center"/>
          </w:tcPr>
          <w:p w:rsidR="00D155FC" w:rsidRDefault="00A077FD">
            <w:pPr>
              <w:jc w:val="right"/>
            </w:pPr>
            <w:r>
              <w:rPr>
                <w:rFonts w:eastAsiaTheme="minorEastAsia"/>
                <w:kern w:val="0"/>
                <w:sz w:val="24"/>
                <w:szCs w:val="24"/>
              </w:rPr>
              <w:t>2.85</w:t>
            </w:r>
          </w:p>
        </w:tc>
      </w:tr>
      <w:tr w:rsidR="00D155FC">
        <w:tc>
          <w:tcPr>
            <w:tcW w:w="817" w:type="dxa"/>
            <w:vAlign w:val="center"/>
          </w:tcPr>
          <w:p w:rsidR="00D155FC" w:rsidRDefault="00A077FD">
            <w:pPr>
              <w:jc w:val="center"/>
            </w:pPr>
            <w:r>
              <w:rPr>
                <w:rFonts w:eastAsiaTheme="minorEastAsia"/>
                <w:kern w:val="0"/>
                <w:sz w:val="24"/>
                <w:szCs w:val="24"/>
              </w:rPr>
              <w:t>5</w:t>
            </w:r>
          </w:p>
        </w:tc>
        <w:tc>
          <w:tcPr>
            <w:tcW w:w="1276" w:type="dxa"/>
            <w:vAlign w:val="center"/>
          </w:tcPr>
          <w:p w:rsidR="00D155FC" w:rsidRDefault="00A077FD">
            <w:pPr>
              <w:jc w:val="center"/>
            </w:pPr>
            <w:r>
              <w:rPr>
                <w:rFonts w:eastAsiaTheme="minorEastAsia"/>
                <w:kern w:val="0"/>
                <w:sz w:val="24"/>
                <w:szCs w:val="24"/>
              </w:rPr>
              <w:t>002180</w:t>
            </w:r>
          </w:p>
        </w:tc>
        <w:tc>
          <w:tcPr>
            <w:tcW w:w="1701" w:type="dxa"/>
            <w:vAlign w:val="center"/>
          </w:tcPr>
          <w:p w:rsidR="00D155FC" w:rsidRDefault="00A077FD">
            <w:pPr>
              <w:jc w:val="center"/>
            </w:pPr>
            <w:r>
              <w:rPr>
                <w:rFonts w:eastAsiaTheme="minorEastAsia"/>
                <w:kern w:val="0"/>
                <w:sz w:val="24"/>
                <w:szCs w:val="24"/>
              </w:rPr>
              <w:t>纳思达</w:t>
            </w:r>
          </w:p>
        </w:tc>
        <w:tc>
          <w:tcPr>
            <w:tcW w:w="1276" w:type="dxa"/>
            <w:vAlign w:val="center"/>
          </w:tcPr>
          <w:p w:rsidR="00D155FC" w:rsidRDefault="00A077FD">
            <w:pPr>
              <w:jc w:val="right"/>
            </w:pPr>
            <w:r>
              <w:rPr>
                <w:rFonts w:eastAsiaTheme="minorEastAsia"/>
                <w:kern w:val="0"/>
                <w:sz w:val="24"/>
                <w:szCs w:val="24"/>
              </w:rPr>
              <w:t>128,410.00</w:t>
            </w:r>
          </w:p>
        </w:tc>
        <w:tc>
          <w:tcPr>
            <w:tcW w:w="1842" w:type="dxa"/>
            <w:vAlign w:val="center"/>
          </w:tcPr>
          <w:p w:rsidR="00D155FC" w:rsidRDefault="00A077FD">
            <w:pPr>
              <w:jc w:val="right"/>
            </w:pPr>
            <w:r>
              <w:rPr>
                <w:rFonts w:eastAsiaTheme="minorEastAsia"/>
                <w:kern w:val="0"/>
                <w:sz w:val="24"/>
                <w:szCs w:val="24"/>
              </w:rPr>
              <w:t>5,540,891.50</w:t>
            </w:r>
          </w:p>
        </w:tc>
        <w:tc>
          <w:tcPr>
            <w:tcW w:w="1616" w:type="dxa"/>
            <w:vAlign w:val="center"/>
          </w:tcPr>
          <w:p w:rsidR="00D155FC" w:rsidRDefault="00A077FD">
            <w:pPr>
              <w:jc w:val="right"/>
            </w:pPr>
            <w:r>
              <w:rPr>
                <w:rFonts w:eastAsiaTheme="minorEastAsia"/>
                <w:kern w:val="0"/>
                <w:sz w:val="24"/>
                <w:szCs w:val="24"/>
              </w:rPr>
              <w:t>2.84</w:t>
            </w:r>
          </w:p>
        </w:tc>
      </w:tr>
      <w:tr w:rsidR="00D155FC">
        <w:tc>
          <w:tcPr>
            <w:tcW w:w="817" w:type="dxa"/>
            <w:vAlign w:val="center"/>
          </w:tcPr>
          <w:p w:rsidR="00D155FC" w:rsidRDefault="00A077FD">
            <w:pPr>
              <w:jc w:val="center"/>
            </w:pPr>
            <w:r>
              <w:rPr>
                <w:rFonts w:eastAsiaTheme="minorEastAsia"/>
                <w:kern w:val="0"/>
                <w:sz w:val="24"/>
                <w:szCs w:val="24"/>
              </w:rPr>
              <w:t>6</w:t>
            </w:r>
          </w:p>
        </w:tc>
        <w:tc>
          <w:tcPr>
            <w:tcW w:w="1276" w:type="dxa"/>
            <w:vAlign w:val="center"/>
          </w:tcPr>
          <w:p w:rsidR="00D155FC" w:rsidRDefault="00A077FD">
            <w:pPr>
              <w:jc w:val="center"/>
            </w:pPr>
            <w:r>
              <w:rPr>
                <w:rFonts w:eastAsiaTheme="minorEastAsia"/>
                <w:kern w:val="0"/>
                <w:sz w:val="24"/>
                <w:szCs w:val="24"/>
              </w:rPr>
              <w:t>000915</w:t>
            </w:r>
          </w:p>
        </w:tc>
        <w:tc>
          <w:tcPr>
            <w:tcW w:w="1701" w:type="dxa"/>
            <w:vAlign w:val="center"/>
          </w:tcPr>
          <w:p w:rsidR="00D155FC" w:rsidRDefault="00A077FD">
            <w:pPr>
              <w:jc w:val="center"/>
            </w:pPr>
            <w:r>
              <w:rPr>
                <w:rFonts w:eastAsiaTheme="minorEastAsia"/>
                <w:kern w:val="0"/>
                <w:sz w:val="24"/>
                <w:szCs w:val="24"/>
              </w:rPr>
              <w:t>华特达因</w:t>
            </w:r>
          </w:p>
        </w:tc>
        <w:tc>
          <w:tcPr>
            <w:tcW w:w="1276" w:type="dxa"/>
            <w:vAlign w:val="center"/>
          </w:tcPr>
          <w:p w:rsidR="00D155FC" w:rsidRDefault="00A077FD">
            <w:pPr>
              <w:jc w:val="right"/>
            </w:pPr>
            <w:r>
              <w:rPr>
                <w:rFonts w:eastAsiaTheme="minorEastAsia"/>
                <w:kern w:val="0"/>
                <w:sz w:val="24"/>
                <w:szCs w:val="24"/>
              </w:rPr>
              <w:t>108,100.00</w:t>
            </w:r>
          </w:p>
        </w:tc>
        <w:tc>
          <w:tcPr>
            <w:tcW w:w="1842" w:type="dxa"/>
            <w:vAlign w:val="center"/>
          </w:tcPr>
          <w:p w:rsidR="00D155FC" w:rsidRDefault="00A077FD">
            <w:pPr>
              <w:jc w:val="right"/>
            </w:pPr>
            <w:r>
              <w:rPr>
                <w:rFonts w:eastAsiaTheme="minorEastAsia"/>
                <w:kern w:val="0"/>
                <w:sz w:val="24"/>
                <w:szCs w:val="24"/>
              </w:rPr>
              <w:t>4,474,259.00</w:t>
            </w:r>
          </w:p>
        </w:tc>
        <w:tc>
          <w:tcPr>
            <w:tcW w:w="1616" w:type="dxa"/>
            <w:vAlign w:val="center"/>
          </w:tcPr>
          <w:p w:rsidR="00D155FC" w:rsidRDefault="00A077FD">
            <w:pPr>
              <w:jc w:val="right"/>
            </w:pPr>
            <w:r>
              <w:rPr>
                <w:rFonts w:eastAsiaTheme="minorEastAsia"/>
                <w:kern w:val="0"/>
                <w:sz w:val="24"/>
                <w:szCs w:val="24"/>
              </w:rPr>
              <w:t>2.30</w:t>
            </w:r>
          </w:p>
        </w:tc>
      </w:tr>
      <w:tr w:rsidR="00D155FC">
        <w:tc>
          <w:tcPr>
            <w:tcW w:w="817" w:type="dxa"/>
            <w:vAlign w:val="center"/>
          </w:tcPr>
          <w:p w:rsidR="00D155FC" w:rsidRDefault="00A077FD">
            <w:pPr>
              <w:jc w:val="center"/>
            </w:pPr>
            <w:r>
              <w:rPr>
                <w:rFonts w:eastAsiaTheme="minorEastAsia"/>
                <w:kern w:val="0"/>
                <w:sz w:val="24"/>
                <w:szCs w:val="24"/>
              </w:rPr>
              <w:t>7</w:t>
            </w:r>
          </w:p>
        </w:tc>
        <w:tc>
          <w:tcPr>
            <w:tcW w:w="1276" w:type="dxa"/>
            <w:vAlign w:val="center"/>
          </w:tcPr>
          <w:p w:rsidR="00D155FC" w:rsidRDefault="00A077FD">
            <w:pPr>
              <w:jc w:val="center"/>
            </w:pPr>
            <w:r>
              <w:rPr>
                <w:rFonts w:eastAsiaTheme="minorEastAsia"/>
                <w:kern w:val="0"/>
                <w:sz w:val="24"/>
                <w:szCs w:val="24"/>
              </w:rPr>
              <w:t>600529</w:t>
            </w:r>
          </w:p>
        </w:tc>
        <w:tc>
          <w:tcPr>
            <w:tcW w:w="1701" w:type="dxa"/>
            <w:vAlign w:val="center"/>
          </w:tcPr>
          <w:p w:rsidR="00D155FC" w:rsidRDefault="00A077FD">
            <w:pPr>
              <w:jc w:val="center"/>
            </w:pPr>
            <w:r>
              <w:rPr>
                <w:rFonts w:eastAsiaTheme="minorEastAsia"/>
                <w:kern w:val="0"/>
                <w:sz w:val="24"/>
                <w:szCs w:val="24"/>
              </w:rPr>
              <w:t>山东药玻</w:t>
            </w:r>
          </w:p>
        </w:tc>
        <w:tc>
          <w:tcPr>
            <w:tcW w:w="1276" w:type="dxa"/>
            <w:vAlign w:val="center"/>
          </w:tcPr>
          <w:p w:rsidR="00D155FC" w:rsidRDefault="00A077FD">
            <w:pPr>
              <w:jc w:val="right"/>
            </w:pPr>
            <w:r>
              <w:rPr>
                <w:rFonts w:eastAsiaTheme="minorEastAsia"/>
                <w:kern w:val="0"/>
                <w:sz w:val="24"/>
                <w:szCs w:val="24"/>
              </w:rPr>
              <w:t>150,615.00</w:t>
            </w:r>
          </w:p>
        </w:tc>
        <w:tc>
          <w:tcPr>
            <w:tcW w:w="1842" w:type="dxa"/>
            <w:vAlign w:val="center"/>
          </w:tcPr>
          <w:p w:rsidR="00D155FC" w:rsidRDefault="00A077FD">
            <w:pPr>
              <w:jc w:val="right"/>
            </w:pPr>
            <w:r>
              <w:rPr>
                <w:rFonts w:eastAsiaTheme="minorEastAsia"/>
                <w:kern w:val="0"/>
                <w:sz w:val="24"/>
                <w:szCs w:val="24"/>
              </w:rPr>
              <w:t>4,363,316.55</w:t>
            </w:r>
          </w:p>
        </w:tc>
        <w:tc>
          <w:tcPr>
            <w:tcW w:w="1616" w:type="dxa"/>
            <w:vAlign w:val="center"/>
          </w:tcPr>
          <w:p w:rsidR="00D155FC" w:rsidRDefault="00A077FD">
            <w:pPr>
              <w:jc w:val="right"/>
            </w:pPr>
            <w:r>
              <w:rPr>
                <w:rFonts w:eastAsiaTheme="minorEastAsia"/>
                <w:kern w:val="0"/>
                <w:sz w:val="24"/>
                <w:szCs w:val="24"/>
              </w:rPr>
              <w:t>2.24</w:t>
            </w:r>
          </w:p>
        </w:tc>
      </w:tr>
      <w:tr w:rsidR="00D155FC">
        <w:tc>
          <w:tcPr>
            <w:tcW w:w="817" w:type="dxa"/>
            <w:vAlign w:val="center"/>
          </w:tcPr>
          <w:p w:rsidR="00D155FC" w:rsidRDefault="00A077FD">
            <w:pPr>
              <w:jc w:val="center"/>
            </w:pPr>
            <w:r>
              <w:rPr>
                <w:rFonts w:eastAsiaTheme="minorEastAsia"/>
                <w:kern w:val="0"/>
                <w:sz w:val="24"/>
                <w:szCs w:val="24"/>
              </w:rPr>
              <w:t>8</w:t>
            </w:r>
          </w:p>
        </w:tc>
        <w:tc>
          <w:tcPr>
            <w:tcW w:w="1276" w:type="dxa"/>
            <w:vAlign w:val="center"/>
          </w:tcPr>
          <w:p w:rsidR="00D155FC" w:rsidRDefault="00A077FD">
            <w:pPr>
              <w:jc w:val="center"/>
            </w:pPr>
            <w:r>
              <w:rPr>
                <w:rFonts w:eastAsiaTheme="minorEastAsia"/>
                <w:kern w:val="0"/>
                <w:sz w:val="24"/>
                <w:szCs w:val="24"/>
              </w:rPr>
              <w:t>600765</w:t>
            </w:r>
          </w:p>
        </w:tc>
        <w:tc>
          <w:tcPr>
            <w:tcW w:w="1701" w:type="dxa"/>
            <w:vAlign w:val="center"/>
          </w:tcPr>
          <w:p w:rsidR="00D155FC" w:rsidRDefault="00A077FD">
            <w:pPr>
              <w:jc w:val="center"/>
            </w:pPr>
            <w:r>
              <w:rPr>
                <w:rFonts w:eastAsiaTheme="minorEastAsia"/>
                <w:kern w:val="0"/>
                <w:sz w:val="24"/>
                <w:szCs w:val="24"/>
              </w:rPr>
              <w:t>中航重机</w:t>
            </w:r>
          </w:p>
        </w:tc>
        <w:tc>
          <w:tcPr>
            <w:tcW w:w="1276" w:type="dxa"/>
            <w:vAlign w:val="center"/>
          </w:tcPr>
          <w:p w:rsidR="00D155FC" w:rsidRDefault="00A077FD">
            <w:pPr>
              <w:jc w:val="right"/>
            </w:pPr>
            <w:r>
              <w:rPr>
                <w:rFonts w:eastAsiaTheme="minorEastAsia"/>
                <w:kern w:val="0"/>
                <w:sz w:val="24"/>
                <w:szCs w:val="24"/>
              </w:rPr>
              <w:t>144,096.00</w:t>
            </w:r>
          </w:p>
        </w:tc>
        <w:tc>
          <w:tcPr>
            <w:tcW w:w="1842" w:type="dxa"/>
            <w:vAlign w:val="center"/>
          </w:tcPr>
          <w:p w:rsidR="00D155FC" w:rsidRDefault="00A077FD">
            <w:pPr>
              <w:jc w:val="right"/>
            </w:pPr>
            <w:r>
              <w:rPr>
                <w:rFonts w:eastAsiaTheme="minorEastAsia"/>
                <w:kern w:val="0"/>
                <w:sz w:val="24"/>
                <w:szCs w:val="24"/>
              </w:rPr>
              <w:t>4,317,116.16</w:t>
            </w:r>
          </w:p>
        </w:tc>
        <w:tc>
          <w:tcPr>
            <w:tcW w:w="1616" w:type="dxa"/>
            <w:vAlign w:val="center"/>
          </w:tcPr>
          <w:p w:rsidR="00D155FC" w:rsidRDefault="00A077FD">
            <w:pPr>
              <w:jc w:val="right"/>
            </w:pPr>
            <w:r>
              <w:rPr>
                <w:rFonts w:eastAsiaTheme="minorEastAsia"/>
                <w:kern w:val="0"/>
                <w:sz w:val="24"/>
                <w:szCs w:val="24"/>
              </w:rPr>
              <w:t>2.21</w:t>
            </w:r>
          </w:p>
        </w:tc>
      </w:tr>
      <w:tr w:rsidR="00D155FC">
        <w:tc>
          <w:tcPr>
            <w:tcW w:w="817" w:type="dxa"/>
            <w:vAlign w:val="center"/>
          </w:tcPr>
          <w:p w:rsidR="00D155FC" w:rsidRDefault="00A077FD">
            <w:pPr>
              <w:jc w:val="center"/>
            </w:pPr>
            <w:r>
              <w:rPr>
                <w:rFonts w:eastAsiaTheme="minorEastAsia"/>
                <w:kern w:val="0"/>
                <w:sz w:val="24"/>
                <w:szCs w:val="24"/>
              </w:rPr>
              <w:t>9</w:t>
            </w:r>
          </w:p>
        </w:tc>
        <w:tc>
          <w:tcPr>
            <w:tcW w:w="1276" w:type="dxa"/>
            <w:vAlign w:val="center"/>
          </w:tcPr>
          <w:p w:rsidR="00D155FC" w:rsidRDefault="00A077FD">
            <w:pPr>
              <w:jc w:val="center"/>
            </w:pPr>
            <w:r>
              <w:rPr>
                <w:rFonts w:eastAsiaTheme="minorEastAsia"/>
                <w:kern w:val="0"/>
                <w:sz w:val="24"/>
                <w:szCs w:val="24"/>
              </w:rPr>
              <w:t>688232</w:t>
            </w:r>
          </w:p>
        </w:tc>
        <w:tc>
          <w:tcPr>
            <w:tcW w:w="1701" w:type="dxa"/>
            <w:vAlign w:val="center"/>
          </w:tcPr>
          <w:p w:rsidR="00D155FC" w:rsidRDefault="00A077FD">
            <w:pPr>
              <w:jc w:val="center"/>
            </w:pPr>
            <w:r>
              <w:rPr>
                <w:rFonts w:eastAsiaTheme="minorEastAsia"/>
                <w:kern w:val="0"/>
                <w:sz w:val="24"/>
                <w:szCs w:val="24"/>
              </w:rPr>
              <w:t>新点软件</w:t>
            </w:r>
          </w:p>
        </w:tc>
        <w:tc>
          <w:tcPr>
            <w:tcW w:w="1276" w:type="dxa"/>
            <w:vAlign w:val="center"/>
          </w:tcPr>
          <w:p w:rsidR="00D155FC" w:rsidRDefault="00A077FD">
            <w:pPr>
              <w:jc w:val="right"/>
            </w:pPr>
            <w:r>
              <w:rPr>
                <w:rFonts w:eastAsiaTheme="minorEastAsia"/>
                <w:kern w:val="0"/>
                <w:sz w:val="24"/>
                <w:szCs w:val="24"/>
              </w:rPr>
              <w:t>84,056.00</w:t>
            </w:r>
          </w:p>
        </w:tc>
        <w:tc>
          <w:tcPr>
            <w:tcW w:w="1842" w:type="dxa"/>
            <w:vAlign w:val="center"/>
          </w:tcPr>
          <w:p w:rsidR="00D155FC" w:rsidRDefault="00A077FD">
            <w:pPr>
              <w:jc w:val="right"/>
            </w:pPr>
            <w:r>
              <w:rPr>
                <w:rFonts w:eastAsiaTheme="minorEastAsia"/>
                <w:kern w:val="0"/>
                <w:sz w:val="24"/>
                <w:szCs w:val="24"/>
              </w:rPr>
              <w:t>4,127,149.60</w:t>
            </w:r>
          </w:p>
        </w:tc>
        <w:tc>
          <w:tcPr>
            <w:tcW w:w="1616" w:type="dxa"/>
            <w:vAlign w:val="center"/>
          </w:tcPr>
          <w:p w:rsidR="00D155FC" w:rsidRDefault="00A077FD">
            <w:pPr>
              <w:jc w:val="right"/>
            </w:pPr>
            <w:r>
              <w:rPr>
                <w:rFonts w:eastAsiaTheme="minorEastAsia"/>
                <w:kern w:val="0"/>
                <w:sz w:val="24"/>
                <w:szCs w:val="24"/>
              </w:rPr>
              <w:t>2.12</w:t>
            </w:r>
          </w:p>
        </w:tc>
      </w:tr>
      <w:tr w:rsidR="00D155FC">
        <w:tc>
          <w:tcPr>
            <w:tcW w:w="817" w:type="dxa"/>
            <w:vAlign w:val="center"/>
          </w:tcPr>
          <w:p w:rsidR="00D155FC" w:rsidRDefault="00A077FD">
            <w:pPr>
              <w:jc w:val="center"/>
            </w:pPr>
            <w:r>
              <w:rPr>
                <w:rFonts w:eastAsiaTheme="minorEastAsia"/>
                <w:kern w:val="0"/>
                <w:sz w:val="24"/>
                <w:szCs w:val="24"/>
              </w:rPr>
              <w:t>10</w:t>
            </w:r>
          </w:p>
        </w:tc>
        <w:tc>
          <w:tcPr>
            <w:tcW w:w="1276" w:type="dxa"/>
            <w:vAlign w:val="center"/>
          </w:tcPr>
          <w:p w:rsidR="00D155FC" w:rsidRDefault="00A077FD">
            <w:pPr>
              <w:jc w:val="center"/>
            </w:pPr>
            <w:r>
              <w:rPr>
                <w:rFonts w:eastAsiaTheme="minorEastAsia"/>
                <w:kern w:val="0"/>
                <w:sz w:val="24"/>
                <w:szCs w:val="24"/>
              </w:rPr>
              <w:t>002597</w:t>
            </w:r>
          </w:p>
        </w:tc>
        <w:tc>
          <w:tcPr>
            <w:tcW w:w="1701" w:type="dxa"/>
            <w:vAlign w:val="center"/>
          </w:tcPr>
          <w:p w:rsidR="00D155FC" w:rsidRDefault="00A077FD">
            <w:pPr>
              <w:jc w:val="center"/>
            </w:pPr>
            <w:r>
              <w:rPr>
                <w:rFonts w:eastAsiaTheme="minorEastAsia"/>
                <w:kern w:val="0"/>
                <w:sz w:val="24"/>
                <w:szCs w:val="24"/>
              </w:rPr>
              <w:t>金禾实业</w:t>
            </w:r>
          </w:p>
        </w:tc>
        <w:tc>
          <w:tcPr>
            <w:tcW w:w="1276" w:type="dxa"/>
            <w:vAlign w:val="center"/>
          </w:tcPr>
          <w:p w:rsidR="00D155FC" w:rsidRDefault="00A077FD">
            <w:pPr>
              <w:jc w:val="right"/>
            </w:pPr>
            <w:r>
              <w:rPr>
                <w:rFonts w:eastAsiaTheme="minorEastAsia"/>
                <w:kern w:val="0"/>
                <w:sz w:val="24"/>
                <w:szCs w:val="24"/>
              </w:rPr>
              <w:t>107,130.00</w:t>
            </w:r>
          </w:p>
        </w:tc>
        <w:tc>
          <w:tcPr>
            <w:tcW w:w="1842" w:type="dxa"/>
            <w:vAlign w:val="center"/>
          </w:tcPr>
          <w:p w:rsidR="00D155FC" w:rsidRDefault="00A077FD">
            <w:pPr>
              <w:jc w:val="right"/>
            </w:pPr>
            <w:r>
              <w:rPr>
                <w:rFonts w:eastAsiaTheme="minorEastAsia"/>
                <w:kern w:val="0"/>
                <w:sz w:val="24"/>
                <w:szCs w:val="24"/>
              </w:rPr>
              <w:t>4,058,084.40</w:t>
            </w:r>
          </w:p>
        </w:tc>
        <w:tc>
          <w:tcPr>
            <w:tcW w:w="1616" w:type="dxa"/>
            <w:vAlign w:val="center"/>
          </w:tcPr>
          <w:p w:rsidR="00D155FC" w:rsidRDefault="00A077FD">
            <w:pPr>
              <w:jc w:val="right"/>
            </w:pPr>
            <w:r>
              <w:rPr>
                <w:rFonts w:eastAsiaTheme="minorEastAsia"/>
                <w:kern w:val="0"/>
                <w:sz w:val="24"/>
                <w:szCs w:val="24"/>
              </w:rPr>
              <w:t>2.08</w:t>
            </w:r>
          </w:p>
        </w:tc>
      </w:tr>
      <w:bookmarkEnd w:id="2"/>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93,419.19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1,675,252.71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0.65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1,768,672.55</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216,764,686.91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315,065.34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217,079,752.25</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单位：份</w:t>
      </w:r>
    </w:p>
    <w:tbl>
      <w:tblPr>
        <w:tblW w:w="8415" w:type="dxa"/>
        <w:tblInd w:w="108" w:type="dxa"/>
        <w:tblLayout w:type="fixed"/>
        <w:tblLook w:val="04A0" w:firstRow="1" w:lastRow="0" w:firstColumn="1" w:lastColumn="0" w:noHBand="0" w:noVBand="1"/>
      </w:tblPr>
      <w:tblGrid>
        <w:gridCol w:w="5037"/>
        <w:gridCol w:w="3378"/>
      </w:tblGrid>
      <w:tr w:rsidR="00D06738" w:rsidRPr="00FF6B9A">
        <w:tc>
          <w:tcPr>
            <w:tcW w:w="5037"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pStyle w:val="af0"/>
              <w:adjustRightInd w:val="0"/>
              <w:snapToGrid w:val="0"/>
              <w:spacing w:line="360" w:lineRule="exact"/>
              <w:rPr>
                <w:rFonts w:eastAsiaTheme="minorEastAsia"/>
                <w:color w:val="000000" w:themeColor="text1"/>
                <w:kern w:val="0"/>
                <w:sz w:val="21"/>
                <w:szCs w:val="21"/>
              </w:rPr>
            </w:pPr>
            <w:r w:rsidRPr="00FF6B9A">
              <w:rPr>
                <w:rFonts w:eastAsiaTheme="minorEastAsia"/>
                <w:color w:val="000000" w:themeColor="text1"/>
                <w:kern w:val="0"/>
                <w:sz w:val="21"/>
                <w:szCs w:val="21"/>
              </w:rPr>
              <w:t>报告期期初管理人持有的本基金份额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19,999,766.67</w:t>
            </w:r>
          </w:p>
        </w:tc>
      </w:tr>
      <w:tr w:rsidR="00D06738" w:rsidRPr="00FF6B9A">
        <w:tc>
          <w:tcPr>
            <w:tcW w:w="5037"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djustRightInd w:val="0"/>
              <w:snapToGrid w:val="0"/>
              <w:spacing w:line="360" w:lineRule="exact"/>
              <w:rPr>
                <w:rFonts w:eastAsiaTheme="minorEastAsia"/>
                <w:color w:val="000000" w:themeColor="text1"/>
                <w:kern w:val="0"/>
              </w:rPr>
            </w:pPr>
            <w:r w:rsidRPr="00FF6B9A">
              <w:rPr>
                <w:rFonts w:eastAsiaTheme="minorEastAsia"/>
                <w:color w:val="000000" w:themeColor="text1"/>
                <w:kern w:val="0"/>
              </w:rPr>
              <w:t>报告期期间买入</w:t>
            </w:r>
            <w:r w:rsidRPr="00FF6B9A">
              <w:rPr>
                <w:rFonts w:eastAsiaTheme="minorEastAsia"/>
                <w:color w:val="000000" w:themeColor="text1"/>
                <w:kern w:val="0"/>
              </w:rPr>
              <w:t>/</w:t>
            </w:r>
            <w:r w:rsidRPr="00FF6B9A">
              <w:rPr>
                <w:rFonts w:eastAsiaTheme="minorEastAsia"/>
                <w:color w:val="000000" w:themeColor="text1"/>
                <w:kern w:val="0"/>
              </w:rPr>
              <w:t>申购总份额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5037"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djustRightInd w:val="0"/>
              <w:snapToGrid w:val="0"/>
              <w:spacing w:line="360" w:lineRule="exact"/>
              <w:rPr>
                <w:rFonts w:eastAsiaTheme="minorEastAsia"/>
                <w:color w:val="000000" w:themeColor="text1"/>
                <w:kern w:val="0"/>
              </w:rPr>
            </w:pPr>
            <w:r w:rsidRPr="00FF6B9A">
              <w:rPr>
                <w:rFonts w:eastAsiaTheme="minorEastAsia"/>
                <w:color w:val="000000" w:themeColor="text1"/>
                <w:kern w:val="0"/>
              </w:rPr>
              <w:t>报告期期间卖出</w:t>
            </w:r>
            <w:r w:rsidRPr="00FF6B9A">
              <w:rPr>
                <w:rFonts w:eastAsiaTheme="minorEastAsia"/>
                <w:color w:val="000000" w:themeColor="text1"/>
                <w:kern w:val="0"/>
              </w:rPr>
              <w:t>/</w:t>
            </w:r>
            <w:r w:rsidRPr="00FF6B9A">
              <w:rPr>
                <w:rFonts w:eastAsiaTheme="minorEastAsia"/>
                <w:color w:val="000000" w:themeColor="text1"/>
                <w:kern w:val="0"/>
              </w:rPr>
              <w:t>赎回总份额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5037"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djustRightInd w:val="0"/>
              <w:snapToGrid w:val="0"/>
              <w:spacing w:line="360" w:lineRule="exact"/>
              <w:rPr>
                <w:rFonts w:eastAsiaTheme="minorEastAsia"/>
                <w:color w:val="000000" w:themeColor="text1"/>
                <w:kern w:val="0"/>
              </w:rPr>
            </w:pPr>
            <w:r w:rsidRPr="00FF6B9A">
              <w:rPr>
                <w:rFonts w:eastAsiaTheme="minorEastAsia"/>
                <w:color w:val="000000" w:themeColor="text1"/>
                <w:kern w:val="0"/>
              </w:rPr>
              <w:t>报告期期末管理人持有的本基金份额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19,999,766.67</w:t>
            </w:r>
          </w:p>
        </w:tc>
      </w:tr>
      <w:tr w:rsidR="00D06738" w:rsidRPr="00FF6B9A">
        <w:tc>
          <w:tcPr>
            <w:tcW w:w="5037"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djustRightInd w:val="0"/>
              <w:snapToGrid w:val="0"/>
              <w:spacing w:line="360" w:lineRule="exact"/>
              <w:rPr>
                <w:rFonts w:eastAsiaTheme="minorEastAsia"/>
                <w:color w:val="000000" w:themeColor="text1"/>
                <w:kern w:val="0"/>
              </w:rPr>
            </w:pPr>
            <w:r w:rsidRPr="00FF6B9A">
              <w:rPr>
                <w:rFonts w:eastAsiaTheme="minorEastAsia"/>
                <w:color w:val="000000" w:themeColor="text1"/>
                <w:kern w:val="0"/>
              </w:rPr>
              <w:t>报告期期末持有的本基金份额占基金总份额比例（</w:t>
            </w:r>
            <w:r w:rsidRPr="00FF6B9A">
              <w:rPr>
                <w:rFonts w:eastAsiaTheme="minorEastAsia"/>
                <w:color w:val="000000" w:themeColor="text1"/>
                <w:kern w:val="0"/>
              </w:rPr>
              <w:t>%</w:t>
            </w:r>
            <w:r w:rsidRPr="00FF6B9A">
              <w:rPr>
                <w:rFonts w:eastAsiaTheme="minorEastAsia"/>
                <w:color w:val="000000" w:themeColor="text1"/>
                <w:kern w:val="0"/>
              </w:rPr>
              <w:t>）</w:t>
            </w:r>
          </w:p>
        </w:tc>
        <w:tc>
          <w:tcPr>
            <w:tcW w:w="3378"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9.21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spacing w:line="360" w:lineRule="auto"/>
        <w:jc w:val="left"/>
        <w:rPr>
          <w:color w:val="000000" w:themeColor="text1"/>
          <w:sz w:val="24"/>
        </w:rPr>
      </w:pPr>
      <w:r w:rsidRPr="00FF6B9A">
        <w:rPr>
          <w:b/>
          <w:color w:val="000000" w:themeColor="text1"/>
          <w:sz w:val="24"/>
        </w:rPr>
        <w:t xml:space="preserve">7.2 </w:t>
      </w:r>
      <w:r w:rsidRPr="00FF6B9A">
        <w:rPr>
          <w:b/>
          <w:color w:val="000000" w:themeColor="text1"/>
          <w:sz w:val="24"/>
        </w:rPr>
        <w:t>基金管理人运用固有资金投资本基金交易明细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影响投资者决策的其他重要信息</w:t>
      </w:r>
    </w:p>
    <w:p w:rsidR="00D06738" w:rsidRPr="00FF6B9A" w:rsidRDefault="00454D20">
      <w:pPr>
        <w:autoSpaceDE w:val="0"/>
        <w:autoSpaceDN w:val="0"/>
        <w:adjustRightInd w:val="0"/>
        <w:spacing w:line="360" w:lineRule="auto"/>
        <w:jc w:val="left"/>
        <w:rPr>
          <w:b/>
          <w:bCs/>
          <w:color w:val="000000"/>
          <w:kern w:val="0"/>
          <w:sz w:val="24"/>
          <w:szCs w:val="24"/>
        </w:rPr>
      </w:pPr>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06738" w:rsidRPr="00FF6B9A">
        <w:tc>
          <w:tcPr>
            <w:tcW w:w="993" w:type="dxa"/>
            <w:vMerge w:val="restart"/>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xml:space="preserve">  </w:t>
            </w:r>
          </w:p>
        </w:tc>
        <w:tc>
          <w:tcPr>
            <w:tcW w:w="5670" w:type="dxa"/>
            <w:gridSpan w:val="5"/>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报告期内持有基金份额变化情况</w:t>
            </w:r>
          </w:p>
        </w:tc>
        <w:tc>
          <w:tcPr>
            <w:tcW w:w="2549" w:type="dxa"/>
            <w:gridSpan w:val="2"/>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报告期末持有基金情况</w:t>
            </w:r>
          </w:p>
        </w:tc>
      </w:tr>
      <w:tr w:rsidR="00D06738" w:rsidRPr="00FF6B9A">
        <w:tc>
          <w:tcPr>
            <w:tcW w:w="993" w:type="dxa"/>
            <w:vMerge/>
            <w:vAlign w:val="center"/>
          </w:tcPr>
          <w:p w:rsidR="00D06738" w:rsidRPr="00FF6B9A" w:rsidRDefault="00D06738">
            <w:pPr>
              <w:autoSpaceDE w:val="0"/>
              <w:autoSpaceDN w:val="0"/>
              <w:adjustRightInd w:val="0"/>
              <w:jc w:val="center"/>
              <w:rPr>
                <w:b/>
                <w:bCs/>
                <w:color w:val="000000"/>
                <w:kern w:val="0"/>
              </w:rPr>
            </w:pPr>
          </w:p>
        </w:tc>
        <w:tc>
          <w:tcPr>
            <w:tcW w:w="992"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序号</w:t>
            </w:r>
          </w:p>
        </w:tc>
        <w:tc>
          <w:tcPr>
            <w:tcW w:w="1843"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t>20%</w:t>
            </w:r>
            <w:r w:rsidRPr="00FF6B9A">
              <w:rPr>
                <w:color w:val="000000"/>
                <w:kern w:val="0"/>
              </w:rPr>
              <w:t>的时间区间</w:t>
            </w:r>
          </w:p>
        </w:tc>
        <w:tc>
          <w:tcPr>
            <w:tcW w:w="851" w:type="dxa"/>
            <w:vAlign w:val="center"/>
          </w:tcPr>
          <w:p w:rsidR="00D06738" w:rsidRPr="00FF6B9A" w:rsidRDefault="00454D20">
            <w:pPr>
              <w:widowControl/>
              <w:jc w:val="center"/>
              <w:rPr>
                <w:b/>
                <w:bCs/>
                <w:color w:val="000000"/>
                <w:kern w:val="0"/>
              </w:rPr>
            </w:pPr>
            <w:r w:rsidRPr="00FF6B9A">
              <w:rPr>
                <w:color w:val="000000"/>
                <w:kern w:val="0"/>
              </w:rPr>
              <w:t>期初份额</w:t>
            </w:r>
          </w:p>
        </w:tc>
        <w:tc>
          <w:tcPr>
            <w:tcW w:w="850" w:type="dxa"/>
            <w:vAlign w:val="center"/>
          </w:tcPr>
          <w:p w:rsidR="00D06738" w:rsidRPr="00FF6B9A" w:rsidRDefault="00454D20">
            <w:pPr>
              <w:widowControl/>
              <w:jc w:val="center"/>
              <w:rPr>
                <w:b/>
                <w:bCs/>
                <w:color w:val="000000"/>
                <w:kern w:val="0"/>
              </w:rPr>
            </w:pPr>
            <w:r w:rsidRPr="00FF6B9A">
              <w:rPr>
                <w:color w:val="000000"/>
                <w:kern w:val="0"/>
              </w:rPr>
              <w:t>申购份额</w:t>
            </w:r>
          </w:p>
        </w:tc>
        <w:tc>
          <w:tcPr>
            <w:tcW w:w="1134" w:type="dxa"/>
            <w:vAlign w:val="center"/>
          </w:tcPr>
          <w:p w:rsidR="00D06738" w:rsidRPr="00FF6B9A" w:rsidRDefault="00454D20">
            <w:pPr>
              <w:widowControl/>
              <w:jc w:val="center"/>
              <w:rPr>
                <w:b/>
                <w:bCs/>
                <w:color w:val="000000"/>
                <w:kern w:val="0"/>
              </w:rPr>
            </w:pPr>
            <w:r w:rsidRPr="00FF6B9A">
              <w:rPr>
                <w:color w:val="000000"/>
                <w:kern w:val="0"/>
              </w:rPr>
              <w:t>赎回份额</w:t>
            </w:r>
          </w:p>
        </w:tc>
        <w:tc>
          <w:tcPr>
            <w:tcW w:w="1419"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持有份额</w:t>
            </w:r>
          </w:p>
        </w:tc>
        <w:tc>
          <w:tcPr>
            <w:tcW w:w="1130"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份额占比</w:t>
            </w:r>
          </w:p>
        </w:tc>
      </w:tr>
      <w:tr w:rsidR="00D155FC">
        <w:tc>
          <w:tcPr>
            <w:tcW w:w="993" w:type="dxa"/>
            <w:vMerge w:val="restart"/>
            <w:vAlign w:val="center"/>
          </w:tcPr>
          <w:p w:rsidR="00D155FC" w:rsidRDefault="00A077FD">
            <w:r>
              <w:rPr>
                <w:bCs/>
                <w:color w:val="000000"/>
                <w:kern w:val="0"/>
              </w:rPr>
              <w:t>机构</w:t>
            </w:r>
          </w:p>
        </w:tc>
        <w:tc>
          <w:tcPr>
            <w:tcW w:w="992" w:type="dxa"/>
            <w:vAlign w:val="center"/>
          </w:tcPr>
          <w:p w:rsidR="00D155FC" w:rsidRDefault="00A077FD">
            <w:pPr>
              <w:jc w:val="center"/>
            </w:pPr>
            <w:r>
              <w:rPr>
                <w:color w:val="000000"/>
                <w:kern w:val="0"/>
              </w:rPr>
              <w:t>1</w:t>
            </w:r>
          </w:p>
        </w:tc>
        <w:tc>
          <w:tcPr>
            <w:tcW w:w="1843" w:type="dxa"/>
            <w:vAlign w:val="center"/>
          </w:tcPr>
          <w:p w:rsidR="00D155FC" w:rsidRDefault="00A077FD">
            <w:pPr>
              <w:jc w:val="center"/>
            </w:pPr>
            <w:r>
              <w:rPr>
                <w:color w:val="000000"/>
                <w:kern w:val="0"/>
              </w:rPr>
              <w:t>20220701-20220930</w:t>
            </w:r>
          </w:p>
        </w:tc>
        <w:tc>
          <w:tcPr>
            <w:tcW w:w="851" w:type="dxa"/>
            <w:vAlign w:val="center"/>
          </w:tcPr>
          <w:p w:rsidR="00D155FC" w:rsidRDefault="00A077FD">
            <w:pPr>
              <w:jc w:val="center"/>
            </w:pPr>
            <w:r>
              <w:rPr>
                <w:color w:val="000000"/>
                <w:kern w:val="0"/>
              </w:rPr>
              <w:t>60,010,500.00</w:t>
            </w:r>
          </w:p>
        </w:tc>
        <w:tc>
          <w:tcPr>
            <w:tcW w:w="850" w:type="dxa"/>
            <w:vAlign w:val="center"/>
          </w:tcPr>
          <w:p w:rsidR="00D155FC" w:rsidRDefault="00A077FD">
            <w:pPr>
              <w:jc w:val="center"/>
            </w:pPr>
            <w:r>
              <w:rPr>
                <w:color w:val="000000"/>
                <w:kern w:val="0"/>
              </w:rPr>
              <w:t>0.00</w:t>
            </w:r>
          </w:p>
        </w:tc>
        <w:tc>
          <w:tcPr>
            <w:tcW w:w="1134" w:type="dxa"/>
            <w:vAlign w:val="center"/>
          </w:tcPr>
          <w:p w:rsidR="00D155FC" w:rsidRDefault="00A077FD">
            <w:pPr>
              <w:jc w:val="center"/>
            </w:pPr>
            <w:r>
              <w:rPr>
                <w:color w:val="000000"/>
                <w:kern w:val="0"/>
              </w:rPr>
              <w:t>0.00</w:t>
            </w:r>
          </w:p>
        </w:tc>
        <w:tc>
          <w:tcPr>
            <w:tcW w:w="1419" w:type="dxa"/>
            <w:vAlign w:val="center"/>
          </w:tcPr>
          <w:p w:rsidR="00D155FC" w:rsidRDefault="00A077FD">
            <w:pPr>
              <w:jc w:val="center"/>
            </w:pPr>
            <w:r>
              <w:rPr>
                <w:color w:val="000000"/>
                <w:kern w:val="0"/>
              </w:rPr>
              <w:t>60,010,500.00</w:t>
            </w:r>
          </w:p>
        </w:tc>
        <w:tc>
          <w:tcPr>
            <w:tcW w:w="1130" w:type="dxa"/>
            <w:vAlign w:val="center"/>
          </w:tcPr>
          <w:p w:rsidR="00D155FC" w:rsidRDefault="00A077FD">
            <w:pPr>
              <w:jc w:val="center"/>
            </w:pPr>
            <w:r>
              <w:rPr>
                <w:color w:val="000000"/>
                <w:kern w:val="0"/>
              </w:rPr>
              <w:t>27.64%</w:t>
            </w:r>
          </w:p>
        </w:tc>
      </w:tr>
      <w:tr w:rsidR="00D06738" w:rsidRPr="00FF6B9A">
        <w:tc>
          <w:tcPr>
            <w:tcW w:w="9212" w:type="dxa"/>
            <w:gridSpan w:val="8"/>
            <w:vAlign w:val="center"/>
          </w:tcPr>
          <w:p w:rsidR="00D06738" w:rsidRPr="00FF6B9A" w:rsidRDefault="00454D20">
            <w:pPr>
              <w:autoSpaceDE w:val="0"/>
              <w:autoSpaceDN w:val="0"/>
              <w:adjustRightInd w:val="0"/>
              <w:jc w:val="center"/>
              <w:rPr>
                <w:kern w:val="0"/>
              </w:rPr>
            </w:pPr>
            <w:r w:rsidRPr="00FF6B9A">
              <w:rPr>
                <w:color w:val="000000"/>
                <w:kern w:val="0"/>
              </w:rPr>
              <w:t>产品特有风险</w:t>
            </w:r>
          </w:p>
        </w:tc>
      </w:tr>
      <w:tr w:rsidR="00D06738" w:rsidRPr="00FF6B9A">
        <w:tc>
          <w:tcPr>
            <w:tcW w:w="9212" w:type="dxa"/>
            <w:gridSpan w:val="8"/>
            <w:vAlign w:val="center"/>
          </w:tcPr>
          <w:p w:rsidR="00D06738" w:rsidRPr="00FF6B9A" w:rsidRDefault="00454D20">
            <w:pPr>
              <w:autoSpaceDE w:val="0"/>
              <w:autoSpaceDN w:val="0"/>
              <w:adjustRightInd w:val="0"/>
              <w:jc w:val="left"/>
              <w:rPr>
                <w:kern w:val="0"/>
              </w:rPr>
            </w:pPr>
            <w:r w:rsidRPr="00FF6B9A">
              <w:rPr>
                <w:kern w:val="0"/>
              </w:rPr>
              <w:t>本基金的集中度风险主要体现在有单一投资者持有基金份额比例达到或者超过</w:t>
            </w:r>
            <w:r w:rsidRPr="00FF6B9A">
              <w:rPr>
                <w:kern w:val="0"/>
              </w:rPr>
              <w:t>20%</w:t>
            </w:r>
            <w:r w:rsidRPr="00FF6B9A">
              <w:rPr>
                <w:kern w:val="0"/>
              </w:rPr>
              <w:t>，如果投资者发生大额赎回，可能出现基金可变现资产无法满足投资者赎回需要以及因为资产变现成本过高导致投资者的利益受到损害的风险。</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§9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9.1 </w:t>
      </w:r>
      <w:r w:rsidRPr="00FF6B9A">
        <w:rPr>
          <w:rFonts w:eastAsiaTheme="minorEastAsia"/>
          <w:b/>
          <w:bCs/>
          <w:color w:val="000000" w:themeColor="text1"/>
          <w:kern w:val="0"/>
          <w:sz w:val="24"/>
          <w:szCs w:val="24"/>
        </w:rPr>
        <w:t>备查文件目录</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中国证监会准予上投摩根鑫睿优选一年持有期混合型证券投资基金募集注册的文件</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上投摩根鑫睿优选一年持有期混合型证券投资基金基金合同</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上投摩根鑫睿优选一年持有期混合型证券投资基金托管协议</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D155FC" w:rsidRDefault="00A077F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二〇二二年十月二十六日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2F4964" w:rsidRPr="002F496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2F4964">
      <w:rPr>
        <w:rStyle w:val="aff"/>
        <w:noProof/>
      </w:rPr>
      <w:t>13</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上投摩根鑫睿优选一年持有期混合型证券投资基金</w:t>
    </w:r>
    <w:r>
      <w:rPr>
        <w:rFonts w:hint="eastAsia"/>
      </w:rPr>
      <w:t>2022</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2F4964"/>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077FD"/>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430E3"/>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55FC"/>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7AB22-5C92-4ABC-BC38-3C435ED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270</cp:revision>
  <dcterms:created xsi:type="dcterms:W3CDTF">2012-10-16T06:07:00Z</dcterms:created>
  <dcterms:modified xsi:type="dcterms:W3CDTF">2022-10-25T05:49:00Z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